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EF2D" w14:textId="6DDC5758" w:rsidR="005B7F66" w:rsidRDefault="005B7F66" w:rsidP="00C8193E">
      <w:pPr>
        <w:pStyle w:val="NoSpacing"/>
      </w:pPr>
    </w:p>
    <w:p w14:paraId="390FBC69" w14:textId="77777777" w:rsidR="0000182E" w:rsidRPr="00BB3C18" w:rsidRDefault="0000182E" w:rsidP="005F6429">
      <w:pPr>
        <w:jc w:val="both"/>
        <w:rPr>
          <w:rFonts w:asciiTheme="minorHAnsi" w:hAnsiTheme="minorHAnsi" w:cstheme="minorHAnsi"/>
          <w:b/>
          <w:sz w:val="20"/>
          <w:szCs w:val="20"/>
        </w:rPr>
      </w:pPr>
    </w:p>
    <w:p w14:paraId="0312EF2E" w14:textId="77777777" w:rsidR="005B7F66" w:rsidRPr="00BB3C18" w:rsidRDefault="005B7F66" w:rsidP="005F6429">
      <w:pPr>
        <w:jc w:val="both"/>
        <w:rPr>
          <w:rFonts w:asciiTheme="minorHAnsi" w:hAnsiTheme="minorHAnsi" w:cstheme="minorHAnsi"/>
          <w:b/>
          <w:sz w:val="20"/>
          <w:szCs w:val="20"/>
        </w:rPr>
      </w:pPr>
    </w:p>
    <w:p w14:paraId="0312EF2F" w14:textId="77777777" w:rsidR="005B7F66" w:rsidRPr="00BB3C18" w:rsidRDefault="005B7F66" w:rsidP="005F6429">
      <w:pPr>
        <w:jc w:val="both"/>
        <w:rPr>
          <w:rFonts w:asciiTheme="minorHAnsi" w:hAnsiTheme="minorHAnsi" w:cstheme="minorHAnsi"/>
          <w:b/>
          <w:sz w:val="20"/>
          <w:szCs w:val="20"/>
        </w:rPr>
      </w:pPr>
    </w:p>
    <w:p w14:paraId="0312EF30" w14:textId="77777777" w:rsidR="005B7F66" w:rsidRPr="00BB3C18" w:rsidRDefault="005B7F66" w:rsidP="005F6429">
      <w:pPr>
        <w:jc w:val="both"/>
        <w:rPr>
          <w:rFonts w:asciiTheme="minorHAnsi" w:hAnsiTheme="minorHAnsi" w:cstheme="minorHAnsi"/>
          <w:b/>
          <w:sz w:val="20"/>
          <w:szCs w:val="20"/>
        </w:rPr>
      </w:pPr>
    </w:p>
    <w:p w14:paraId="0312EF31" w14:textId="77777777" w:rsidR="005B7F66" w:rsidRPr="00BB3C18" w:rsidRDefault="005B7F66" w:rsidP="005F6429">
      <w:pPr>
        <w:jc w:val="both"/>
        <w:rPr>
          <w:rFonts w:asciiTheme="minorHAnsi" w:hAnsiTheme="minorHAnsi" w:cstheme="minorHAnsi"/>
          <w:b/>
          <w:sz w:val="20"/>
          <w:szCs w:val="20"/>
        </w:rPr>
      </w:pPr>
    </w:p>
    <w:p w14:paraId="0312EF32" w14:textId="77777777" w:rsidR="00807933" w:rsidRPr="00BB3C18" w:rsidRDefault="00807933" w:rsidP="005F6429">
      <w:pPr>
        <w:jc w:val="both"/>
        <w:rPr>
          <w:rFonts w:asciiTheme="minorHAnsi" w:hAnsiTheme="minorHAnsi" w:cstheme="minorHAnsi"/>
          <w:b/>
          <w:sz w:val="20"/>
          <w:szCs w:val="20"/>
        </w:rPr>
      </w:pPr>
    </w:p>
    <w:p w14:paraId="0312EF33" w14:textId="77777777" w:rsidR="00807933" w:rsidRPr="00BB3C18" w:rsidRDefault="00807933" w:rsidP="005F6429">
      <w:pPr>
        <w:jc w:val="both"/>
        <w:rPr>
          <w:rFonts w:asciiTheme="minorHAnsi" w:hAnsiTheme="minorHAnsi" w:cstheme="minorHAnsi"/>
          <w:b/>
          <w:sz w:val="20"/>
          <w:szCs w:val="20"/>
        </w:rPr>
      </w:pPr>
    </w:p>
    <w:p w14:paraId="0312EF34" w14:textId="77777777" w:rsidR="00807933" w:rsidRPr="00BB3C18" w:rsidRDefault="00807933" w:rsidP="005F6429">
      <w:pPr>
        <w:jc w:val="both"/>
        <w:rPr>
          <w:rFonts w:asciiTheme="minorHAnsi" w:hAnsiTheme="minorHAnsi" w:cstheme="minorHAnsi"/>
          <w:b/>
          <w:sz w:val="20"/>
          <w:szCs w:val="20"/>
        </w:rPr>
      </w:pPr>
    </w:p>
    <w:p w14:paraId="0312EF35" w14:textId="77777777" w:rsidR="00807933" w:rsidRPr="00BB3C18" w:rsidRDefault="00807933" w:rsidP="005F6429">
      <w:pPr>
        <w:jc w:val="both"/>
        <w:rPr>
          <w:rFonts w:asciiTheme="minorHAnsi" w:hAnsiTheme="minorHAnsi" w:cstheme="minorHAnsi"/>
          <w:b/>
          <w:sz w:val="20"/>
          <w:szCs w:val="20"/>
        </w:rPr>
      </w:pPr>
    </w:p>
    <w:p w14:paraId="0312EF36" w14:textId="77777777" w:rsidR="00807933" w:rsidRPr="00BB3C18" w:rsidRDefault="00807933" w:rsidP="005F6429">
      <w:pPr>
        <w:jc w:val="both"/>
        <w:rPr>
          <w:rFonts w:asciiTheme="minorHAnsi" w:hAnsiTheme="minorHAnsi" w:cstheme="minorHAnsi"/>
          <w:b/>
          <w:sz w:val="20"/>
          <w:szCs w:val="20"/>
        </w:rPr>
      </w:pPr>
    </w:p>
    <w:p w14:paraId="0312EF37" w14:textId="77777777" w:rsidR="00807933" w:rsidRPr="00BB3C18" w:rsidRDefault="00807933" w:rsidP="005F6429">
      <w:pPr>
        <w:jc w:val="both"/>
        <w:rPr>
          <w:rFonts w:asciiTheme="minorHAnsi" w:hAnsiTheme="minorHAnsi" w:cstheme="minorHAnsi"/>
          <w:b/>
          <w:sz w:val="20"/>
          <w:szCs w:val="20"/>
        </w:rPr>
      </w:pPr>
    </w:p>
    <w:p w14:paraId="0312EF38" w14:textId="77777777" w:rsidR="00807933" w:rsidRPr="00BB3C18" w:rsidRDefault="00807933" w:rsidP="005F6429">
      <w:pPr>
        <w:jc w:val="both"/>
        <w:rPr>
          <w:rFonts w:asciiTheme="minorHAnsi" w:hAnsiTheme="minorHAnsi" w:cstheme="minorHAnsi"/>
          <w:b/>
          <w:sz w:val="20"/>
          <w:szCs w:val="20"/>
        </w:rPr>
      </w:pPr>
    </w:p>
    <w:p w14:paraId="0312EF39" w14:textId="77777777" w:rsidR="00807933" w:rsidRPr="00BB3C18" w:rsidRDefault="00807933" w:rsidP="005F6429">
      <w:pPr>
        <w:jc w:val="both"/>
        <w:rPr>
          <w:rFonts w:asciiTheme="minorHAnsi" w:hAnsiTheme="minorHAnsi" w:cstheme="minorHAnsi"/>
          <w:b/>
          <w:sz w:val="20"/>
          <w:szCs w:val="20"/>
        </w:rPr>
      </w:pPr>
    </w:p>
    <w:p w14:paraId="0312EF3A" w14:textId="77777777" w:rsidR="00807933" w:rsidRPr="00BB3C18" w:rsidRDefault="00807933" w:rsidP="005F6429">
      <w:pPr>
        <w:jc w:val="both"/>
        <w:rPr>
          <w:rFonts w:asciiTheme="minorHAnsi" w:hAnsiTheme="minorHAnsi" w:cstheme="minorHAnsi"/>
          <w:b/>
          <w:sz w:val="20"/>
          <w:szCs w:val="20"/>
        </w:rPr>
      </w:pPr>
    </w:p>
    <w:p w14:paraId="0312EF3B" w14:textId="77777777" w:rsidR="00807933" w:rsidRPr="00BB3C18" w:rsidRDefault="00807933" w:rsidP="005F6429">
      <w:pPr>
        <w:jc w:val="both"/>
        <w:rPr>
          <w:rFonts w:asciiTheme="minorHAnsi" w:hAnsiTheme="minorHAnsi" w:cstheme="minorHAnsi"/>
          <w:b/>
          <w:sz w:val="20"/>
          <w:szCs w:val="20"/>
        </w:rPr>
      </w:pPr>
    </w:p>
    <w:p w14:paraId="0312EF3C" w14:textId="77777777" w:rsidR="00807933" w:rsidRPr="00BB3C18" w:rsidRDefault="00807933" w:rsidP="005F6429">
      <w:pPr>
        <w:jc w:val="both"/>
        <w:rPr>
          <w:rFonts w:asciiTheme="minorHAnsi" w:hAnsiTheme="minorHAnsi" w:cstheme="minorHAnsi"/>
          <w:b/>
          <w:sz w:val="20"/>
          <w:szCs w:val="20"/>
        </w:rPr>
      </w:pPr>
    </w:p>
    <w:p w14:paraId="0312EF3D" w14:textId="41C7F244" w:rsidR="00834686" w:rsidRPr="00BB3C18" w:rsidRDefault="00521502" w:rsidP="00D03F5F">
      <w:pPr>
        <w:jc w:val="center"/>
        <w:rPr>
          <w:rFonts w:asciiTheme="minorHAnsi" w:hAnsiTheme="minorHAnsi" w:cstheme="minorHAnsi"/>
          <w:b/>
          <w:sz w:val="36"/>
          <w:szCs w:val="36"/>
        </w:rPr>
      </w:pPr>
      <w:r w:rsidRPr="00BB3C18">
        <w:rPr>
          <w:rFonts w:asciiTheme="minorHAnsi" w:hAnsiTheme="minorHAnsi" w:cstheme="minorHAnsi"/>
          <w:b/>
          <w:sz w:val="36"/>
          <w:szCs w:val="36"/>
        </w:rPr>
        <w:t>ICONIC LABS</w:t>
      </w:r>
      <w:r w:rsidR="001B55A9" w:rsidRPr="00BB3C18">
        <w:rPr>
          <w:rFonts w:asciiTheme="minorHAnsi" w:hAnsiTheme="minorHAnsi" w:cstheme="minorHAnsi"/>
          <w:b/>
          <w:sz w:val="36"/>
          <w:szCs w:val="36"/>
        </w:rPr>
        <w:t xml:space="preserve"> PLC</w:t>
      </w:r>
    </w:p>
    <w:p w14:paraId="0312EF3E" w14:textId="77777777" w:rsidR="005B7F66" w:rsidRPr="00BB3C18" w:rsidRDefault="005B7F66" w:rsidP="005F6429">
      <w:pPr>
        <w:jc w:val="both"/>
        <w:rPr>
          <w:rFonts w:asciiTheme="minorHAnsi" w:hAnsiTheme="minorHAnsi" w:cstheme="minorHAnsi"/>
          <w:b/>
          <w:sz w:val="20"/>
          <w:szCs w:val="20"/>
        </w:rPr>
      </w:pPr>
    </w:p>
    <w:p w14:paraId="0312EF3F" w14:textId="1D43EB3C" w:rsidR="005B7F66" w:rsidRPr="00BB3C18" w:rsidRDefault="001A3D8D" w:rsidP="005F6429">
      <w:pPr>
        <w:jc w:val="center"/>
        <w:rPr>
          <w:rFonts w:asciiTheme="minorHAnsi" w:hAnsiTheme="minorHAnsi" w:cstheme="minorHAnsi"/>
          <w:b/>
          <w:sz w:val="32"/>
          <w:szCs w:val="32"/>
        </w:rPr>
      </w:pPr>
      <w:r>
        <w:rPr>
          <w:rFonts w:asciiTheme="minorHAnsi" w:hAnsiTheme="minorHAnsi" w:cstheme="minorHAnsi"/>
          <w:b/>
          <w:sz w:val="32"/>
          <w:szCs w:val="32"/>
        </w:rPr>
        <w:t xml:space="preserve">AUDITED </w:t>
      </w:r>
      <w:r w:rsidR="001B55C3" w:rsidRPr="00BB3C18">
        <w:rPr>
          <w:rFonts w:asciiTheme="minorHAnsi" w:hAnsiTheme="minorHAnsi" w:cstheme="minorHAnsi"/>
          <w:b/>
          <w:sz w:val="32"/>
          <w:szCs w:val="32"/>
        </w:rPr>
        <w:t>ANNUAL</w:t>
      </w:r>
      <w:r w:rsidR="001B55C3" w:rsidRPr="00BB3C18">
        <w:rPr>
          <w:rFonts w:asciiTheme="minorHAnsi" w:hAnsiTheme="minorHAnsi" w:cstheme="minorHAnsi"/>
          <w:b/>
          <w:sz w:val="28"/>
          <w:szCs w:val="28"/>
        </w:rPr>
        <w:t xml:space="preserve"> </w:t>
      </w:r>
      <w:r w:rsidR="001B55C3" w:rsidRPr="00BB3C18">
        <w:rPr>
          <w:rFonts w:asciiTheme="minorHAnsi" w:hAnsiTheme="minorHAnsi" w:cstheme="minorHAnsi"/>
          <w:b/>
          <w:sz w:val="32"/>
          <w:szCs w:val="32"/>
        </w:rPr>
        <w:t>REPORT</w:t>
      </w:r>
    </w:p>
    <w:p w14:paraId="75AA8BB1" w14:textId="39F0BAE6" w:rsidR="001B55A9" w:rsidRPr="00BB3C18" w:rsidRDefault="001B55A9" w:rsidP="005F6429">
      <w:pPr>
        <w:jc w:val="center"/>
        <w:rPr>
          <w:rFonts w:asciiTheme="minorHAnsi" w:hAnsiTheme="minorHAnsi" w:cstheme="minorHAnsi"/>
          <w:b/>
          <w:sz w:val="32"/>
          <w:szCs w:val="32"/>
        </w:rPr>
      </w:pPr>
      <w:r w:rsidRPr="00BB3C18">
        <w:rPr>
          <w:rFonts w:asciiTheme="minorHAnsi" w:hAnsiTheme="minorHAnsi" w:cstheme="minorHAnsi"/>
          <w:b/>
          <w:sz w:val="32"/>
          <w:szCs w:val="32"/>
        </w:rPr>
        <w:t xml:space="preserve">&amp; </w:t>
      </w:r>
    </w:p>
    <w:p w14:paraId="633EED6F" w14:textId="7C028CF9" w:rsidR="001B55A9" w:rsidRPr="00BB3C18" w:rsidRDefault="001B55A9" w:rsidP="005F6429">
      <w:pPr>
        <w:jc w:val="center"/>
        <w:rPr>
          <w:rFonts w:asciiTheme="minorHAnsi" w:hAnsiTheme="minorHAnsi" w:cstheme="minorHAnsi"/>
          <w:b/>
          <w:sz w:val="28"/>
          <w:szCs w:val="28"/>
        </w:rPr>
      </w:pPr>
      <w:r w:rsidRPr="00BB3C18">
        <w:rPr>
          <w:rFonts w:asciiTheme="minorHAnsi" w:hAnsiTheme="minorHAnsi" w:cstheme="minorHAnsi"/>
          <w:b/>
          <w:sz w:val="32"/>
          <w:szCs w:val="32"/>
        </w:rPr>
        <w:t>ACCOUNTS</w:t>
      </w:r>
    </w:p>
    <w:p w14:paraId="0312EF40" w14:textId="41C68908" w:rsidR="00515287" w:rsidRPr="00BB3C18" w:rsidRDefault="00515287" w:rsidP="00D03F5F">
      <w:pPr>
        <w:spacing w:after="960"/>
        <w:jc w:val="center"/>
        <w:rPr>
          <w:rFonts w:asciiTheme="minorHAnsi" w:hAnsiTheme="minorHAnsi" w:cstheme="minorHAnsi"/>
          <w:b/>
          <w:sz w:val="20"/>
          <w:szCs w:val="20"/>
        </w:rPr>
      </w:pPr>
    </w:p>
    <w:p w14:paraId="0312EF41" w14:textId="2862246F" w:rsidR="005B7F66" w:rsidRPr="00BB3C18" w:rsidRDefault="006424E1" w:rsidP="006424E1">
      <w:pPr>
        <w:tabs>
          <w:tab w:val="left" w:pos="3086"/>
          <w:tab w:val="center" w:pos="4513"/>
        </w:tabs>
        <w:rPr>
          <w:rFonts w:asciiTheme="minorHAnsi" w:hAnsiTheme="minorHAnsi" w:cstheme="minorHAnsi"/>
          <w:b/>
          <w:sz w:val="20"/>
          <w:szCs w:val="20"/>
        </w:rPr>
      </w:pPr>
      <w:r w:rsidRPr="00BB3C18">
        <w:rPr>
          <w:rFonts w:asciiTheme="minorHAnsi" w:hAnsiTheme="minorHAnsi" w:cstheme="minorHAnsi"/>
          <w:b/>
          <w:sz w:val="20"/>
          <w:szCs w:val="20"/>
        </w:rPr>
        <w:tab/>
      </w:r>
      <w:r w:rsidRPr="00BB3C18">
        <w:rPr>
          <w:rFonts w:asciiTheme="minorHAnsi" w:hAnsiTheme="minorHAnsi" w:cstheme="minorHAnsi"/>
          <w:b/>
          <w:sz w:val="20"/>
          <w:szCs w:val="20"/>
        </w:rPr>
        <w:tab/>
      </w:r>
      <w:r w:rsidR="004F3E93">
        <w:rPr>
          <w:rFonts w:asciiTheme="minorHAnsi" w:hAnsiTheme="minorHAnsi" w:cstheme="minorHAnsi"/>
          <w:b/>
          <w:sz w:val="20"/>
          <w:szCs w:val="20"/>
        </w:rPr>
        <w:t>YEAR</w:t>
      </w:r>
      <w:r w:rsidR="00834686" w:rsidRPr="00BB3C18">
        <w:rPr>
          <w:rFonts w:asciiTheme="minorHAnsi" w:hAnsiTheme="minorHAnsi" w:cstheme="minorHAnsi"/>
          <w:b/>
          <w:sz w:val="20"/>
          <w:szCs w:val="20"/>
        </w:rPr>
        <w:t xml:space="preserve"> </w:t>
      </w:r>
      <w:r w:rsidR="005B7F66" w:rsidRPr="00BB3C18">
        <w:rPr>
          <w:rFonts w:asciiTheme="minorHAnsi" w:hAnsiTheme="minorHAnsi" w:cstheme="minorHAnsi"/>
          <w:b/>
          <w:sz w:val="20"/>
          <w:szCs w:val="20"/>
        </w:rPr>
        <w:t xml:space="preserve">ENDED </w:t>
      </w:r>
      <w:r w:rsidR="001B55A9" w:rsidRPr="00BB3C18">
        <w:rPr>
          <w:rFonts w:asciiTheme="minorHAnsi" w:hAnsiTheme="minorHAnsi" w:cstheme="minorHAnsi"/>
          <w:b/>
          <w:sz w:val="20"/>
          <w:szCs w:val="20"/>
        </w:rPr>
        <w:t>30 JUNE 20</w:t>
      </w:r>
      <w:r w:rsidR="00F0622E">
        <w:rPr>
          <w:rFonts w:asciiTheme="minorHAnsi" w:hAnsiTheme="minorHAnsi" w:cstheme="minorHAnsi"/>
          <w:b/>
          <w:sz w:val="20"/>
          <w:szCs w:val="20"/>
        </w:rPr>
        <w:t>2</w:t>
      </w:r>
      <w:r w:rsidR="00030773">
        <w:rPr>
          <w:rFonts w:asciiTheme="minorHAnsi" w:hAnsiTheme="minorHAnsi" w:cstheme="minorHAnsi"/>
          <w:b/>
          <w:sz w:val="20"/>
          <w:szCs w:val="20"/>
        </w:rPr>
        <w:t>2</w:t>
      </w:r>
    </w:p>
    <w:p w14:paraId="0312EF42" w14:textId="77777777" w:rsidR="00D54D74" w:rsidRPr="00BB3C18" w:rsidRDefault="00D54D74" w:rsidP="005F6429">
      <w:pPr>
        <w:jc w:val="center"/>
        <w:rPr>
          <w:rFonts w:asciiTheme="minorHAnsi" w:hAnsiTheme="minorHAnsi" w:cstheme="minorHAnsi"/>
          <w:b/>
          <w:sz w:val="20"/>
          <w:szCs w:val="20"/>
        </w:rPr>
      </w:pPr>
    </w:p>
    <w:p w14:paraId="0312EF43" w14:textId="77777777" w:rsidR="00A57F0D" w:rsidRPr="00BB3C18" w:rsidRDefault="00A57F0D" w:rsidP="005F6429">
      <w:pPr>
        <w:jc w:val="center"/>
        <w:rPr>
          <w:rFonts w:asciiTheme="minorHAnsi" w:hAnsiTheme="minorHAnsi" w:cstheme="minorHAnsi"/>
          <w:b/>
          <w:sz w:val="20"/>
          <w:szCs w:val="20"/>
        </w:rPr>
      </w:pPr>
    </w:p>
    <w:p w14:paraId="0312EF44" w14:textId="77777777" w:rsidR="00A57F0D" w:rsidRPr="00BB3C18" w:rsidRDefault="00A57F0D" w:rsidP="005F6429">
      <w:pPr>
        <w:jc w:val="center"/>
        <w:rPr>
          <w:rFonts w:asciiTheme="minorHAnsi" w:hAnsiTheme="minorHAnsi" w:cstheme="minorHAnsi"/>
          <w:b/>
          <w:sz w:val="20"/>
          <w:szCs w:val="20"/>
        </w:rPr>
      </w:pPr>
    </w:p>
    <w:p w14:paraId="0312EF45" w14:textId="77777777" w:rsidR="00A57F0D" w:rsidRPr="00BB3C18" w:rsidRDefault="00A57F0D" w:rsidP="005F6429">
      <w:pPr>
        <w:jc w:val="center"/>
        <w:rPr>
          <w:rFonts w:asciiTheme="minorHAnsi" w:hAnsiTheme="minorHAnsi" w:cstheme="minorHAnsi"/>
          <w:b/>
          <w:sz w:val="20"/>
          <w:szCs w:val="20"/>
        </w:rPr>
        <w:sectPr w:rsidR="00A57F0D" w:rsidRPr="00BB3C18" w:rsidSect="00D203D6">
          <w:headerReference w:type="default" r:id="rId8"/>
          <w:pgSz w:w="11906" w:h="16838"/>
          <w:pgMar w:top="1440" w:right="1440" w:bottom="1440" w:left="1440" w:header="708" w:footer="708" w:gutter="0"/>
          <w:cols w:space="708"/>
          <w:docGrid w:linePitch="360"/>
        </w:sectPr>
      </w:pPr>
    </w:p>
    <w:tbl>
      <w:tblPr>
        <w:tblW w:w="9464" w:type="dxa"/>
        <w:tblLook w:val="00A0" w:firstRow="1" w:lastRow="0" w:firstColumn="1" w:lastColumn="0" w:noHBand="0" w:noVBand="0"/>
      </w:tblPr>
      <w:tblGrid>
        <w:gridCol w:w="5778"/>
        <w:gridCol w:w="3686"/>
      </w:tblGrid>
      <w:tr w:rsidR="008B23BA" w:rsidRPr="00BB3C18" w14:paraId="0312EF48" w14:textId="77777777" w:rsidTr="00A7285C">
        <w:tc>
          <w:tcPr>
            <w:tcW w:w="5778" w:type="dxa"/>
          </w:tcPr>
          <w:p w14:paraId="0312EF46" w14:textId="77777777" w:rsidR="005B7F66" w:rsidRPr="00BB3C18" w:rsidRDefault="005B7F66" w:rsidP="00735456">
            <w:pPr>
              <w:tabs>
                <w:tab w:val="left" w:pos="5812"/>
                <w:tab w:val="left" w:pos="6663"/>
                <w:tab w:val="right" w:pos="8931"/>
              </w:tabs>
              <w:rPr>
                <w:rFonts w:asciiTheme="minorHAnsi" w:hAnsiTheme="minorHAnsi" w:cstheme="minorHAnsi"/>
                <w:sz w:val="20"/>
                <w:szCs w:val="20"/>
                <w:lang w:val="en-US"/>
              </w:rPr>
            </w:pPr>
          </w:p>
        </w:tc>
        <w:tc>
          <w:tcPr>
            <w:tcW w:w="3686" w:type="dxa"/>
          </w:tcPr>
          <w:p w14:paraId="0312EF47" w14:textId="77777777" w:rsidR="005B7F66" w:rsidRPr="00BB3C18" w:rsidRDefault="005B7F66" w:rsidP="00A7285C">
            <w:pPr>
              <w:tabs>
                <w:tab w:val="left" w:pos="5812"/>
                <w:tab w:val="left" w:pos="6663"/>
                <w:tab w:val="right" w:pos="8931"/>
              </w:tabs>
              <w:spacing w:after="120"/>
              <w:jc w:val="right"/>
              <w:rPr>
                <w:rFonts w:asciiTheme="minorHAnsi" w:hAnsiTheme="minorHAnsi" w:cstheme="minorHAnsi"/>
                <w:b/>
                <w:sz w:val="20"/>
                <w:szCs w:val="20"/>
                <w:lang w:val="en-US"/>
              </w:rPr>
            </w:pPr>
            <w:r w:rsidRPr="00BB3C18">
              <w:rPr>
                <w:rFonts w:asciiTheme="minorHAnsi" w:hAnsiTheme="minorHAnsi" w:cstheme="minorHAnsi"/>
                <w:b/>
                <w:sz w:val="20"/>
                <w:szCs w:val="20"/>
                <w:lang w:val="en-US"/>
              </w:rPr>
              <w:t>Pages</w:t>
            </w:r>
          </w:p>
        </w:tc>
      </w:tr>
      <w:tr w:rsidR="008B23BA" w:rsidRPr="00BB3C18" w14:paraId="0312EF4B" w14:textId="77777777" w:rsidTr="00A7285C">
        <w:tc>
          <w:tcPr>
            <w:tcW w:w="5778" w:type="dxa"/>
          </w:tcPr>
          <w:p w14:paraId="0312EF49" w14:textId="7161B466" w:rsidR="005B7F66" w:rsidRPr="00BB3C18" w:rsidRDefault="005B7F66" w:rsidP="00735456">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 xml:space="preserve">Company </w:t>
            </w:r>
            <w:r w:rsidR="00DC06F6">
              <w:rPr>
                <w:rFonts w:asciiTheme="minorHAnsi" w:hAnsiTheme="minorHAnsi" w:cstheme="minorHAnsi"/>
                <w:sz w:val="20"/>
                <w:szCs w:val="20"/>
                <w:lang w:val="en-US"/>
              </w:rPr>
              <w:t>I</w:t>
            </w:r>
            <w:r w:rsidRPr="00BB3C18">
              <w:rPr>
                <w:rFonts w:asciiTheme="minorHAnsi" w:hAnsiTheme="minorHAnsi" w:cstheme="minorHAnsi"/>
                <w:sz w:val="20"/>
                <w:szCs w:val="20"/>
                <w:lang w:val="en-US"/>
              </w:rPr>
              <w:t>nformation</w:t>
            </w:r>
          </w:p>
        </w:tc>
        <w:tc>
          <w:tcPr>
            <w:tcW w:w="3686" w:type="dxa"/>
          </w:tcPr>
          <w:p w14:paraId="0312EF4A" w14:textId="60E6CBBA" w:rsidR="0084747C" w:rsidRPr="0024018C" w:rsidRDefault="001C4AA8" w:rsidP="00A7285C">
            <w:pPr>
              <w:tabs>
                <w:tab w:val="left" w:pos="5812"/>
                <w:tab w:val="left" w:pos="6663"/>
                <w:tab w:val="right" w:pos="8931"/>
              </w:tabs>
              <w:jc w:val="right"/>
              <w:rPr>
                <w:rFonts w:asciiTheme="minorHAnsi" w:hAnsiTheme="minorHAnsi" w:cstheme="minorHAnsi"/>
                <w:sz w:val="20"/>
                <w:szCs w:val="20"/>
                <w:lang w:val="en-US"/>
              </w:rPr>
            </w:pPr>
            <w:r w:rsidRPr="0024018C">
              <w:rPr>
                <w:rFonts w:asciiTheme="minorHAnsi" w:hAnsiTheme="minorHAnsi" w:cstheme="minorHAnsi"/>
                <w:sz w:val="20"/>
                <w:szCs w:val="20"/>
                <w:lang w:val="en-US"/>
              </w:rPr>
              <w:t>1</w:t>
            </w:r>
          </w:p>
        </w:tc>
      </w:tr>
      <w:tr w:rsidR="00A7285C" w:rsidRPr="00BB3C18" w14:paraId="0312EF4E" w14:textId="77777777" w:rsidTr="00A7285C">
        <w:tc>
          <w:tcPr>
            <w:tcW w:w="5778" w:type="dxa"/>
          </w:tcPr>
          <w:p w14:paraId="0312EF4C" w14:textId="77777777" w:rsidR="00A7285C" w:rsidRPr="00BB3C18" w:rsidRDefault="00A7285C" w:rsidP="00735456">
            <w:pPr>
              <w:tabs>
                <w:tab w:val="left" w:pos="5812"/>
                <w:tab w:val="left" w:pos="6663"/>
                <w:tab w:val="right" w:pos="8931"/>
              </w:tabs>
              <w:rPr>
                <w:rFonts w:asciiTheme="minorHAnsi" w:hAnsiTheme="minorHAnsi" w:cstheme="minorHAnsi"/>
                <w:sz w:val="20"/>
                <w:szCs w:val="20"/>
                <w:lang w:val="en-US"/>
              </w:rPr>
            </w:pPr>
          </w:p>
        </w:tc>
        <w:tc>
          <w:tcPr>
            <w:tcW w:w="3686" w:type="dxa"/>
          </w:tcPr>
          <w:p w14:paraId="0312EF4D" w14:textId="77777777" w:rsidR="00A7285C" w:rsidRPr="0024018C" w:rsidRDefault="00A7285C" w:rsidP="00C60DC3">
            <w:pPr>
              <w:tabs>
                <w:tab w:val="left" w:pos="5812"/>
                <w:tab w:val="left" w:pos="6663"/>
                <w:tab w:val="right" w:pos="8931"/>
              </w:tabs>
              <w:jc w:val="right"/>
              <w:rPr>
                <w:rFonts w:asciiTheme="minorHAnsi" w:hAnsiTheme="minorHAnsi" w:cstheme="minorHAnsi"/>
                <w:sz w:val="20"/>
                <w:szCs w:val="20"/>
                <w:lang w:val="en-US"/>
              </w:rPr>
            </w:pPr>
          </w:p>
        </w:tc>
      </w:tr>
      <w:tr w:rsidR="008B23BA" w:rsidRPr="00BB3C18" w14:paraId="0312EF51" w14:textId="77777777" w:rsidTr="00A7285C">
        <w:tc>
          <w:tcPr>
            <w:tcW w:w="5778" w:type="dxa"/>
          </w:tcPr>
          <w:p w14:paraId="0312EF4F" w14:textId="5A6E400B" w:rsidR="00111E4F" w:rsidRPr="00BB3C18" w:rsidRDefault="00AD7EE6" w:rsidP="00735456">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C</w:t>
            </w:r>
            <w:r w:rsidR="00020FB1">
              <w:rPr>
                <w:rFonts w:asciiTheme="minorHAnsi" w:hAnsiTheme="minorHAnsi" w:cstheme="minorHAnsi"/>
                <w:sz w:val="20"/>
                <w:szCs w:val="20"/>
                <w:lang w:val="en-US"/>
              </w:rPr>
              <w:t>hief Executive and C</w:t>
            </w:r>
            <w:r w:rsidRPr="00BB3C18">
              <w:rPr>
                <w:rFonts w:asciiTheme="minorHAnsi" w:hAnsiTheme="minorHAnsi" w:cstheme="minorHAnsi"/>
                <w:sz w:val="20"/>
                <w:szCs w:val="20"/>
                <w:lang w:val="en-US"/>
              </w:rPr>
              <w:t>hairman</w:t>
            </w:r>
            <w:r w:rsidR="003A2A85" w:rsidRPr="00BB3C18">
              <w:rPr>
                <w:rFonts w:asciiTheme="minorHAnsi" w:hAnsiTheme="minorHAnsi" w:cstheme="minorHAnsi"/>
                <w:sz w:val="20"/>
                <w:szCs w:val="20"/>
                <w:lang w:val="en-US"/>
              </w:rPr>
              <w:t xml:space="preserve">’s </w:t>
            </w:r>
            <w:r w:rsidR="00DC06F6">
              <w:rPr>
                <w:rFonts w:asciiTheme="minorHAnsi" w:hAnsiTheme="minorHAnsi" w:cstheme="minorHAnsi"/>
                <w:sz w:val="20"/>
                <w:szCs w:val="20"/>
                <w:lang w:val="en-US"/>
              </w:rPr>
              <w:t>R</w:t>
            </w:r>
            <w:r w:rsidR="00521502" w:rsidRPr="00BB3C18">
              <w:rPr>
                <w:rFonts w:asciiTheme="minorHAnsi" w:hAnsiTheme="minorHAnsi" w:cstheme="minorHAnsi"/>
                <w:sz w:val="20"/>
                <w:szCs w:val="20"/>
                <w:lang w:val="en-US"/>
              </w:rPr>
              <w:t>e</w:t>
            </w:r>
            <w:r w:rsidR="00717F28" w:rsidRPr="00BB3C18">
              <w:rPr>
                <w:rFonts w:asciiTheme="minorHAnsi" w:hAnsiTheme="minorHAnsi" w:cstheme="minorHAnsi"/>
                <w:sz w:val="20"/>
                <w:szCs w:val="20"/>
                <w:lang w:val="en-US"/>
              </w:rPr>
              <w:t>port</w:t>
            </w:r>
          </w:p>
        </w:tc>
        <w:tc>
          <w:tcPr>
            <w:tcW w:w="3686" w:type="dxa"/>
          </w:tcPr>
          <w:p w14:paraId="0312EF50" w14:textId="75BC5FEC" w:rsidR="00111E4F" w:rsidRPr="0024018C" w:rsidRDefault="001C4AA8" w:rsidP="00DB22AF">
            <w:pPr>
              <w:tabs>
                <w:tab w:val="left" w:pos="5812"/>
                <w:tab w:val="left" w:pos="6663"/>
                <w:tab w:val="right" w:pos="8931"/>
              </w:tabs>
              <w:jc w:val="right"/>
              <w:rPr>
                <w:rFonts w:asciiTheme="minorHAnsi" w:hAnsiTheme="minorHAnsi" w:cstheme="minorHAnsi"/>
                <w:sz w:val="20"/>
                <w:szCs w:val="20"/>
                <w:lang w:val="en-US"/>
              </w:rPr>
            </w:pPr>
            <w:r w:rsidRPr="0024018C">
              <w:rPr>
                <w:rFonts w:asciiTheme="minorHAnsi" w:hAnsiTheme="minorHAnsi" w:cstheme="minorHAnsi"/>
                <w:sz w:val="20"/>
                <w:szCs w:val="20"/>
                <w:lang w:val="en-US"/>
              </w:rPr>
              <w:t>2</w:t>
            </w:r>
          </w:p>
        </w:tc>
      </w:tr>
      <w:tr w:rsidR="008B23BA" w:rsidRPr="00BB3C18" w14:paraId="0312EF54" w14:textId="77777777" w:rsidTr="00A7285C">
        <w:tc>
          <w:tcPr>
            <w:tcW w:w="5778" w:type="dxa"/>
          </w:tcPr>
          <w:p w14:paraId="0312EF52" w14:textId="77777777" w:rsidR="001003AE" w:rsidRPr="00BB3C18" w:rsidRDefault="001003AE" w:rsidP="00735456">
            <w:pPr>
              <w:tabs>
                <w:tab w:val="left" w:pos="5812"/>
                <w:tab w:val="left" w:pos="6663"/>
                <w:tab w:val="right" w:pos="8931"/>
              </w:tabs>
              <w:rPr>
                <w:rFonts w:asciiTheme="minorHAnsi" w:hAnsiTheme="minorHAnsi" w:cstheme="minorHAnsi"/>
                <w:sz w:val="20"/>
                <w:szCs w:val="20"/>
                <w:lang w:val="en-US"/>
              </w:rPr>
            </w:pPr>
          </w:p>
        </w:tc>
        <w:tc>
          <w:tcPr>
            <w:tcW w:w="3686" w:type="dxa"/>
          </w:tcPr>
          <w:p w14:paraId="0312EF53" w14:textId="77777777" w:rsidR="001003AE" w:rsidRPr="005F1232" w:rsidRDefault="001003AE" w:rsidP="004C00D6">
            <w:pPr>
              <w:tabs>
                <w:tab w:val="left" w:pos="5812"/>
                <w:tab w:val="left" w:pos="6663"/>
                <w:tab w:val="right" w:pos="8931"/>
              </w:tabs>
              <w:jc w:val="center"/>
              <w:rPr>
                <w:rFonts w:asciiTheme="minorHAnsi" w:hAnsiTheme="minorHAnsi" w:cstheme="minorHAnsi"/>
                <w:sz w:val="20"/>
                <w:szCs w:val="20"/>
                <w:highlight w:val="yellow"/>
                <w:lang w:val="en-US"/>
              </w:rPr>
            </w:pPr>
          </w:p>
        </w:tc>
      </w:tr>
      <w:tr w:rsidR="00A7285C" w:rsidRPr="0024018C" w14:paraId="0312EF57" w14:textId="77777777" w:rsidTr="001C4AA8">
        <w:trPr>
          <w:trHeight w:val="187"/>
        </w:trPr>
        <w:tc>
          <w:tcPr>
            <w:tcW w:w="5778" w:type="dxa"/>
          </w:tcPr>
          <w:p w14:paraId="0312EF55" w14:textId="145D4E95" w:rsidR="00A7285C" w:rsidRPr="00BB3C18" w:rsidRDefault="00521502"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S</w:t>
            </w:r>
            <w:r w:rsidR="00A7285C" w:rsidRPr="00BB3C18">
              <w:rPr>
                <w:rFonts w:asciiTheme="minorHAnsi" w:hAnsiTheme="minorHAnsi" w:cstheme="minorHAnsi"/>
                <w:sz w:val="20"/>
                <w:szCs w:val="20"/>
                <w:lang w:val="en-US"/>
              </w:rPr>
              <w:t xml:space="preserve">trategic </w:t>
            </w:r>
            <w:r w:rsidR="00DC06F6">
              <w:rPr>
                <w:rFonts w:asciiTheme="minorHAnsi" w:hAnsiTheme="minorHAnsi" w:cstheme="minorHAnsi"/>
                <w:sz w:val="20"/>
                <w:szCs w:val="20"/>
                <w:lang w:val="en-US"/>
              </w:rPr>
              <w:t>R</w:t>
            </w:r>
            <w:r w:rsidR="00A7285C" w:rsidRPr="00BB3C18">
              <w:rPr>
                <w:rFonts w:asciiTheme="minorHAnsi" w:hAnsiTheme="minorHAnsi" w:cstheme="minorHAnsi"/>
                <w:sz w:val="20"/>
                <w:szCs w:val="20"/>
                <w:lang w:val="en-US"/>
              </w:rPr>
              <w:t>eport</w:t>
            </w:r>
          </w:p>
        </w:tc>
        <w:tc>
          <w:tcPr>
            <w:tcW w:w="3686" w:type="dxa"/>
          </w:tcPr>
          <w:p w14:paraId="0312EF56" w14:textId="7044DD3F" w:rsidR="00A7285C" w:rsidRPr="0024018C" w:rsidRDefault="00580ED9"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7</w:t>
            </w:r>
          </w:p>
        </w:tc>
      </w:tr>
      <w:tr w:rsidR="00521502" w:rsidRPr="00BB3C18" w14:paraId="4397429E" w14:textId="77777777" w:rsidTr="00A7285C">
        <w:tc>
          <w:tcPr>
            <w:tcW w:w="5778" w:type="dxa"/>
          </w:tcPr>
          <w:p w14:paraId="2117A1C3" w14:textId="77777777" w:rsidR="00521502" w:rsidRPr="00BB3C18" w:rsidRDefault="00521502"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22A58976" w14:textId="77777777" w:rsidR="00521502" w:rsidRPr="005F1232" w:rsidRDefault="00521502" w:rsidP="00A7285C">
            <w:pPr>
              <w:tabs>
                <w:tab w:val="left" w:pos="5812"/>
                <w:tab w:val="left" w:pos="6663"/>
                <w:tab w:val="right" w:pos="8931"/>
              </w:tabs>
              <w:jc w:val="right"/>
              <w:rPr>
                <w:rFonts w:asciiTheme="minorHAnsi" w:hAnsiTheme="minorHAnsi" w:cstheme="minorHAnsi"/>
                <w:sz w:val="20"/>
                <w:szCs w:val="20"/>
                <w:highlight w:val="yellow"/>
                <w:lang w:val="en-US"/>
              </w:rPr>
            </w:pPr>
          </w:p>
        </w:tc>
      </w:tr>
      <w:tr w:rsidR="00521502" w:rsidRPr="0024018C" w14:paraId="18C532FF" w14:textId="77777777" w:rsidTr="00A7285C">
        <w:tc>
          <w:tcPr>
            <w:tcW w:w="5778" w:type="dxa"/>
          </w:tcPr>
          <w:p w14:paraId="770AD9AC" w14:textId="5A9C5729" w:rsidR="00521502" w:rsidRPr="00BB3C18" w:rsidRDefault="00521502"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 xml:space="preserve">Corporate Governance </w:t>
            </w:r>
            <w:r w:rsidR="00DC06F6">
              <w:rPr>
                <w:rFonts w:asciiTheme="minorHAnsi" w:hAnsiTheme="minorHAnsi" w:cstheme="minorHAnsi"/>
                <w:sz w:val="20"/>
                <w:szCs w:val="20"/>
                <w:lang w:val="en-US"/>
              </w:rPr>
              <w:t>R</w:t>
            </w:r>
            <w:r w:rsidRPr="00BB3C18">
              <w:rPr>
                <w:rFonts w:asciiTheme="minorHAnsi" w:hAnsiTheme="minorHAnsi" w:cstheme="minorHAnsi"/>
                <w:sz w:val="20"/>
                <w:szCs w:val="20"/>
                <w:lang w:val="en-US"/>
              </w:rPr>
              <w:t>eport</w:t>
            </w:r>
          </w:p>
        </w:tc>
        <w:tc>
          <w:tcPr>
            <w:tcW w:w="3686" w:type="dxa"/>
          </w:tcPr>
          <w:p w14:paraId="764D911E" w14:textId="1CE8BEF6" w:rsidR="00521502" w:rsidRPr="0024018C" w:rsidRDefault="00BA5AA6"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1</w:t>
            </w:r>
            <w:r w:rsidR="00915FA8">
              <w:rPr>
                <w:rFonts w:asciiTheme="minorHAnsi" w:hAnsiTheme="minorHAnsi" w:cstheme="minorHAnsi"/>
                <w:sz w:val="20"/>
                <w:szCs w:val="20"/>
                <w:lang w:val="en-US"/>
              </w:rPr>
              <w:t>2</w:t>
            </w:r>
          </w:p>
        </w:tc>
      </w:tr>
      <w:tr w:rsidR="00B0057F" w:rsidRPr="00BB3C18" w14:paraId="43A00BC7" w14:textId="77777777" w:rsidTr="00A7285C">
        <w:tc>
          <w:tcPr>
            <w:tcW w:w="5778" w:type="dxa"/>
          </w:tcPr>
          <w:p w14:paraId="5BE86CB6" w14:textId="77777777" w:rsidR="00B0057F" w:rsidRPr="00BB3C18" w:rsidRDefault="00B0057F"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7E9F62D9" w14:textId="77777777" w:rsidR="00B0057F" w:rsidRPr="005F1232" w:rsidRDefault="00B0057F" w:rsidP="00A7285C">
            <w:pPr>
              <w:tabs>
                <w:tab w:val="left" w:pos="5812"/>
                <w:tab w:val="left" w:pos="6663"/>
                <w:tab w:val="right" w:pos="8931"/>
              </w:tabs>
              <w:jc w:val="right"/>
              <w:rPr>
                <w:rFonts w:asciiTheme="minorHAnsi" w:hAnsiTheme="minorHAnsi" w:cstheme="minorHAnsi"/>
                <w:sz w:val="20"/>
                <w:szCs w:val="20"/>
                <w:highlight w:val="yellow"/>
                <w:lang w:val="en-US"/>
              </w:rPr>
            </w:pPr>
          </w:p>
        </w:tc>
      </w:tr>
      <w:tr w:rsidR="00B0057F" w:rsidRPr="00BB3C18" w14:paraId="4DE82E98" w14:textId="77777777" w:rsidTr="00A7285C">
        <w:tc>
          <w:tcPr>
            <w:tcW w:w="5778" w:type="dxa"/>
          </w:tcPr>
          <w:p w14:paraId="6DF0AF53" w14:textId="6F1E599B" w:rsidR="00FF6F5A" w:rsidRPr="00BB3C18" w:rsidRDefault="00B0057F"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 xml:space="preserve">Remuneration </w:t>
            </w:r>
            <w:r w:rsidR="00064BF1">
              <w:rPr>
                <w:rFonts w:asciiTheme="minorHAnsi" w:hAnsiTheme="minorHAnsi" w:cstheme="minorHAnsi"/>
                <w:sz w:val="20"/>
                <w:szCs w:val="20"/>
                <w:lang w:val="en-US"/>
              </w:rPr>
              <w:t xml:space="preserve">Committee </w:t>
            </w:r>
            <w:r w:rsidR="00DC06F6">
              <w:rPr>
                <w:rFonts w:asciiTheme="minorHAnsi" w:hAnsiTheme="minorHAnsi" w:cstheme="minorHAnsi"/>
                <w:sz w:val="20"/>
                <w:szCs w:val="20"/>
                <w:lang w:val="en-US"/>
              </w:rPr>
              <w:t>R</w:t>
            </w:r>
            <w:r w:rsidRPr="00BB3C18">
              <w:rPr>
                <w:rFonts w:asciiTheme="minorHAnsi" w:hAnsiTheme="minorHAnsi" w:cstheme="minorHAnsi"/>
                <w:sz w:val="20"/>
                <w:szCs w:val="20"/>
                <w:lang w:val="en-US"/>
              </w:rPr>
              <w:t>eport</w:t>
            </w:r>
          </w:p>
        </w:tc>
        <w:tc>
          <w:tcPr>
            <w:tcW w:w="3686" w:type="dxa"/>
          </w:tcPr>
          <w:p w14:paraId="458301C8" w14:textId="27F2AD9F" w:rsidR="00B0057F" w:rsidRPr="0024018C" w:rsidRDefault="00915FA8"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18</w:t>
            </w:r>
          </w:p>
        </w:tc>
      </w:tr>
      <w:tr w:rsidR="00A7285C" w:rsidRPr="00BB3C18" w14:paraId="0312EF5A" w14:textId="77777777" w:rsidTr="00A7285C">
        <w:tc>
          <w:tcPr>
            <w:tcW w:w="5778" w:type="dxa"/>
          </w:tcPr>
          <w:p w14:paraId="0312EF58"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59" w14:textId="77777777" w:rsidR="00A7285C" w:rsidRPr="0024018C"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FF6F5A" w:rsidRPr="00BB3C18" w14:paraId="076A94AF" w14:textId="77777777" w:rsidTr="00A7285C">
        <w:tc>
          <w:tcPr>
            <w:tcW w:w="5778" w:type="dxa"/>
          </w:tcPr>
          <w:p w14:paraId="26792BC6" w14:textId="01DEC817" w:rsidR="00FF6F5A" w:rsidRPr="00BB3C18" w:rsidRDefault="00FF6F5A" w:rsidP="00A7285C">
            <w:pPr>
              <w:tabs>
                <w:tab w:val="left" w:pos="5812"/>
                <w:tab w:val="left" w:pos="6663"/>
                <w:tab w:val="right" w:pos="8931"/>
              </w:tabs>
              <w:rPr>
                <w:rFonts w:asciiTheme="minorHAnsi" w:hAnsiTheme="minorHAnsi" w:cstheme="minorHAnsi"/>
                <w:sz w:val="20"/>
                <w:szCs w:val="20"/>
                <w:lang w:val="en-US"/>
              </w:rPr>
            </w:pPr>
            <w:r>
              <w:rPr>
                <w:rFonts w:asciiTheme="minorHAnsi" w:hAnsiTheme="minorHAnsi" w:cstheme="minorHAnsi"/>
                <w:sz w:val="20"/>
                <w:szCs w:val="20"/>
                <w:lang w:val="en-US"/>
              </w:rPr>
              <w:t xml:space="preserve">Audit Committee Report </w:t>
            </w:r>
          </w:p>
        </w:tc>
        <w:tc>
          <w:tcPr>
            <w:tcW w:w="3686" w:type="dxa"/>
          </w:tcPr>
          <w:p w14:paraId="7015F2F4" w14:textId="23FB86D4" w:rsidR="00FF6F5A" w:rsidRDefault="00FF6F5A"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2</w:t>
            </w:r>
            <w:r w:rsidR="00915FA8">
              <w:rPr>
                <w:rFonts w:asciiTheme="minorHAnsi" w:hAnsiTheme="minorHAnsi" w:cstheme="minorHAnsi"/>
                <w:sz w:val="20"/>
                <w:szCs w:val="20"/>
                <w:lang w:val="en-US"/>
              </w:rPr>
              <w:t>0</w:t>
            </w:r>
          </w:p>
          <w:p w14:paraId="11911F4D" w14:textId="326F3A22" w:rsidR="00FF6F5A" w:rsidRPr="0024018C" w:rsidRDefault="00FF6F5A"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BB3C18" w14:paraId="0312EF5D" w14:textId="77777777" w:rsidTr="00A7285C">
        <w:tc>
          <w:tcPr>
            <w:tcW w:w="5778" w:type="dxa"/>
          </w:tcPr>
          <w:p w14:paraId="0312EF5B" w14:textId="527DBD82"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 xml:space="preserve">Directors’ </w:t>
            </w:r>
            <w:r w:rsidR="00DC06F6">
              <w:rPr>
                <w:rFonts w:asciiTheme="minorHAnsi" w:hAnsiTheme="minorHAnsi" w:cstheme="minorHAnsi"/>
                <w:sz w:val="20"/>
                <w:szCs w:val="20"/>
                <w:lang w:val="en-US"/>
              </w:rPr>
              <w:t>R</w:t>
            </w:r>
            <w:r w:rsidRPr="00BB3C18">
              <w:rPr>
                <w:rFonts w:asciiTheme="minorHAnsi" w:hAnsiTheme="minorHAnsi" w:cstheme="minorHAnsi"/>
                <w:sz w:val="20"/>
                <w:szCs w:val="20"/>
                <w:lang w:val="en-US"/>
              </w:rPr>
              <w:t>eport</w:t>
            </w:r>
          </w:p>
        </w:tc>
        <w:tc>
          <w:tcPr>
            <w:tcW w:w="3686" w:type="dxa"/>
          </w:tcPr>
          <w:p w14:paraId="0312EF5C" w14:textId="0370333C" w:rsidR="00A7285C" w:rsidRPr="0024018C" w:rsidRDefault="00DD0BAB" w:rsidP="00A7285C">
            <w:pPr>
              <w:tabs>
                <w:tab w:val="left" w:pos="5812"/>
                <w:tab w:val="left" w:pos="6663"/>
                <w:tab w:val="right" w:pos="8931"/>
              </w:tabs>
              <w:jc w:val="right"/>
              <w:rPr>
                <w:rFonts w:asciiTheme="minorHAnsi" w:hAnsiTheme="minorHAnsi" w:cstheme="minorHAnsi"/>
                <w:sz w:val="20"/>
                <w:szCs w:val="20"/>
                <w:lang w:val="en-US"/>
              </w:rPr>
            </w:pPr>
            <w:r w:rsidRPr="0024018C">
              <w:rPr>
                <w:rFonts w:asciiTheme="minorHAnsi" w:hAnsiTheme="minorHAnsi" w:cstheme="minorHAnsi"/>
                <w:sz w:val="20"/>
                <w:szCs w:val="20"/>
                <w:lang w:val="en-US"/>
              </w:rPr>
              <w:t>2</w:t>
            </w:r>
            <w:r w:rsidR="00915FA8">
              <w:rPr>
                <w:rFonts w:asciiTheme="minorHAnsi" w:hAnsiTheme="minorHAnsi" w:cstheme="minorHAnsi"/>
                <w:sz w:val="20"/>
                <w:szCs w:val="20"/>
                <w:lang w:val="en-US"/>
              </w:rPr>
              <w:t>1</w:t>
            </w:r>
          </w:p>
        </w:tc>
      </w:tr>
      <w:tr w:rsidR="00A7285C" w:rsidRPr="00BB3C18" w14:paraId="0312EF60" w14:textId="77777777" w:rsidTr="00A7285C">
        <w:tc>
          <w:tcPr>
            <w:tcW w:w="5778" w:type="dxa"/>
          </w:tcPr>
          <w:p w14:paraId="0312EF5E"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5F" w14:textId="77777777" w:rsidR="00A7285C" w:rsidRPr="0024018C"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064BF1" w14:paraId="0312EF63" w14:textId="77777777" w:rsidTr="00A7285C">
        <w:tc>
          <w:tcPr>
            <w:tcW w:w="5778" w:type="dxa"/>
          </w:tcPr>
          <w:p w14:paraId="0312EF61" w14:textId="72E298BB" w:rsidR="00A7285C" w:rsidRPr="00064BF1" w:rsidRDefault="00A7285C" w:rsidP="00A7285C">
            <w:pPr>
              <w:tabs>
                <w:tab w:val="left" w:pos="5812"/>
                <w:tab w:val="left" w:pos="6663"/>
                <w:tab w:val="right" w:pos="8931"/>
              </w:tabs>
              <w:rPr>
                <w:rFonts w:asciiTheme="minorHAnsi" w:hAnsiTheme="minorHAnsi" w:cstheme="minorHAnsi"/>
                <w:sz w:val="20"/>
                <w:szCs w:val="20"/>
                <w:lang w:val="en-US"/>
              </w:rPr>
            </w:pPr>
            <w:r w:rsidRPr="00064BF1">
              <w:rPr>
                <w:rFonts w:asciiTheme="minorHAnsi" w:hAnsiTheme="minorHAnsi" w:cstheme="minorHAnsi"/>
                <w:sz w:val="20"/>
                <w:szCs w:val="20"/>
                <w:lang w:val="en-US"/>
              </w:rPr>
              <w:t xml:space="preserve">Independent Auditor’s </w:t>
            </w:r>
            <w:r w:rsidR="00DC06F6">
              <w:rPr>
                <w:rFonts w:asciiTheme="minorHAnsi" w:hAnsiTheme="minorHAnsi" w:cstheme="minorHAnsi"/>
                <w:sz w:val="20"/>
                <w:szCs w:val="20"/>
                <w:lang w:val="en-US"/>
              </w:rPr>
              <w:t>R</w:t>
            </w:r>
            <w:r w:rsidRPr="00064BF1">
              <w:rPr>
                <w:rFonts w:asciiTheme="minorHAnsi" w:hAnsiTheme="minorHAnsi" w:cstheme="minorHAnsi"/>
                <w:sz w:val="20"/>
                <w:szCs w:val="20"/>
                <w:lang w:val="en-US"/>
              </w:rPr>
              <w:t xml:space="preserve">eport </w:t>
            </w:r>
          </w:p>
        </w:tc>
        <w:tc>
          <w:tcPr>
            <w:tcW w:w="3686" w:type="dxa"/>
          </w:tcPr>
          <w:p w14:paraId="0312EF62" w14:textId="026A2B77" w:rsidR="00A7285C" w:rsidRPr="00182A81" w:rsidRDefault="009B21DA"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2</w:t>
            </w:r>
            <w:r w:rsidR="00915FA8">
              <w:rPr>
                <w:rFonts w:asciiTheme="minorHAnsi" w:hAnsiTheme="minorHAnsi" w:cstheme="minorHAnsi"/>
                <w:sz w:val="20"/>
                <w:szCs w:val="20"/>
                <w:lang w:val="en-US"/>
              </w:rPr>
              <w:t>3</w:t>
            </w:r>
          </w:p>
        </w:tc>
      </w:tr>
      <w:tr w:rsidR="00A7285C" w:rsidRPr="00BB3C18" w14:paraId="0312EF66" w14:textId="77777777" w:rsidTr="00A7285C">
        <w:tc>
          <w:tcPr>
            <w:tcW w:w="5778" w:type="dxa"/>
          </w:tcPr>
          <w:p w14:paraId="0312EF64"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65" w14:textId="77777777" w:rsidR="00A7285C" w:rsidRPr="00182A81"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BB3C18" w14:paraId="0312EF69" w14:textId="77777777" w:rsidTr="00A7285C">
        <w:tc>
          <w:tcPr>
            <w:tcW w:w="5778" w:type="dxa"/>
          </w:tcPr>
          <w:p w14:paraId="0312EF67"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Consolidated Statement of Comprehensive Income</w:t>
            </w:r>
          </w:p>
        </w:tc>
        <w:tc>
          <w:tcPr>
            <w:tcW w:w="3686" w:type="dxa"/>
          </w:tcPr>
          <w:p w14:paraId="0312EF68" w14:textId="57F7AE88" w:rsidR="00A7285C" w:rsidRPr="00182A81" w:rsidRDefault="00915FA8"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29</w:t>
            </w:r>
          </w:p>
        </w:tc>
      </w:tr>
      <w:tr w:rsidR="00A7285C" w:rsidRPr="00BB3C18" w14:paraId="0312EF6C" w14:textId="77777777" w:rsidTr="00A7285C">
        <w:tc>
          <w:tcPr>
            <w:tcW w:w="5778" w:type="dxa"/>
          </w:tcPr>
          <w:p w14:paraId="0312EF6A"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6B" w14:textId="77777777" w:rsidR="00A7285C" w:rsidRPr="00182A81"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BB3C18" w14:paraId="0312EF6F" w14:textId="77777777" w:rsidTr="00A7285C">
        <w:tc>
          <w:tcPr>
            <w:tcW w:w="5778" w:type="dxa"/>
          </w:tcPr>
          <w:p w14:paraId="0312EF6D"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Consolidated Statement of Financial Position</w:t>
            </w:r>
          </w:p>
        </w:tc>
        <w:tc>
          <w:tcPr>
            <w:tcW w:w="3686" w:type="dxa"/>
          </w:tcPr>
          <w:p w14:paraId="0312EF6E" w14:textId="53EF894C" w:rsidR="00A7285C" w:rsidRPr="00182A81" w:rsidRDefault="00801EFD"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3</w:t>
            </w:r>
            <w:r w:rsidR="00915FA8">
              <w:rPr>
                <w:rFonts w:asciiTheme="minorHAnsi" w:hAnsiTheme="minorHAnsi" w:cstheme="minorHAnsi"/>
                <w:sz w:val="20"/>
                <w:szCs w:val="20"/>
                <w:lang w:val="en-US"/>
              </w:rPr>
              <w:t>0</w:t>
            </w:r>
          </w:p>
        </w:tc>
      </w:tr>
      <w:tr w:rsidR="00A7285C" w:rsidRPr="00BB3C18" w14:paraId="0312EF72" w14:textId="77777777" w:rsidTr="00A7285C">
        <w:tc>
          <w:tcPr>
            <w:tcW w:w="5778" w:type="dxa"/>
          </w:tcPr>
          <w:p w14:paraId="0312EF70"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71" w14:textId="77777777" w:rsidR="00A7285C" w:rsidRPr="00182A81"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BB3C18" w14:paraId="0312EF75" w14:textId="77777777" w:rsidTr="00A7285C">
        <w:tc>
          <w:tcPr>
            <w:tcW w:w="5778" w:type="dxa"/>
          </w:tcPr>
          <w:p w14:paraId="0312EF73"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Consolidated Statement of Changes in Equity</w:t>
            </w:r>
          </w:p>
        </w:tc>
        <w:tc>
          <w:tcPr>
            <w:tcW w:w="3686" w:type="dxa"/>
          </w:tcPr>
          <w:p w14:paraId="0312EF74" w14:textId="2773060C" w:rsidR="00A7285C" w:rsidRPr="00182A81" w:rsidRDefault="009B21DA"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3</w:t>
            </w:r>
            <w:r w:rsidR="00915FA8">
              <w:rPr>
                <w:rFonts w:asciiTheme="minorHAnsi" w:hAnsiTheme="minorHAnsi" w:cstheme="minorHAnsi"/>
                <w:sz w:val="20"/>
                <w:szCs w:val="20"/>
                <w:lang w:val="en-US"/>
              </w:rPr>
              <w:t>1</w:t>
            </w:r>
          </w:p>
        </w:tc>
      </w:tr>
      <w:tr w:rsidR="00A7285C" w:rsidRPr="00BB3C18" w14:paraId="0312EF78" w14:textId="77777777" w:rsidTr="00A7285C">
        <w:tc>
          <w:tcPr>
            <w:tcW w:w="5778" w:type="dxa"/>
          </w:tcPr>
          <w:p w14:paraId="0312EF76"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77" w14:textId="77777777" w:rsidR="00A7285C" w:rsidRPr="00182A81"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BB3C18" w14:paraId="0312EF7B" w14:textId="77777777" w:rsidTr="00A7285C">
        <w:tc>
          <w:tcPr>
            <w:tcW w:w="5778" w:type="dxa"/>
          </w:tcPr>
          <w:p w14:paraId="0312EF79"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Consolidated Statement of Cash Flows</w:t>
            </w:r>
          </w:p>
        </w:tc>
        <w:tc>
          <w:tcPr>
            <w:tcW w:w="3686" w:type="dxa"/>
          </w:tcPr>
          <w:p w14:paraId="0312EF7A" w14:textId="02BBC13F" w:rsidR="00A7285C" w:rsidRPr="00182A81" w:rsidRDefault="009B21DA"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3</w:t>
            </w:r>
            <w:r w:rsidR="00915FA8">
              <w:rPr>
                <w:rFonts w:asciiTheme="minorHAnsi" w:hAnsiTheme="minorHAnsi" w:cstheme="minorHAnsi"/>
                <w:sz w:val="20"/>
                <w:szCs w:val="20"/>
                <w:lang w:val="en-US"/>
              </w:rPr>
              <w:t>2</w:t>
            </w:r>
          </w:p>
        </w:tc>
      </w:tr>
      <w:tr w:rsidR="00A7285C" w:rsidRPr="00BB3C18" w14:paraId="0312EF7E" w14:textId="77777777" w:rsidTr="00A7285C">
        <w:tc>
          <w:tcPr>
            <w:tcW w:w="5778" w:type="dxa"/>
          </w:tcPr>
          <w:p w14:paraId="0312EF7C"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7D" w14:textId="77777777" w:rsidR="00A7285C" w:rsidRPr="005F1232" w:rsidRDefault="00A7285C" w:rsidP="00A7285C">
            <w:pPr>
              <w:tabs>
                <w:tab w:val="left" w:pos="5812"/>
                <w:tab w:val="left" w:pos="6663"/>
                <w:tab w:val="right" w:pos="8931"/>
              </w:tabs>
              <w:jc w:val="right"/>
              <w:rPr>
                <w:rFonts w:asciiTheme="minorHAnsi" w:hAnsiTheme="minorHAnsi" w:cstheme="minorHAnsi"/>
                <w:sz w:val="20"/>
                <w:szCs w:val="20"/>
                <w:highlight w:val="yellow"/>
                <w:lang w:val="en-US"/>
              </w:rPr>
            </w:pPr>
          </w:p>
        </w:tc>
      </w:tr>
      <w:tr w:rsidR="00A7285C" w:rsidRPr="00BB3C18" w14:paraId="0312EF81" w14:textId="77777777" w:rsidTr="00A7285C">
        <w:tc>
          <w:tcPr>
            <w:tcW w:w="5778" w:type="dxa"/>
          </w:tcPr>
          <w:p w14:paraId="0312EF7F"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Company Statement of Financial Position</w:t>
            </w:r>
          </w:p>
        </w:tc>
        <w:tc>
          <w:tcPr>
            <w:tcW w:w="3686" w:type="dxa"/>
          </w:tcPr>
          <w:p w14:paraId="0312EF80" w14:textId="77F13AEA" w:rsidR="00A7285C" w:rsidRPr="00182A81" w:rsidRDefault="00E13F63"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3</w:t>
            </w:r>
            <w:r w:rsidR="00915FA8">
              <w:rPr>
                <w:rFonts w:asciiTheme="minorHAnsi" w:hAnsiTheme="minorHAnsi" w:cstheme="minorHAnsi"/>
                <w:sz w:val="20"/>
                <w:szCs w:val="20"/>
                <w:lang w:val="en-US"/>
              </w:rPr>
              <w:t>3</w:t>
            </w:r>
          </w:p>
        </w:tc>
      </w:tr>
      <w:tr w:rsidR="00A7285C" w:rsidRPr="00BB3C18" w14:paraId="0312EF84" w14:textId="77777777" w:rsidTr="00A7285C">
        <w:tc>
          <w:tcPr>
            <w:tcW w:w="5778" w:type="dxa"/>
          </w:tcPr>
          <w:p w14:paraId="0312EF82"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83" w14:textId="77777777" w:rsidR="00A7285C" w:rsidRPr="00182A81"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BB3C18" w14:paraId="0312EF87" w14:textId="77777777" w:rsidTr="00A7285C">
        <w:tc>
          <w:tcPr>
            <w:tcW w:w="5778" w:type="dxa"/>
          </w:tcPr>
          <w:p w14:paraId="0312EF85"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Company Statement of Changes in Equity</w:t>
            </w:r>
          </w:p>
        </w:tc>
        <w:tc>
          <w:tcPr>
            <w:tcW w:w="3686" w:type="dxa"/>
          </w:tcPr>
          <w:p w14:paraId="0312EF86" w14:textId="7C6E2994" w:rsidR="00A7285C" w:rsidRPr="00182A81" w:rsidRDefault="00E13F63"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3</w:t>
            </w:r>
            <w:r w:rsidR="00915FA8">
              <w:rPr>
                <w:rFonts w:asciiTheme="minorHAnsi" w:hAnsiTheme="minorHAnsi" w:cstheme="minorHAnsi"/>
                <w:sz w:val="20"/>
                <w:szCs w:val="20"/>
                <w:lang w:val="en-US"/>
              </w:rPr>
              <w:t>4</w:t>
            </w:r>
          </w:p>
        </w:tc>
      </w:tr>
      <w:tr w:rsidR="00A7285C" w:rsidRPr="00BB3C18" w14:paraId="0312EF8A" w14:textId="77777777" w:rsidTr="00A7285C">
        <w:tc>
          <w:tcPr>
            <w:tcW w:w="5778" w:type="dxa"/>
          </w:tcPr>
          <w:p w14:paraId="0312EF88"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89" w14:textId="77777777" w:rsidR="00A7285C" w:rsidRPr="00182A81" w:rsidRDefault="00A7285C" w:rsidP="00A7285C">
            <w:pPr>
              <w:tabs>
                <w:tab w:val="left" w:pos="5812"/>
                <w:tab w:val="left" w:pos="6663"/>
                <w:tab w:val="right" w:pos="8931"/>
              </w:tabs>
              <w:jc w:val="right"/>
              <w:rPr>
                <w:rFonts w:asciiTheme="minorHAnsi" w:hAnsiTheme="minorHAnsi" w:cstheme="minorHAnsi"/>
                <w:sz w:val="20"/>
                <w:szCs w:val="20"/>
                <w:lang w:val="en-US"/>
              </w:rPr>
            </w:pPr>
          </w:p>
        </w:tc>
      </w:tr>
      <w:tr w:rsidR="00A7285C" w:rsidRPr="00BB3C18" w14:paraId="0312EF93" w14:textId="77777777" w:rsidTr="00A7285C">
        <w:tc>
          <w:tcPr>
            <w:tcW w:w="5778" w:type="dxa"/>
          </w:tcPr>
          <w:p w14:paraId="0312EF91"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r w:rsidRPr="00BB3C18">
              <w:rPr>
                <w:rFonts w:asciiTheme="minorHAnsi" w:hAnsiTheme="minorHAnsi" w:cstheme="minorHAnsi"/>
                <w:sz w:val="20"/>
                <w:szCs w:val="20"/>
                <w:lang w:val="en-US"/>
              </w:rPr>
              <w:t>Notes to the Consolidated Financial Statements</w:t>
            </w:r>
          </w:p>
        </w:tc>
        <w:tc>
          <w:tcPr>
            <w:tcW w:w="3686" w:type="dxa"/>
          </w:tcPr>
          <w:p w14:paraId="0312EF92" w14:textId="293E0C60" w:rsidR="00A7285C" w:rsidRPr="00182A81" w:rsidRDefault="00B11E26" w:rsidP="00A7285C">
            <w:pPr>
              <w:tabs>
                <w:tab w:val="left" w:pos="5812"/>
                <w:tab w:val="left" w:pos="6663"/>
                <w:tab w:val="right" w:pos="8931"/>
              </w:tabs>
              <w:jc w:val="right"/>
              <w:rPr>
                <w:rFonts w:asciiTheme="minorHAnsi" w:hAnsiTheme="minorHAnsi" w:cstheme="minorHAnsi"/>
                <w:sz w:val="20"/>
                <w:szCs w:val="20"/>
                <w:lang w:val="en-US"/>
              </w:rPr>
            </w:pPr>
            <w:r>
              <w:rPr>
                <w:rFonts w:asciiTheme="minorHAnsi" w:hAnsiTheme="minorHAnsi" w:cstheme="minorHAnsi"/>
                <w:sz w:val="20"/>
                <w:szCs w:val="20"/>
                <w:lang w:val="en-US"/>
              </w:rPr>
              <w:t>3</w:t>
            </w:r>
            <w:r w:rsidR="00915FA8">
              <w:rPr>
                <w:rFonts w:asciiTheme="minorHAnsi" w:hAnsiTheme="minorHAnsi" w:cstheme="minorHAnsi"/>
                <w:sz w:val="20"/>
                <w:szCs w:val="20"/>
                <w:lang w:val="en-US"/>
              </w:rPr>
              <w:t>5</w:t>
            </w:r>
          </w:p>
        </w:tc>
      </w:tr>
      <w:tr w:rsidR="00A7285C" w:rsidRPr="00BB3C18" w14:paraId="0312EF96" w14:textId="77777777" w:rsidTr="00A7285C">
        <w:tc>
          <w:tcPr>
            <w:tcW w:w="5778" w:type="dxa"/>
          </w:tcPr>
          <w:p w14:paraId="0312EF94" w14:textId="77777777" w:rsidR="00A7285C" w:rsidRPr="00BB3C18" w:rsidRDefault="00A7285C" w:rsidP="00A7285C">
            <w:pPr>
              <w:tabs>
                <w:tab w:val="left" w:pos="5812"/>
                <w:tab w:val="left" w:pos="6663"/>
                <w:tab w:val="right" w:pos="8931"/>
              </w:tabs>
              <w:rPr>
                <w:rFonts w:asciiTheme="minorHAnsi" w:hAnsiTheme="minorHAnsi" w:cstheme="minorHAnsi"/>
                <w:sz w:val="20"/>
                <w:szCs w:val="20"/>
                <w:lang w:val="en-US"/>
              </w:rPr>
            </w:pPr>
          </w:p>
        </w:tc>
        <w:tc>
          <w:tcPr>
            <w:tcW w:w="3686" w:type="dxa"/>
          </w:tcPr>
          <w:p w14:paraId="0312EF95" w14:textId="77777777" w:rsidR="00A7285C" w:rsidRPr="00182A81" w:rsidRDefault="00A7285C" w:rsidP="00A7285C">
            <w:pPr>
              <w:tabs>
                <w:tab w:val="left" w:pos="5812"/>
                <w:tab w:val="left" w:pos="6663"/>
                <w:tab w:val="right" w:pos="8931"/>
              </w:tabs>
              <w:jc w:val="right"/>
              <w:rPr>
                <w:rFonts w:asciiTheme="minorHAnsi" w:hAnsiTheme="minorHAnsi" w:cstheme="minorHAnsi"/>
                <w:sz w:val="20"/>
                <w:szCs w:val="20"/>
                <w:lang w:val="en-US"/>
              </w:rPr>
            </w:pPr>
          </w:p>
        </w:tc>
      </w:tr>
    </w:tbl>
    <w:p w14:paraId="0312EF97" w14:textId="77777777" w:rsidR="005B7F66" w:rsidRPr="00BB3C18" w:rsidRDefault="005B7F66" w:rsidP="0065438C">
      <w:pPr>
        <w:jc w:val="both"/>
        <w:rPr>
          <w:rFonts w:asciiTheme="minorHAnsi" w:hAnsiTheme="minorHAnsi" w:cstheme="minorHAnsi"/>
          <w:sz w:val="20"/>
          <w:szCs w:val="20"/>
        </w:rPr>
        <w:sectPr w:rsidR="005B7F66" w:rsidRPr="00BB3C18" w:rsidSect="0065438C">
          <w:headerReference w:type="even" r:id="rId9"/>
          <w:headerReference w:type="default" r:id="rId10"/>
          <w:headerReference w:type="first" r:id="rId11"/>
          <w:pgSz w:w="11906" w:h="16838"/>
          <w:pgMar w:top="1440" w:right="1133" w:bottom="1440" w:left="1440" w:header="708" w:footer="708" w:gutter="0"/>
          <w:cols w:space="708"/>
          <w:docGrid w:linePitch="360"/>
        </w:sectPr>
      </w:pPr>
    </w:p>
    <w:tbl>
      <w:tblPr>
        <w:tblW w:w="9072" w:type="dxa"/>
        <w:tblLook w:val="00A0" w:firstRow="1" w:lastRow="0" w:firstColumn="1" w:lastColumn="0" w:noHBand="0" w:noVBand="0"/>
      </w:tblPr>
      <w:tblGrid>
        <w:gridCol w:w="3397"/>
        <w:gridCol w:w="5675"/>
      </w:tblGrid>
      <w:tr w:rsidR="00AB136D" w:rsidRPr="00BB3C18" w14:paraId="0312EF9E" w14:textId="77777777" w:rsidTr="00805241">
        <w:tc>
          <w:tcPr>
            <w:tcW w:w="3397" w:type="dxa"/>
          </w:tcPr>
          <w:p w14:paraId="506ADDE9" w14:textId="77777777" w:rsidR="00AB136D" w:rsidRPr="00BB3C18" w:rsidRDefault="00AB136D" w:rsidP="00AB136D">
            <w:pPr>
              <w:rPr>
                <w:rFonts w:asciiTheme="minorHAnsi" w:hAnsiTheme="minorHAnsi" w:cstheme="minorHAnsi"/>
                <w:sz w:val="20"/>
                <w:szCs w:val="20"/>
                <w:lang w:val="en-US"/>
              </w:rPr>
            </w:pPr>
          </w:p>
          <w:p w14:paraId="2ED01E1E" w14:textId="77777777" w:rsidR="00AB136D" w:rsidRPr="00BB3C18" w:rsidRDefault="00AB136D" w:rsidP="00AB136D">
            <w:pPr>
              <w:rPr>
                <w:rFonts w:asciiTheme="minorHAnsi" w:hAnsiTheme="minorHAnsi" w:cstheme="minorHAnsi"/>
                <w:sz w:val="20"/>
                <w:szCs w:val="20"/>
                <w:lang w:val="en-US"/>
              </w:rPr>
            </w:pPr>
            <w:r w:rsidRPr="00BB3C18">
              <w:rPr>
                <w:rFonts w:asciiTheme="minorHAnsi" w:hAnsiTheme="minorHAnsi" w:cstheme="minorHAnsi"/>
                <w:b/>
                <w:sz w:val="20"/>
                <w:szCs w:val="20"/>
                <w:lang w:val="en-US"/>
              </w:rPr>
              <w:t>Directors</w:t>
            </w:r>
          </w:p>
          <w:p w14:paraId="0312EF98" w14:textId="6AA4FF9B" w:rsidR="00AB136D" w:rsidRPr="00BB3C18" w:rsidRDefault="00AB136D" w:rsidP="00AB136D">
            <w:pPr>
              <w:spacing w:before="120" w:after="120"/>
              <w:rPr>
                <w:rFonts w:asciiTheme="minorHAnsi" w:hAnsiTheme="minorHAnsi" w:cstheme="minorHAnsi"/>
                <w:b/>
                <w:sz w:val="20"/>
                <w:szCs w:val="20"/>
                <w:lang w:val="en-US"/>
              </w:rPr>
            </w:pPr>
          </w:p>
        </w:tc>
        <w:tc>
          <w:tcPr>
            <w:tcW w:w="5675" w:type="dxa"/>
          </w:tcPr>
          <w:p w14:paraId="01204303" w14:textId="77777777" w:rsidR="00AB136D" w:rsidRPr="00BB3C18" w:rsidRDefault="00AB136D" w:rsidP="00AB136D">
            <w:pPr>
              <w:rPr>
                <w:rFonts w:asciiTheme="minorHAnsi" w:hAnsiTheme="minorHAnsi" w:cstheme="minorHAnsi"/>
                <w:sz w:val="20"/>
                <w:szCs w:val="20"/>
                <w:lang w:val="en-US"/>
              </w:rPr>
            </w:pPr>
          </w:p>
          <w:p w14:paraId="4DB782F6"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David Stybr</w:t>
            </w:r>
          </w:p>
          <w:p w14:paraId="1427EC0A"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Bradley Taylor</w:t>
            </w:r>
          </w:p>
          <w:p w14:paraId="5A970450"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Wilhelmus Van Der Meer</w:t>
            </w:r>
          </w:p>
          <w:p w14:paraId="6E8D523E" w14:textId="77777777" w:rsidR="00AB136D" w:rsidRPr="00BB3C18"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Marija Hrebac</w:t>
            </w:r>
          </w:p>
          <w:p w14:paraId="0312EF9D" w14:textId="70546C82" w:rsidR="00AB136D" w:rsidRPr="00BB3C18" w:rsidRDefault="00AB136D" w:rsidP="00AB136D">
            <w:pPr>
              <w:rPr>
                <w:rFonts w:asciiTheme="minorHAnsi" w:hAnsiTheme="minorHAnsi" w:cstheme="minorHAnsi"/>
                <w:sz w:val="20"/>
                <w:szCs w:val="20"/>
                <w:lang w:val="en-US"/>
              </w:rPr>
            </w:pPr>
          </w:p>
        </w:tc>
      </w:tr>
      <w:tr w:rsidR="00AB136D" w:rsidRPr="00BB3C18" w14:paraId="0312EFA1" w14:textId="77777777" w:rsidTr="00805241">
        <w:tc>
          <w:tcPr>
            <w:tcW w:w="3397" w:type="dxa"/>
          </w:tcPr>
          <w:p w14:paraId="0F5E7089" w14:textId="77777777" w:rsidR="00AB136D" w:rsidRDefault="00AB136D" w:rsidP="00AB136D">
            <w:pPr>
              <w:rPr>
                <w:rFonts w:asciiTheme="minorHAnsi" w:hAnsiTheme="minorHAnsi" w:cstheme="minorHAnsi"/>
                <w:b/>
                <w:sz w:val="20"/>
                <w:szCs w:val="20"/>
                <w:lang w:val="en-US"/>
              </w:rPr>
            </w:pPr>
          </w:p>
          <w:p w14:paraId="0312EF9F" w14:textId="350FDDFC" w:rsidR="00AB136D" w:rsidRPr="00BB3C18" w:rsidRDefault="00AB136D" w:rsidP="001E69E9">
            <w:pPr>
              <w:rPr>
                <w:rFonts w:asciiTheme="minorHAnsi" w:hAnsiTheme="minorHAnsi" w:cstheme="minorHAnsi"/>
                <w:b/>
                <w:sz w:val="20"/>
                <w:szCs w:val="20"/>
                <w:lang w:val="en-US"/>
              </w:rPr>
            </w:pPr>
            <w:r w:rsidRPr="00BB3C18">
              <w:rPr>
                <w:rFonts w:asciiTheme="minorHAnsi" w:hAnsiTheme="minorHAnsi" w:cstheme="minorHAnsi"/>
                <w:b/>
                <w:sz w:val="20"/>
                <w:szCs w:val="20"/>
                <w:lang w:val="en-US"/>
              </w:rPr>
              <w:t>Company secretary</w:t>
            </w:r>
          </w:p>
        </w:tc>
        <w:tc>
          <w:tcPr>
            <w:tcW w:w="5675" w:type="dxa"/>
          </w:tcPr>
          <w:p w14:paraId="3CC3D873" w14:textId="77777777" w:rsidR="00AB136D" w:rsidRDefault="00AB136D" w:rsidP="00AB136D">
            <w:pPr>
              <w:rPr>
                <w:rFonts w:asciiTheme="minorHAnsi" w:hAnsiTheme="minorHAnsi" w:cstheme="minorHAnsi"/>
                <w:bCs/>
                <w:sz w:val="20"/>
                <w:szCs w:val="20"/>
                <w:lang w:val="en-US"/>
              </w:rPr>
            </w:pPr>
          </w:p>
          <w:p w14:paraId="40538DB1" w14:textId="670E5081" w:rsidR="00AB136D" w:rsidRPr="00F67634" w:rsidRDefault="00AB136D" w:rsidP="00AB136D">
            <w:pPr>
              <w:rPr>
                <w:rFonts w:asciiTheme="minorHAnsi" w:hAnsiTheme="minorHAnsi" w:cstheme="minorHAnsi"/>
                <w:bCs/>
                <w:sz w:val="20"/>
                <w:szCs w:val="20"/>
                <w:lang w:val="en-US"/>
              </w:rPr>
            </w:pPr>
            <w:r w:rsidRPr="00F67634">
              <w:rPr>
                <w:rFonts w:asciiTheme="minorHAnsi" w:hAnsiTheme="minorHAnsi" w:cstheme="minorHAnsi"/>
                <w:bCs/>
                <w:sz w:val="20"/>
                <w:szCs w:val="20"/>
                <w:lang w:val="en-US"/>
              </w:rPr>
              <w:t>AMBA Secretaries Limited</w:t>
            </w:r>
          </w:p>
          <w:p w14:paraId="606F97F0" w14:textId="77777777" w:rsidR="00AB136D" w:rsidRPr="00F67634" w:rsidRDefault="00AB136D" w:rsidP="00AB136D">
            <w:pPr>
              <w:rPr>
                <w:rFonts w:asciiTheme="minorHAnsi" w:hAnsiTheme="minorHAnsi" w:cstheme="minorHAnsi"/>
                <w:bCs/>
                <w:sz w:val="20"/>
                <w:szCs w:val="20"/>
                <w:lang w:val="en-US"/>
              </w:rPr>
            </w:pPr>
            <w:r w:rsidRPr="00F67634">
              <w:rPr>
                <w:rFonts w:asciiTheme="minorHAnsi" w:hAnsiTheme="minorHAnsi" w:cstheme="minorHAnsi"/>
                <w:bCs/>
                <w:sz w:val="20"/>
                <w:szCs w:val="20"/>
                <w:lang w:val="en-US"/>
              </w:rPr>
              <w:t>400 Thames Valley Park Drive</w:t>
            </w:r>
          </w:p>
          <w:p w14:paraId="3424CDD2" w14:textId="77777777" w:rsidR="00AB136D" w:rsidRPr="00F67634" w:rsidRDefault="00AB136D" w:rsidP="00AB136D">
            <w:pPr>
              <w:rPr>
                <w:rFonts w:asciiTheme="minorHAnsi" w:hAnsiTheme="minorHAnsi" w:cstheme="minorHAnsi"/>
                <w:bCs/>
                <w:sz w:val="20"/>
                <w:szCs w:val="20"/>
                <w:lang w:val="en-US"/>
              </w:rPr>
            </w:pPr>
            <w:r w:rsidRPr="00F67634">
              <w:rPr>
                <w:rFonts w:asciiTheme="minorHAnsi" w:hAnsiTheme="minorHAnsi" w:cstheme="minorHAnsi"/>
                <w:bCs/>
                <w:sz w:val="20"/>
                <w:szCs w:val="20"/>
                <w:lang w:val="en-US"/>
              </w:rPr>
              <w:t xml:space="preserve">Reading, Berkshire </w:t>
            </w:r>
          </w:p>
          <w:p w14:paraId="02F8BFE5" w14:textId="77777777" w:rsidR="00AB136D" w:rsidRPr="00F67634" w:rsidRDefault="00AB136D" w:rsidP="00AB136D">
            <w:pPr>
              <w:rPr>
                <w:rFonts w:asciiTheme="minorHAnsi" w:hAnsiTheme="minorHAnsi" w:cstheme="minorHAnsi"/>
                <w:bCs/>
                <w:sz w:val="20"/>
                <w:szCs w:val="20"/>
                <w:lang w:val="en-US"/>
              </w:rPr>
            </w:pPr>
            <w:r w:rsidRPr="00F67634">
              <w:rPr>
                <w:rFonts w:asciiTheme="minorHAnsi" w:hAnsiTheme="minorHAnsi" w:cstheme="minorHAnsi"/>
                <w:bCs/>
                <w:sz w:val="20"/>
                <w:szCs w:val="20"/>
                <w:lang w:val="en-US"/>
              </w:rPr>
              <w:t>RG6 1PT</w:t>
            </w:r>
          </w:p>
          <w:p w14:paraId="0312EFA0" w14:textId="75BC651A" w:rsidR="00AB136D" w:rsidRPr="00F10782" w:rsidRDefault="00AB136D" w:rsidP="00AB136D">
            <w:pPr>
              <w:rPr>
                <w:rFonts w:asciiTheme="minorHAnsi" w:hAnsiTheme="minorHAnsi" w:cstheme="minorHAnsi"/>
                <w:sz w:val="20"/>
                <w:szCs w:val="20"/>
                <w:lang w:val="en-US"/>
              </w:rPr>
            </w:pPr>
          </w:p>
        </w:tc>
      </w:tr>
      <w:tr w:rsidR="00AB136D" w:rsidRPr="00BB3C18" w14:paraId="0312EFA4" w14:textId="77777777" w:rsidTr="00805241">
        <w:tc>
          <w:tcPr>
            <w:tcW w:w="3397" w:type="dxa"/>
          </w:tcPr>
          <w:p w14:paraId="0312EFA2" w14:textId="6E805B2F" w:rsidR="00AB136D" w:rsidRPr="00BB3C18" w:rsidRDefault="00AB136D" w:rsidP="00AB136D">
            <w:pPr>
              <w:spacing w:before="120" w:after="120"/>
              <w:rPr>
                <w:rFonts w:asciiTheme="minorHAnsi" w:hAnsiTheme="minorHAnsi" w:cstheme="minorHAnsi"/>
                <w:b/>
                <w:sz w:val="20"/>
                <w:szCs w:val="20"/>
                <w:lang w:val="en-US"/>
              </w:rPr>
            </w:pPr>
            <w:r w:rsidRPr="00BB3C18">
              <w:rPr>
                <w:rFonts w:asciiTheme="minorHAnsi" w:hAnsiTheme="minorHAnsi" w:cstheme="minorHAnsi"/>
                <w:b/>
                <w:sz w:val="20"/>
                <w:szCs w:val="20"/>
                <w:lang w:val="en-US"/>
              </w:rPr>
              <w:t>Company number</w:t>
            </w:r>
          </w:p>
        </w:tc>
        <w:tc>
          <w:tcPr>
            <w:tcW w:w="5675" w:type="dxa"/>
          </w:tcPr>
          <w:p w14:paraId="0312EFA3" w14:textId="5500B2A9" w:rsidR="00AB136D" w:rsidRPr="00BB3C18" w:rsidRDefault="00AB136D" w:rsidP="00AB136D">
            <w:pPr>
              <w:spacing w:before="120" w:after="120"/>
              <w:rPr>
                <w:rFonts w:asciiTheme="minorHAnsi" w:hAnsiTheme="minorHAnsi" w:cstheme="minorHAnsi"/>
                <w:sz w:val="20"/>
                <w:szCs w:val="20"/>
                <w:lang w:val="en-US"/>
              </w:rPr>
            </w:pPr>
            <w:r w:rsidRPr="00BB3C18">
              <w:rPr>
                <w:rFonts w:asciiTheme="minorHAnsi" w:hAnsiTheme="minorHAnsi" w:cstheme="minorHAnsi"/>
                <w:sz w:val="20"/>
                <w:szCs w:val="20"/>
                <w:lang w:val="en-US"/>
              </w:rPr>
              <w:t>10197256</w:t>
            </w:r>
          </w:p>
        </w:tc>
      </w:tr>
      <w:tr w:rsidR="00AB136D" w:rsidRPr="00BB3C18" w14:paraId="0312EFA7" w14:textId="77777777" w:rsidTr="00C118B0">
        <w:tc>
          <w:tcPr>
            <w:tcW w:w="3397" w:type="dxa"/>
          </w:tcPr>
          <w:p w14:paraId="16D2E6E5" w14:textId="77777777" w:rsidR="00AB136D" w:rsidRPr="00BB3C18" w:rsidRDefault="00AB136D" w:rsidP="00AB136D">
            <w:pPr>
              <w:rPr>
                <w:rFonts w:asciiTheme="minorHAnsi" w:hAnsiTheme="minorHAnsi" w:cstheme="minorHAnsi"/>
                <w:b/>
                <w:sz w:val="20"/>
                <w:szCs w:val="20"/>
                <w:lang w:val="en-US"/>
              </w:rPr>
            </w:pPr>
          </w:p>
          <w:p w14:paraId="33F0AF71" w14:textId="77777777" w:rsidR="00AB136D" w:rsidRPr="00BB3C18" w:rsidRDefault="00AB136D" w:rsidP="00AB136D">
            <w:pPr>
              <w:rPr>
                <w:rFonts w:asciiTheme="minorHAnsi" w:hAnsiTheme="minorHAnsi" w:cstheme="minorHAnsi"/>
                <w:b/>
                <w:sz w:val="20"/>
                <w:szCs w:val="20"/>
                <w:lang w:val="en-US"/>
              </w:rPr>
            </w:pPr>
            <w:r w:rsidRPr="00BB3C18">
              <w:rPr>
                <w:rFonts w:asciiTheme="minorHAnsi" w:hAnsiTheme="minorHAnsi" w:cstheme="minorHAnsi"/>
                <w:b/>
                <w:sz w:val="20"/>
                <w:szCs w:val="20"/>
                <w:lang w:val="en-US"/>
              </w:rPr>
              <w:t>Registered office</w:t>
            </w:r>
          </w:p>
          <w:p w14:paraId="33874A22" w14:textId="77777777" w:rsidR="00AB136D" w:rsidRPr="00BB3C18" w:rsidRDefault="00AB136D" w:rsidP="00AB136D">
            <w:pPr>
              <w:rPr>
                <w:rFonts w:asciiTheme="minorHAnsi" w:hAnsiTheme="minorHAnsi" w:cstheme="minorHAnsi"/>
                <w:b/>
                <w:sz w:val="20"/>
                <w:szCs w:val="20"/>
                <w:lang w:val="en-US"/>
              </w:rPr>
            </w:pPr>
          </w:p>
          <w:p w14:paraId="6833CA26" w14:textId="77777777" w:rsidR="00AB136D" w:rsidRPr="00BB3C18" w:rsidRDefault="00AB136D" w:rsidP="00AB136D">
            <w:pPr>
              <w:rPr>
                <w:rFonts w:asciiTheme="minorHAnsi" w:hAnsiTheme="minorHAnsi" w:cstheme="minorHAnsi"/>
                <w:b/>
                <w:sz w:val="20"/>
                <w:szCs w:val="20"/>
                <w:lang w:val="en-US"/>
              </w:rPr>
            </w:pPr>
          </w:p>
          <w:p w14:paraId="0312EFA5" w14:textId="476B4480" w:rsidR="00AB136D" w:rsidRPr="00BB3C18" w:rsidRDefault="00AB136D" w:rsidP="00AB136D">
            <w:pPr>
              <w:rPr>
                <w:rFonts w:asciiTheme="minorHAnsi" w:hAnsiTheme="minorHAnsi" w:cstheme="minorHAnsi"/>
                <w:b/>
                <w:sz w:val="20"/>
                <w:szCs w:val="20"/>
                <w:lang w:val="en-US"/>
              </w:rPr>
            </w:pPr>
          </w:p>
        </w:tc>
        <w:tc>
          <w:tcPr>
            <w:tcW w:w="5675" w:type="dxa"/>
          </w:tcPr>
          <w:p w14:paraId="76E1E6FF" w14:textId="77777777" w:rsidR="00AB136D" w:rsidRPr="00BB3C18" w:rsidRDefault="00AB136D" w:rsidP="00AB136D">
            <w:pPr>
              <w:rPr>
                <w:rFonts w:asciiTheme="minorHAnsi" w:hAnsiTheme="minorHAnsi" w:cstheme="minorHAnsi"/>
                <w:sz w:val="20"/>
                <w:szCs w:val="20"/>
                <w:lang w:val="en-US"/>
              </w:rPr>
            </w:pPr>
          </w:p>
          <w:p w14:paraId="5367AD63"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3 Field Court</w:t>
            </w:r>
          </w:p>
          <w:p w14:paraId="4B738668"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London</w:t>
            </w:r>
          </w:p>
          <w:p w14:paraId="29F81CA6" w14:textId="77777777" w:rsidR="00AB136D" w:rsidRPr="00BB3C18"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WC1R 5EF</w:t>
            </w:r>
          </w:p>
          <w:p w14:paraId="0312EFA6" w14:textId="25DEFECE" w:rsidR="00AB136D" w:rsidRPr="00727767" w:rsidRDefault="00AB136D" w:rsidP="00AB136D">
            <w:pPr>
              <w:rPr>
                <w:rFonts w:asciiTheme="minorHAnsi" w:hAnsiTheme="minorHAnsi" w:cstheme="minorHAnsi"/>
                <w:sz w:val="20"/>
                <w:szCs w:val="20"/>
                <w:lang w:val="en-US"/>
              </w:rPr>
            </w:pPr>
          </w:p>
        </w:tc>
      </w:tr>
      <w:tr w:rsidR="00AB136D" w:rsidRPr="00BB3C18" w14:paraId="2E9F487D" w14:textId="77777777" w:rsidTr="00C118B0">
        <w:tc>
          <w:tcPr>
            <w:tcW w:w="3397" w:type="dxa"/>
          </w:tcPr>
          <w:p w14:paraId="128FD123" w14:textId="77777777" w:rsidR="00AB136D" w:rsidRDefault="00AB136D" w:rsidP="00AB136D">
            <w:pPr>
              <w:rPr>
                <w:rFonts w:asciiTheme="minorHAnsi" w:hAnsiTheme="minorHAnsi" w:cstheme="minorHAnsi"/>
                <w:b/>
                <w:sz w:val="20"/>
                <w:szCs w:val="20"/>
                <w:lang w:val="en-US"/>
              </w:rPr>
            </w:pPr>
          </w:p>
          <w:p w14:paraId="3FE3B1C9" w14:textId="3256F512" w:rsidR="00AB136D" w:rsidRPr="00BB3C18" w:rsidRDefault="00AB136D" w:rsidP="00AB136D">
            <w:pPr>
              <w:rPr>
                <w:rFonts w:asciiTheme="minorHAnsi" w:hAnsiTheme="minorHAnsi" w:cstheme="minorHAnsi"/>
                <w:b/>
                <w:sz w:val="20"/>
                <w:szCs w:val="20"/>
                <w:lang w:val="en-US"/>
              </w:rPr>
            </w:pPr>
            <w:r w:rsidRPr="00BB3C18">
              <w:rPr>
                <w:rFonts w:asciiTheme="minorHAnsi" w:hAnsiTheme="minorHAnsi" w:cstheme="minorHAnsi"/>
                <w:b/>
                <w:sz w:val="20"/>
                <w:szCs w:val="20"/>
                <w:lang w:val="en-US"/>
              </w:rPr>
              <w:t>Auditor</w:t>
            </w:r>
          </w:p>
        </w:tc>
        <w:tc>
          <w:tcPr>
            <w:tcW w:w="5675" w:type="dxa"/>
          </w:tcPr>
          <w:p w14:paraId="4D0486B6" w14:textId="77777777" w:rsidR="00AB136D" w:rsidRDefault="00AB136D" w:rsidP="00AB136D">
            <w:pPr>
              <w:rPr>
                <w:rFonts w:asciiTheme="minorHAnsi" w:hAnsiTheme="minorHAnsi" w:cstheme="minorHAnsi"/>
                <w:sz w:val="20"/>
                <w:szCs w:val="20"/>
                <w:lang w:val="en-US"/>
              </w:rPr>
            </w:pPr>
          </w:p>
          <w:p w14:paraId="41B0BF6C"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Nordens Audit Limited</w:t>
            </w:r>
          </w:p>
          <w:p w14:paraId="34AC5AC4" w14:textId="77777777" w:rsidR="00AB136D" w:rsidRDefault="00AB136D" w:rsidP="00AB136D">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The Retreat</w:t>
            </w:r>
            <w:r>
              <w:rPr>
                <w:rFonts w:asciiTheme="minorHAnsi" w:hAnsiTheme="minorHAnsi" w:cstheme="minorHAnsi"/>
                <w:color w:val="000000"/>
                <w:sz w:val="20"/>
                <w:szCs w:val="20"/>
              </w:rPr>
              <w:br/>
            </w:r>
            <w:r>
              <w:rPr>
                <w:rFonts w:asciiTheme="minorHAnsi" w:hAnsiTheme="minorHAnsi" w:cstheme="minorHAnsi"/>
                <w:color w:val="000000"/>
                <w:sz w:val="20"/>
                <w:szCs w:val="20"/>
                <w:shd w:val="clear" w:color="auto" w:fill="FFFFFF"/>
              </w:rPr>
              <w:t>406 Roding Lane South</w:t>
            </w:r>
            <w:r>
              <w:rPr>
                <w:rFonts w:asciiTheme="minorHAnsi" w:hAnsiTheme="minorHAnsi" w:cstheme="minorHAnsi"/>
                <w:color w:val="000000"/>
                <w:sz w:val="20"/>
                <w:szCs w:val="20"/>
              </w:rPr>
              <w:br/>
            </w:r>
            <w:r>
              <w:rPr>
                <w:rFonts w:asciiTheme="minorHAnsi" w:hAnsiTheme="minorHAnsi" w:cstheme="minorHAnsi"/>
                <w:color w:val="000000"/>
                <w:sz w:val="20"/>
                <w:szCs w:val="20"/>
                <w:shd w:val="clear" w:color="auto" w:fill="FFFFFF"/>
              </w:rPr>
              <w:t>Woodford Green, Essex</w:t>
            </w:r>
            <w:r>
              <w:rPr>
                <w:rFonts w:asciiTheme="minorHAnsi" w:hAnsiTheme="minorHAnsi" w:cstheme="minorHAnsi"/>
                <w:color w:val="000000"/>
                <w:sz w:val="20"/>
                <w:szCs w:val="20"/>
              </w:rPr>
              <w:br/>
            </w:r>
            <w:r>
              <w:rPr>
                <w:rFonts w:asciiTheme="minorHAnsi" w:hAnsiTheme="minorHAnsi" w:cstheme="minorHAnsi"/>
                <w:color w:val="000000"/>
                <w:sz w:val="20"/>
                <w:szCs w:val="20"/>
                <w:shd w:val="clear" w:color="auto" w:fill="FFFFFF"/>
              </w:rPr>
              <w:t xml:space="preserve">IG8 8EY </w:t>
            </w:r>
          </w:p>
          <w:p w14:paraId="1D28505A" w14:textId="6D25CCC1" w:rsidR="00AB136D" w:rsidRPr="00BB3C18" w:rsidRDefault="00AB136D" w:rsidP="00AB136D">
            <w:pPr>
              <w:rPr>
                <w:rFonts w:asciiTheme="minorHAnsi" w:hAnsiTheme="minorHAnsi" w:cstheme="minorHAnsi"/>
                <w:sz w:val="20"/>
                <w:szCs w:val="20"/>
                <w:lang w:val="en-US"/>
              </w:rPr>
            </w:pPr>
          </w:p>
        </w:tc>
      </w:tr>
      <w:tr w:rsidR="00AB136D" w:rsidRPr="00BB3C18" w14:paraId="0312EFAA" w14:textId="77777777" w:rsidTr="00C118B0">
        <w:tc>
          <w:tcPr>
            <w:tcW w:w="3397" w:type="dxa"/>
          </w:tcPr>
          <w:p w14:paraId="7CA2E20C" w14:textId="77777777" w:rsidR="00AB136D" w:rsidRPr="00BB3C18" w:rsidRDefault="00AB136D" w:rsidP="00AB136D">
            <w:pPr>
              <w:rPr>
                <w:rFonts w:asciiTheme="minorHAnsi" w:hAnsiTheme="minorHAnsi" w:cstheme="minorHAnsi"/>
                <w:b/>
                <w:sz w:val="20"/>
                <w:szCs w:val="20"/>
                <w:lang w:val="en-US"/>
              </w:rPr>
            </w:pPr>
          </w:p>
          <w:p w14:paraId="0312EFA8" w14:textId="0FC6D123" w:rsidR="00AB136D" w:rsidRPr="00BB3C18" w:rsidRDefault="00AB136D" w:rsidP="00AB136D">
            <w:pPr>
              <w:rPr>
                <w:rFonts w:asciiTheme="minorHAnsi" w:hAnsiTheme="minorHAnsi" w:cstheme="minorHAnsi"/>
                <w:b/>
                <w:sz w:val="20"/>
                <w:szCs w:val="20"/>
                <w:lang w:val="en-US"/>
              </w:rPr>
            </w:pPr>
            <w:r w:rsidRPr="00BB3C18">
              <w:rPr>
                <w:rFonts w:asciiTheme="minorHAnsi" w:hAnsiTheme="minorHAnsi" w:cstheme="minorHAnsi"/>
                <w:b/>
                <w:sz w:val="20"/>
                <w:szCs w:val="20"/>
                <w:lang w:val="en-US"/>
              </w:rPr>
              <w:t>Solicitor</w:t>
            </w:r>
          </w:p>
        </w:tc>
        <w:tc>
          <w:tcPr>
            <w:tcW w:w="5675" w:type="dxa"/>
          </w:tcPr>
          <w:p w14:paraId="34007714" w14:textId="77777777" w:rsidR="00AB136D" w:rsidRPr="005C5F9F" w:rsidRDefault="00AB136D" w:rsidP="00AB136D">
            <w:pPr>
              <w:rPr>
                <w:rFonts w:asciiTheme="minorHAnsi" w:hAnsiTheme="minorHAnsi" w:cstheme="minorHAnsi"/>
                <w:sz w:val="20"/>
                <w:szCs w:val="20"/>
                <w:highlight w:val="yellow"/>
                <w:lang w:val="en-US"/>
              </w:rPr>
            </w:pPr>
          </w:p>
          <w:p w14:paraId="10E50C51"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RWK Goodman</w:t>
            </w:r>
          </w:p>
          <w:p w14:paraId="3E162EEE"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69 Carter Lane</w:t>
            </w:r>
          </w:p>
          <w:p w14:paraId="74134071" w14:textId="77777777" w:rsidR="00AB136D" w:rsidRDefault="00AB136D" w:rsidP="00AB136D">
            <w:pPr>
              <w:rPr>
                <w:rFonts w:asciiTheme="minorHAnsi" w:hAnsiTheme="minorHAnsi" w:cstheme="minorHAnsi"/>
                <w:sz w:val="20"/>
                <w:szCs w:val="20"/>
                <w:lang w:val="en-US"/>
              </w:rPr>
            </w:pPr>
            <w:r>
              <w:rPr>
                <w:rFonts w:asciiTheme="minorHAnsi" w:hAnsiTheme="minorHAnsi" w:cstheme="minorHAnsi"/>
                <w:sz w:val="20"/>
                <w:szCs w:val="20"/>
                <w:lang w:val="en-US"/>
              </w:rPr>
              <w:t xml:space="preserve">London </w:t>
            </w:r>
          </w:p>
          <w:p w14:paraId="0312EFA9" w14:textId="219C230B" w:rsidR="00AB136D" w:rsidRPr="005C5F9F" w:rsidRDefault="00AB136D" w:rsidP="00AB136D">
            <w:pPr>
              <w:rPr>
                <w:rFonts w:asciiTheme="minorHAnsi" w:hAnsiTheme="minorHAnsi" w:cstheme="minorHAnsi"/>
                <w:b/>
                <w:sz w:val="20"/>
                <w:szCs w:val="20"/>
                <w:highlight w:val="yellow"/>
                <w:lang w:val="en-US"/>
              </w:rPr>
            </w:pPr>
            <w:r>
              <w:rPr>
                <w:rFonts w:asciiTheme="minorHAnsi" w:hAnsiTheme="minorHAnsi" w:cstheme="minorHAnsi"/>
                <w:sz w:val="20"/>
                <w:szCs w:val="20"/>
                <w:lang w:val="en-US"/>
              </w:rPr>
              <w:t xml:space="preserve">EC4V 5EQ </w:t>
            </w:r>
          </w:p>
        </w:tc>
      </w:tr>
      <w:tr w:rsidR="00AB136D" w:rsidRPr="00BB3C18" w14:paraId="0312EFAD" w14:textId="77777777" w:rsidTr="00805241">
        <w:tc>
          <w:tcPr>
            <w:tcW w:w="3397" w:type="dxa"/>
          </w:tcPr>
          <w:p w14:paraId="580237BB" w14:textId="77777777" w:rsidR="00AB136D" w:rsidRPr="00BB3C18" w:rsidRDefault="00AB136D" w:rsidP="00AB136D">
            <w:pPr>
              <w:rPr>
                <w:rFonts w:asciiTheme="minorHAnsi" w:hAnsiTheme="minorHAnsi" w:cstheme="minorHAnsi"/>
                <w:b/>
                <w:sz w:val="20"/>
                <w:szCs w:val="20"/>
                <w:lang w:val="en-US"/>
              </w:rPr>
            </w:pPr>
          </w:p>
          <w:p w14:paraId="0312EFAB" w14:textId="6820DEF7" w:rsidR="00AB136D" w:rsidRPr="00BB3C18" w:rsidRDefault="00AB136D" w:rsidP="00AB136D">
            <w:pPr>
              <w:rPr>
                <w:rFonts w:asciiTheme="minorHAnsi" w:hAnsiTheme="minorHAnsi" w:cstheme="minorHAnsi"/>
                <w:b/>
                <w:sz w:val="20"/>
                <w:szCs w:val="20"/>
                <w:lang w:val="en-US"/>
              </w:rPr>
            </w:pPr>
            <w:r w:rsidRPr="00BB3C18">
              <w:rPr>
                <w:rFonts w:asciiTheme="minorHAnsi" w:hAnsiTheme="minorHAnsi" w:cstheme="minorHAnsi"/>
                <w:b/>
                <w:sz w:val="20"/>
                <w:szCs w:val="20"/>
                <w:lang w:val="en-US"/>
              </w:rPr>
              <w:t>Brokers</w:t>
            </w:r>
          </w:p>
        </w:tc>
        <w:tc>
          <w:tcPr>
            <w:tcW w:w="5675" w:type="dxa"/>
          </w:tcPr>
          <w:p w14:paraId="5016A85C" w14:textId="77777777" w:rsidR="00AB136D" w:rsidRPr="005C5F9F" w:rsidRDefault="00AB136D" w:rsidP="00AB136D">
            <w:pPr>
              <w:rPr>
                <w:rFonts w:asciiTheme="minorHAnsi" w:hAnsiTheme="minorHAnsi" w:cstheme="minorHAnsi"/>
                <w:sz w:val="20"/>
                <w:szCs w:val="20"/>
                <w:highlight w:val="yellow"/>
                <w:lang w:val="en-US"/>
              </w:rPr>
            </w:pPr>
          </w:p>
          <w:p w14:paraId="1045AA37" w14:textId="77777777" w:rsidR="00AB136D" w:rsidRDefault="00AB136D" w:rsidP="00AB136D">
            <w:pPr>
              <w:shd w:val="clear" w:color="auto" w:fill="FFFFFF"/>
              <w:rPr>
                <w:rFonts w:asciiTheme="minorHAnsi" w:hAnsiTheme="minorHAnsi" w:cstheme="minorHAnsi"/>
              </w:rPr>
            </w:pPr>
            <w:r>
              <w:rPr>
                <w:rFonts w:asciiTheme="minorHAnsi" w:hAnsiTheme="minorHAnsi" w:cstheme="minorHAnsi"/>
                <w:sz w:val="20"/>
                <w:szCs w:val="20"/>
              </w:rPr>
              <w:t>Novum Securities Limited</w:t>
            </w:r>
          </w:p>
          <w:p w14:paraId="5B9FBCD2" w14:textId="77777777" w:rsidR="00AB136D" w:rsidRDefault="00AB136D" w:rsidP="00AB136D">
            <w:pPr>
              <w:shd w:val="clear" w:color="auto" w:fill="FFFFFF"/>
              <w:rPr>
                <w:rFonts w:asciiTheme="minorHAnsi" w:hAnsiTheme="minorHAnsi" w:cstheme="minorHAnsi"/>
              </w:rPr>
            </w:pPr>
            <w:r>
              <w:rPr>
                <w:rFonts w:asciiTheme="minorHAnsi" w:hAnsiTheme="minorHAnsi" w:cstheme="minorHAnsi"/>
                <w:sz w:val="20"/>
                <w:szCs w:val="20"/>
              </w:rPr>
              <w:t>2</w:t>
            </w:r>
            <w:r>
              <w:rPr>
                <w:rFonts w:asciiTheme="minorHAnsi" w:hAnsiTheme="minorHAnsi" w:cstheme="minorHAnsi"/>
                <w:sz w:val="20"/>
                <w:szCs w:val="20"/>
                <w:vertAlign w:val="superscript"/>
              </w:rPr>
              <w:t>nd</w:t>
            </w:r>
            <w:r>
              <w:rPr>
                <w:rFonts w:asciiTheme="minorHAnsi" w:hAnsiTheme="minorHAnsi" w:cstheme="minorHAnsi"/>
                <w:sz w:val="20"/>
                <w:szCs w:val="20"/>
              </w:rPr>
              <w:t> Floor, Lansdowne House</w:t>
            </w:r>
          </w:p>
          <w:p w14:paraId="1A1BB103" w14:textId="77777777" w:rsidR="00AB136D" w:rsidRDefault="00AB136D" w:rsidP="00AB136D">
            <w:pPr>
              <w:shd w:val="clear" w:color="auto" w:fill="FFFFFF"/>
              <w:rPr>
                <w:rFonts w:asciiTheme="minorHAnsi" w:hAnsiTheme="minorHAnsi" w:cstheme="minorHAnsi"/>
              </w:rPr>
            </w:pPr>
            <w:r>
              <w:rPr>
                <w:rFonts w:asciiTheme="minorHAnsi" w:hAnsiTheme="minorHAnsi" w:cstheme="minorHAnsi"/>
                <w:sz w:val="20"/>
                <w:szCs w:val="20"/>
              </w:rPr>
              <w:t>57 Berkeley Square</w:t>
            </w:r>
          </w:p>
          <w:p w14:paraId="33628912" w14:textId="77777777" w:rsidR="00AB136D" w:rsidRDefault="00AB136D" w:rsidP="00AB136D">
            <w:pPr>
              <w:shd w:val="clear" w:color="auto" w:fill="FFFFFF"/>
              <w:rPr>
                <w:rFonts w:asciiTheme="minorHAnsi" w:hAnsiTheme="minorHAnsi" w:cstheme="minorHAnsi"/>
              </w:rPr>
            </w:pPr>
            <w:r>
              <w:rPr>
                <w:rFonts w:asciiTheme="minorHAnsi" w:hAnsiTheme="minorHAnsi" w:cstheme="minorHAnsi"/>
                <w:sz w:val="20"/>
                <w:szCs w:val="20"/>
              </w:rPr>
              <w:t>London</w:t>
            </w:r>
          </w:p>
          <w:p w14:paraId="66314E3B" w14:textId="77777777" w:rsidR="00AB136D" w:rsidRDefault="00AB136D" w:rsidP="00AB136D">
            <w:pPr>
              <w:shd w:val="clear" w:color="auto" w:fill="FFFFFF"/>
              <w:rPr>
                <w:rFonts w:asciiTheme="minorHAnsi" w:hAnsiTheme="minorHAnsi" w:cstheme="minorHAnsi"/>
              </w:rPr>
            </w:pPr>
            <w:r>
              <w:rPr>
                <w:rFonts w:asciiTheme="minorHAnsi" w:hAnsiTheme="minorHAnsi" w:cstheme="minorHAnsi"/>
                <w:sz w:val="20"/>
                <w:szCs w:val="20"/>
              </w:rPr>
              <w:t xml:space="preserve">W1J 6ER </w:t>
            </w:r>
          </w:p>
          <w:p w14:paraId="0312EFAC" w14:textId="6726223B" w:rsidR="00AB136D" w:rsidRPr="005C5F9F" w:rsidRDefault="00AB136D" w:rsidP="00AB136D">
            <w:pPr>
              <w:rPr>
                <w:rFonts w:asciiTheme="minorHAnsi" w:hAnsiTheme="minorHAnsi" w:cstheme="minorHAnsi"/>
                <w:b/>
                <w:sz w:val="20"/>
                <w:szCs w:val="20"/>
                <w:highlight w:val="yellow"/>
                <w:lang w:val="en-US"/>
              </w:rPr>
            </w:pPr>
          </w:p>
        </w:tc>
      </w:tr>
      <w:tr w:rsidR="00AB136D" w:rsidRPr="00BB3C18" w14:paraId="7577D0C6" w14:textId="77777777" w:rsidTr="00805241">
        <w:tc>
          <w:tcPr>
            <w:tcW w:w="3397" w:type="dxa"/>
          </w:tcPr>
          <w:p w14:paraId="0073AFA1" w14:textId="77777777" w:rsidR="00AB136D" w:rsidRPr="00BB3C18" w:rsidRDefault="00AB136D" w:rsidP="00AB136D">
            <w:pPr>
              <w:rPr>
                <w:rFonts w:asciiTheme="minorHAnsi" w:hAnsiTheme="minorHAnsi" w:cstheme="minorHAnsi"/>
                <w:b/>
                <w:sz w:val="20"/>
                <w:szCs w:val="20"/>
                <w:lang w:val="en-US"/>
              </w:rPr>
            </w:pPr>
          </w:p>
          <w:p w14:paraId="5CB9611A" w14:textId="712571FA" w:rsidR="00AB136D" w:rsidRPr="00BB3C18" w:rsidRDefault="00AB136D" w:rsidP="00AB136D">
            <w:pPr>
              <w:rPr>
                <w:rFonts w:asciiTheme="minorHAnsi" w:hAnsiTheme="minorHAnsi" w:cstheme="minorHAnsi"/>
                <w:b/>
                <w:sz w:val="20"/>
                <w:szCs w:val="20"/>
                <w:lang w:val="en-US"/>
              </w:rPr>
            </w:pPr>
            <w:r w:rsidRPr="00BB3C18">
              <w:rPr>
                <w:rFonts w:asciiTheme="minorHAnsi" w:hAnsiTheme="minorHAnsi" w:cstheme="minorHAnsi"/>
                <w:b/>
                <w:sz w:val="20"/>
                <w:szCs w:val="20"/>
                <w:lang w:val="en-US"/>
              </w:rPr>
              <w:t>Registrar</w:t>
            </w:r>
          </w:p>
        </w:tc>
        <w:tc>
          <w:tcPr>
            <w:tcW w:w="5675" w:type="dxa"/>
          </w:tcPr>
          <w:p w14:paraId="44927065" w14:textId="77777777" w:rsidR="00AB136D" w:rsidRPr="00766490" w:rsidRDefault="00AB136D" w:rsidP="00AB136D">
            <w:pPr>
              <w:rPr>
                <w:rFonts w:asciiTheme="minorHAnsi" w:hAnsiTheme="minorHAnsi" w:cstheme="minorHAnsi"/>
                <w:sz w:val="20"/>
                <w:szCs w:val="20"/>
                <w:lang w:val="en-US"/>
              </w:rPr>
            </w:pPr>
          </w:p>
          <w:p w14:paraId="40EE9959" w14:textId="77777777" w:rsidR="00AB136D" w:rsidRPr="00766490" w:rsidRDefault="00AB136D" w:rsidP="00AB136D">
            <w:pPr>
              <w:rPr>
                <w:rFonts w:asciiTheme="minorHAnsi" w:hAnsiTheme="minorHAnsi" w:cstheme="minorHAnsi"/>
                <w:sz w:val="20"/>
                <w:szCs w:val="20"/>
                <w:lang w:val="en-US"/>
              </w:rPr>
            </w:pPr>
            <w:r w:rsidRPr="00766490">
              <w:rPr>
                <w:rFonts w:asciiTheme="minorHAnsi" w:hAnsiTheme="minorHAnsi" w:cstheme="minorHAnsi"/>
                <w:sz w:val="20"/>
                <w:szCs w:val="20"/>
                <w:lang w:val="en-US"/>
              </w:rPr>
              <w:t>SLC Registrars Limited</w:t>
            </w:r>
          </w:p>
          <w:p w14:paraId="1C7DD030" w14:textId="77777777" w:rsidR="00AB136D" w:rsidRPr="00766490" w:rsidRDefault="00AB136D" w:rsidP="00AB136D">
            <w:pPr>
              <w:rPr>
                <w:rFonts w:asciiTheme="minorHAnsi" w:hAnsiTheme="minorHAnsi" w:cstheme="minorHAnsi"/>
                <w:sz w:val="20"/>
                <w:szCs w:val="20"/>
                <w:lang w:val="en-US"/>
              </w:rPr>
            </w:pPr>
            <w:r w:rsidRPr="00766490">
              <w:rPr>
                <w:rFonts w:asciiTheme="minorHAnsi" w:hAnsiTheme="minorHAnsi" w:cstheme="minorHAnsi"/>
                <w:sz w:val="20"/>
                <w:szCs w:val="20"/>
                <w:lang w:val="en-US"/>
              </w:rPr>
              <w:t>Elder House</w:t>
            </w:r>
          </w:p>
          <w:p w14:paraId="21A887A6" w14:textId="77777777" w:rsidR="00AB136D" w:rsidRPr="00766490" w:rsidRDefault="00AB136D" w:rsidP="00AB136D">
            <w:pPr>
              <w:rPr>
                <w:rFonts w:asciiTheme="minorHAnsi" w:hAnsiTheme="minorHAnsi" w:cstheme="minorHAnsi"/>
                <w:sz w:val="20"/>
                <w:szCs w:val="20"/>
                <w:lang w:val="en-US"/>
              </w:rPr>
            </w:pPr>
            <w:r w:rsidRPr="00766490">
              <w:rPr>
                <w:rFonts w:asciiTheme="minorHAnsi" w:hAnsiTheme="minorHAnsi" w:cstheme="minorHAnsi"/>
                <w:sz w:val="20"/>
                <w:szCs w:val="20"/>
                <w:lang w:val="en-US"/>
              </w:rPr>
              <w:t>St Georges Business Park</w:t>
            </w:r>
          </w:p>
          <w:p w14:paraId="5968A659" w14:textId="77777777" w:rsidR="00AB136D" w:rsidRPr="00766490" w:rsidRDefault="00AB136D" w:rsidP="00AB136D">
            <w:pPr>
              <w:rPr>
                <w:rFonts w:asciiTheme="minorHAnsi" w:hAnsiTheme="minorHAnsi" w:cstheme="minorHAnsi"/>
                <w:sz w:val="20"/>
                <w:szCs w:val="20"/>
                <w:lang w:val="en-US"/>
              </w:rPr>
            </w:pPr>
            <w:r w:rsidRPr="00766490">
              <w:rPr>
                <w:rFonts w:asciiTheme="minorHAnsi" w:hAnsiTheme="minorHAnsi" w:cstheme="minorHAnsi"/>
                <w:sz w:val="20"/>
                <w:szCs w:val="20"/>
                <w:lang w:val="en-US"/>
              </w:rPr>
              <w:t>Brooklands Road</w:t>
            </w:r>
          </w:p>
          <w:p w14:paraId="1EC28345" w14:textId="77777777" w:rsidR="00AB136D" w:rsidRPr="00766490" w:rsidRDefault="00AB136D" w:rsidP="00AB136D">
            <w:pPr>
              <w:rPr>
                <w:rFonts w:asciiTheme="minorHAnsi" w:hAnsiTheme="minorHAnsi" w:cstheme="minorHAnsi"/>
                <w:sz w:val="20"/>
                <w:szCs w:val="20"/>
                <w:lang w:val="en-US"/>
              </w:rPr>
            </w:pPr>
            <w:r w:rsidRPr="00766490">
              <w:rPr>
                <w:rFonts w:asciiTheme="minorHAnsi" w:hAnsiTheme="minorHAnsi" w:cstheme="minorHAnsi"/>
                <w:sz w:val="20"/>
                <w:szCs w:val="20"/>
                <w:lang w:val="en-US"/>
              </w:rPr>
              <w:t>Weybridge</w:t>
            </w:r>
          </w:p>
          <w:p w14:paraId="2732A6DD" w14:textId="77777777" w:rsidR="00AB136D" w:rsidRPr="00766490" w:rsidRDefault="00AB136D" w:rsidP="00AB136D">
            <w:pPr>
              <w:rPr>
                <w:rFonts w:asciiTheme="minorHAnsi" w:hAnsiTheme="minorHAnsi" w:cstheme="minorHAnsi"/>
                <w:sz w:val="20"/>
                <w:szCs w:val="20"/>
                <w:lang w:val="en-US"/>
              </w:rPr>
            </w:pPr>
            <w:r w:rsidRPr="00766490">
              <w:rPr>
                <w:rFonts w:asciiTheme="minorHAnsi" w:hAnsiTheme="minorHAnsi" w:cstheme="minorHAnsi"/>
                <w:sz w:val="20"/>
                <w:szCs w:val="20"/>
                <w:lang w:val="en-US"/>
              </w:rPr>
              <w:t>Surrey</w:t>
            </w:r>
          </w:p>
          <w:p w14:paraId="5D3839FC" w14:textId="77777777" w:rsidR="00AB136D" w:rsidRPr="00766490" w:rsidRDefault="00AB136D" w:rsidP="00AB136D">
            <w:pPr>
              <w:rPr>
                <w:rFonts w:asciiTheme="minorHAnsi" w:hAnsiTheme="minorHAnsi" w:cstheme="minorHAnsi"/>
                <w:sz w:val="20"/>
                <w:szCs w:val="20"/>
                <w:lang w:val="en-US"/>
              </w:rPr>
            </w:pPr>
            <w:r w:rsidRPr="00766490">
              <w:rPr>
                <w:rFonts w:asciiTheme="minorHAnsi" w:hAnsiTheme="minorHAnsi" w:cstheme="minorHAnsi"/>
                <w:sz w:val="20"/>
                <w:szCs w:val="20"/>
                <w:lang w:val="en-US"/>
              </w:rPr>
              <w:t>KT13 0TS</w:t>
            </w:r>
          </w:p>
          <w:p w14:paraId="4ECEFAC9" w14:textId="30B4D866" w:rsidR="00AB136D" w:rsidRPr="005C5F9F" w:rsidRDefault="00AB136D" w:rsidP="00AB136D">
            <w:pPr>
              <w:rPr>
                <w:rFonts w:asciiTheme="minorHAnsi" w:hAnsiTheme="minorHAnsi" w:cstheme="minorHAnsi"/>
                <w:sz w:val="20"/>
                <w:szCs w:val="20"/>
                <w:highlight w:val="yellow"/>
                <w:lang w:val="en-US"/>
              </w:rPr>
            </w:pPr>
          </w:p>
        </w:tc>
      </w:tr>
    </w:tbl>
    <w:p w14:paraId="0312EFC0" w14:textId="77777777" w:rsidR="005B7F66" w:rsidRPr="00BB3C18" w:rsidRDefault="005B7F66" w:rsidP="00CC360D">
      <w:pPr>
        <w:rPr>
          <w:rFonts w:asciiTheme="minorHAnsi" w:hAnsiTheme="minorHAnsi" w:cstheme="minorHAnsi"/>
        </w:rPr>
        <w:sectPr w:rsidR="005B7F66" w:rsidRPr="00BB3C18" w:rsidSect="00CC360D">
          <w:headerReference w:type="even" r:id="rId12"/>
          <w:headerReference w:type="default" r:id="rId13"/>
          <w:footerReference w:type="default" r:id="rId14"/>
          <w:headerReference w:type="first" r:id="rId15"/>
          <w:pgSz w:w="11906" w:h="16838"/>
          <w:pgMar w:top="1440" w:right="1440" w:bottom="1440" w:left="1440" w:header="708" w:footer="708" w:gutter="0"/>
          <w:pgNumType w:start="1"/>
          <w:cols w:space="708"/>
          <w:docGrid w:linePitch="360"/>
        </w:sectPr>
      </w:pPr>
    </w:p>
    <w:p w14:paraId="79B898FC" w14:textId="77777777" w:rsidR="004F74DD" w:rsidRDefault="004F74DD">
      <w:pPr>
        <w:rPr>
          <w:rFonts w:asciiTheme="minorHAnsi" w:hAnsiTheme="minorHAnsi" w:cstheme="minorHAnsi"/>
          <w:sz w:val="20"/>
          <w:szCs w:val="20"/>
        </w:rPr>
      </w:pPr>
      <w:r>
        <w:rPr>
          <w:rFonts w:asciiTheme="minorHAnsi" w:hAnsiTheme="minorHAnsi" w:cstheme="minorHAnsi"/>
          <w:sz w:val="20"/>
          <w:szCs w:val="20"/>
        </w:rPr>
        <w:br w:type="page"/>
      </w:r>
    </w:p>
    <w:p w14:paraId="70C8C490" w14:textId="77777777" w:rsidR="000C7760" w:rsidRPr="0012333C" w:rsidRDefault="000C7760" w:rsidP="000C7760">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lastRenderedPageBreak/>
        <w:t>Dear Shareholders,</w:t>
      </w:r>
    </w:p>
    <w:p w14:paraId="6129AFF0" w14:textId="77777777" w:rsidR="000C7760" w:rsidRPr="0012333C" w:rsidRDefault="000C7760" w:rsidP="000C7760">
      <w:pPr>
        <w:jc w:val="both"/>
        <w:rPr>
          <w:rFonts w:asciiTheme="minorHAnsi" w:hAnsiTheme="minorHAnsi" w:cstheme="minorHAnsi"/>
          <w:sz w:val="20"/>
          <w:szCs w:val="20"/>
          <w:lang w:val="en-US"/>
        </w:rPr>
      </w:pPr>
    </w:p>
    <w:p w14:paraId="174F6C1F" w14:textId="1CA5DAE6" w:rsidR="000C7760" w:rsidRPr="0012333C" w:rsidRDefault="000C7760" w:rsidP="000C7760">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t>I am pleased to present the audited accounts for the twelve months ended 30 June 202</w:t>
      </w:r>
      <w:r w:rsidR="0012333C">
        <w:rPr>
          <w:rFonts w:asciiTheme="minorHAnsi" w:hAnsiTheme="minorHAnsi" w:cstheme="minorHAnsi"/>
          <w:sz w:val="20"/>
          <w:szCs w:val="20"/>
          <w:lang w:val="en-US"/>
        </w:rPr>
        <w:t xml:space="preserve">2 for </w:t>
      </w:r>
      <w:r w:rsidRPr="0012333C">
        <w:rPr>
          <w:rFonts w:asciiTheme="minorHAnsi" w:hAnsiTheme="minorHAnsi" w:cstheme="minorHAnsi"/>
          <w:sz w:val="20"/>
          <w:szCs w:val="20"/>
          <w:lang w:val="en-US"/>
        </w:rPr>
        <w:t>Iconic Labs PLC and its subsidiaries (together, “</w:t>
      </w:r>
      <w:r w:rsidRPr="0012333C">
        <w:rPr>
          <w:rFonts w:asciiTheme="minorHAnsi" w:hAnsiTheme="minorHAnsi" w:cstheme="minorHAnsi"/>
          <w:b/>
          <w:bCs/>
          <w:i/>
          <w:iCs/>
          <w:sz w:val="20"/>
          <w:szCs w:val="20"/>
          <w:lang w:val="en-US"/>
        </w:rPr>
        <w:t>Iconic</w:t>
      </w:r>
      <w:r w:rsidRPr="0012333C">
        <w:rPr>
          <w:rFonts w:asciiTheme="minorHAnsi" w:hAnsiTheme="minorHAnsi" w:cstheme="minorHAnsi"/>
          <w:sz w:val="20"/>
          <w:szCs w:val="20"/>
          <w:lang w:val="en-US"/>
        </w:rPr>
        <w:t xml:space="preserve"> “or the “</w:t>
      </w:r>
      <w:r w:rsidRPr="0012333C">
        <w:rPr>
          <w:rFonts w:asciiTheme="minorHAnsi" w:hAnsiTheme="minorHAnsi" w:cstheme="minorHAnsi"/>
          <w:b/>
          <w:bCs/>
          <w:i/>
          <w:iCs/>
          <w:sz w:val="20"/>
          <w:szCs w:val="20"/>
          <w:lang w:val="en-US"/>
        </w:rPr>
        <w:t>Company</w:t>
      </w:r>
      <w:r w:rsidRPr="0012333C">
        <w:rPr>
          <w:rFonts w:asciiTheme="minorHAnsi" w:hAnsiTheme="minorHAnsi" w:cstheme="minorHAnsi"/>
          <w:sz w:val="20"/>
          <w:szCs w:val="20"/>
          <w:lang w:val="en-US"/>
        </w:rPr>
        <w:t>”)</w:t>
      </w:r>
      <w:r w:rsidR="0012333C">
        <w:rPr>
          <w:rFonts w:asciiTheme="minorHAnsi" w:hAnsiTheme="minorHAnsi" w:cstheme="minorHAnsi"/>
          <w:sz w:val="20"/>
          <w:szCs w:val="20"/>
          <w:lang w:val="en-US"/>
        </w:rPr>
        <w:t xml:space="preserve">. </w:t>
      </w:r>
      <w:r w:rsidRPr="0012333C">
        <w:rPr>
          <w:rFonts w:asciiTheme="minorHAnsi" w:hAnsiTheme="minorHAnsi" w:cstheme="minorHAnsi"/>
          <w:sz w:val="20"/>
          <w:szCs w:val="20"/>
          <w:lang w:val="en-US"/>
        </w:rPr>
        <w:t xml:space="preserve"> </w:t>
      </w:r>
    </w:p>
    <w:p w14:paraId="5CF3A43F" w14:textId="77777777" w:rsidR="000C7760" w:rsidRPr="0012333C" w:rsidRDefault="000C7760" w:rsidP="000C7760">
      <w:pPr>
        <w:jc w:val="both"/>
        <w:rPr>
          <w:rFonts w:asciiTheme="minorHAnsi" w:hAnsiTheme="minorHAnsi" w:cstheme="minorHAnsi"/>
          <w:sz w:val="20"/>
          <w:szCs w:val="20"/>
          <w:lang w:val="en-US"/>
        </w:rPr>
      </w:pPr>
    </w:p>
    <w:p w14:paraId="09F0ED91" w14:textId="6A87E0E8" w:rsidR="000C7760" w:rsidRPr="0012333C" w:rsidRDefault="000C7760" w:rsidP="000C7760">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t xml:space="preserve">While these accounts cover the </w:t>
      </w:r>
      <w:r w:rsidR="00C227AF">
        <w:rPr>
          <w:rFonts w:asciiTheme="minorHAnsi" w:hAnsiTheme="minorHAnsi" w:cstheme="minorHAnsi"/>
          <w:sz w:val="20"/>
          <w:szCs w:val="20"/>
          <w:lang w:val="en-US"/>
        </w:rPr>
        <w:t xml:space="preserve">twelve-month </w:t>
      </w:r>
      <w:r w:rsidRPr="0012333C">
        <w:rPr>
          <w:rFonts w:asciiTheme="minorHAnsi" w:hAnsiTheme="minorHAnsi" w:cstheme="minorHAnsi"/>
          <w:sz w:val="20"/>
          <w:szCs w:val="20"/>
          <w:lang w:val="en-US"/>
        </w:rPr>
        <w:t>period ended 30 June 202</w:t>
      </w:r>
      <w:r w:rsidR="0012333C">
        <w:rPr>
          <w:rFonts w:asciiTheme="minorHAnsi" w:hAnsiTheme="minorHAnsi" w:cstheme="minorHAnsi"/>
          <w:sz w:val="20"/>
          <w:szCs w:val="20"/>
          <w:lang w:val="en-US"/>
        </w:rPr>
        <w:t>2</w:t>
      </w:r>
      <w:r w:rsidRPr="0012333C">
        <w:rPr>
          <w:rFonts w:asciiTheme="minorHAnsi" w:hAnsiTheme="minorHAnsi" w:cstheme="minorHAnsi"/>
          <w:sz w:val="20"/>
          <w:szCs w:val="20"/>
          <w:lang w:val="en-US"/>
        </w:rPr>
        <w:t xml:space="preserve">, given the administration that began on 4 June 2021 and suspension of trading, our focus has, of necessity, been on restructuring the Company, settling various legal disputes, and exiting administration rather than on the accounting, operational, and strategic tasks that we would have undertaken in normal circumstances. As such, it is only now, in the fourth quarter of 2022 that we have been able to prepare these accounts. </w:t>
      </w:r>
    </w:p>
    <w:p w14:paraId="7AD67DA2" w14:textId="77777777" w:rsidR="000C7760" w:rsidRPr="0012333C" w:rsidRDefault="000C7760" w:rsidP="000C7760">
      <w:pPr>
        <w:jc w:val="both"/>
        <w:rPr>
          <w:rFonts w:asciiTheme="minorHAnsi" w:hAnsiTheme="minorHAnsi" w:cstheme="minorHAnsi"/>
          <w:sz w:val="20"/>
          <w:szCs w:val="20"/>
          <w:lang w:val="en-US"/>
        </w:rPr>
      </w:pPr>
    </w:p>
    <w:p w14:paraId="119EA544" w14:textId="79CC21A2" w:rsidR="000C7760" w:rsidRPr="0012333C" w:rsidRDefault="000C7760" w:rsidP="000C7760">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t>The Company Voluntary Arrangement (“</w:t>
      </w:r>
      <w:r w:rsidRPr="00C227AF">
        <w:rPr>
          <w:rFonts w:asciiTheme="minorHAnsi" w:hAnsiTheme="minorHAnsi" w:cstheme="minorHAnsi"/>
          <w:b/>
          <w:bCs/>
          <w:i/>
          <w:iCs/>
          <w:sz w:val="20"/>
          <w:szCs w:val="20"/>
          <w:lang w:val="en-US"/>
        </w:rPr>
        <w:t>CVA</w:t>
      </w:r>
      <w:r w:rsidRPr="0012333C">
        <w:rPr>
          <w:rFonts w:asciiTheme="minorHAnsi" w:hAnsiTheme="minorHAnsi" w:cstheme="minorHAnsi"/>
          <w:sz w:val="20"/>
          <w:szCs w:val="20"/>
          <w:lang w:val="en-US"/>
        </w:rPr>
        <w:t xml:space="preserve">”) has been approved by the creditors, and any other legal disputes relating to this period have been settled, the challenge period for the CVA has expired without any objections, and the administration has ended such that control of Iconic is once again in the hands of the Directors. </w:t>
      </w:r>
    </w:p>
    <w:p w14:paraId="0E36ED76" w14:textId="77777777" w:rsidR="000C7760" w:rsidRPr="0012333C" w:rsidRDefault="000C7760" w:rsidP="000C7760">
      <w:pPr>
        <w:jc w:val="both"/>
        <w:rPr>
          <w:rFonts w:asciiTheme="minorHAnsi" w:hAnsiTheme="minorHAnsi" w:cstheme="minorHAnsi"/>
          <w:sz w:val="20"/>
          <w:szCs w:val="20"/>
          <w:lang w:val="en-US"/>
        </w:rPr>
      </w:pPr>
    </w:p>
    <w:p w14:paraId="6C406D7B" w14:textId="77777777" w:rsidR="000C7760" w:rsidRPr="0012333C" w:rsidRDefault="000C7760" w:rsidP="000C7760">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t xml:space="preserve">With this successful restructuring behind us, our goal now is to get the suspension of Iconic’s shares lifted so that trading can resume, financing can continue, and we can implement our strategic objectives for the Company. </w:t>
      </w:r>
    </w:p>
    <w:p w14:paraId="7EB4E890" w14:textId="77777777" w:rsidR="000C7760" w:rsidRPr="0012333C" w:rsidRDefault="000C7760" w:rsidP="000C7760">
      <w:pPr>
        <w:jc w:val="both"/>
        <w:rPr>
          <w:rFonts w:asciiTheme="minorHAnsi" w:hAnsiTheme="minorHAnsi" w:cstheme="minorHAnsi"/>
          <w:sz w:val="20"/>
          <w:szCs w:val="20"/>
          <w:lang w:val="en-US"/>
        </w:rPr>
      </w:pPr>
    </w:p>
    <w:p w14:paraId="7D4AD744" w14:textId="166897C8" w:rsidR="000C7760" w:rsidRPr="0012333C" w:rsidRDefault="000C7760" w:rsidP="000C7760">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t>Therefore, in this report, we will not only be providing the Audited Annual Report &amp; Accounts for the twelve months ended 30 June 202</w:t>
      </w:r>
      <w:r w:rsidR="0012333C">
        <w:rPr>
          <w:rFonts w:asciiTheme="minorHAnsi" w:hAnsiTheme="minorHAnsi" w:cstheme="minorHAnsi"/>
          <w:sz w:val="20"/>
          <w:szCs w:val="20"/>
          <w:lang w:val="en-US"/>
        </w:rPr>
        <w:t>2</w:t>
      </w:r>
      <w:r w:rsidRPr="0012333C">
        <w:rPr>
          <w:rFonts w:asciiTheme="minorHAnsi" w:hAnsiTheme="minorHAnsi" w:cstheme="minorHAnsi"/>
          <w:sz w:val="20"/>
          <w:szCs w:val="20"/>
          <w:lang w:val="en-US"/>
        </w:rPr>
        <w:t xml:space="preserve">, but we will also be providing an update on where Iconic stands as of the fourth quarter of 2022 in the interest of full transparency and providing the market with the most up to date information on the Company. </w:t>
      </w:r>
    </w:p>
    <w:p w14:paraId="3D2205BF" w14:textId="77777777" w:rsidR="000C7760" w:rsidRPr="0012333C" w:rsidRDefault="000C7760" w:rsidP="000C7760">
      <w:pPr>
        <w:jc w:val="both"/>
        <w:rPr>
          <w:rFonts w:asciiTheme="minorHAnsi" w:hAnsiTheme="minorHAnsi" w:cstheme="minorHAnsi"/>
          <w:sz w:val="20"/>
          <w:szCs w:val="20"/>
          <w:lang w:val="en-US"/>
        </w:rPr>
      </w:pPr>
    </w:p>
    <w:p w14:paraId="5D4348BA" w14:textId="496EA11B" w:rsidR="000C7760" w:rsidRPr="0012333C" w:rsidRDefault="000C7760" w:rsidP="000C7760">
      <w:pPr>
        <w:jc w:val="both"/>
        <w:rPr>
          <w:rFonts w:asciiTheme="minorHAnsi" w:hAnsiTheme="minorHAnsi" w:cstheme="minorHAnsi"/>
          <w:b/>
          <w:bCs/>
          <w:smallCaps/>
          <w:sz w:val="20"/>
          <w:szCs w:val="20"/>
          <w:u w:val="single"/>
          <w:lang w:val="en-US"/>
        </w:rPr>
      </w:pPr>
      <w:r w:rsidRPr="0012333C">
        <w:rPr>
          <w:rFonts w:asciiTheme="minorHAnsi" w:hAnsiTheme="minorHAnsi" w:cstheme="minorHAnsi"/>
          <w:b/>
          <w:bCs/>
          <w:smallCaps/>
          <w:sz w:val="20"/>
          <w:szCs w:val="20"/>
          <w:u w:val="single"/>
          <w:lang w:val="en-US"/>
        </w:rPr>
        <w:t>Administration</w:t>
      </w:r>
    </w:p>
    <w:p w14:paraId="0B777BDB" w14:textId="77777777" w:rsidR="000C7760" w:rsidRPr="0012333C" w:rsidRDefault="000C7760" w:rsidP="000C7760">
      <w:pPr>
        <w:jc w:val="both"/>
        <w:rPr>
          <w:rFonts w:asciiTheme="minorHAnsi" w:hAnsiTheme="minorHAnsi" w:cstheme="minorHAnsi"/>
          <w:sz w:val="20"/>
          <w:szCs w:val="20"/>
          <w:lang w:val="en-US"/>
        </w:rPr>
      </w:pPr>
    </w:p>
    <w:p w14:paraId="59797A43" w14:textId="77777777" w:rsidR="00E616B9" w:rsidRDefault="0012333C" w:rsidP="000C7760">
      <w:pPr>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Details surrounding the appointment of joint administrators on 4 June 2021 and suspension of the trading of Iconic’s shares on 7 June 2021 can be found in the Audited Annual Report and Accounts for the year ended 30 June 2021 that has been published at approximately the same time as this report for the year ended 30 June 2022. </w:t>
      </w:r>
    </w:p>
    <w:p w14:paraId="3E9F7977" w14:textId="77777777" w:rsidR="00E616B9" w:rsidRDefault="00E616B9" w:rsidP="000C7760">
      <w:pPr>
        <w:jc w:val="both"/>
        <w:rPr>
          <w:rFonts w:asciiTheme="minorHAnsi" w:hAnsiTheme="minorHAnsi" w:cstheme="minorHAnsi"/>
          <w:sz w:val="20"/>
          <w:szCs w:val="20"/>
          <w:lang w:val="en-US"/>
        </w:rPr>
      </w:pPr>
    </w:p>
    <w:p w14:paraId="73529492" w14:textId="523A9843" w:rsidR="006867C4" w:rsidRPr="0012333C" w:rsidRDefault="000C7760" w:rsidP="000C7760">
      <w:pPr>
        <w:jc w:val="both"/>
        <w:rPr>
          <w:rFonts w:asciiTheme="minorHAnsi" w:hAnsiTheme="minorHAnsi" w:cstheme="minorHAnsi"/>
          <w:b/>
          <w:bCs/>
          <w:smallCaps/>
          <w:sz w:val="20"/>
          <w:szCs w:val="20"/>
          <w:u w:val="single"/>
        </w:rPr>
      </w:pPr>
      <w:r w:rsidRPr="0012333C">
        <w:rPr>
          <w:rFonts w:asciiTheme="minorHAnsi" w:hAnsiTheme="minorHAnsi" w:cstheme="minorHAnsi"/>
          <w:b/>
          <w:bCs/>
          <w:smallCaps/>
          <w:sz w:val="20"/>
          <w:szCs w:val="20"/>
          <w:u w:val="single"/>
        </w:rPr>
        <w:t xml:space="preserve">Events </w:t>
      </w:r>
      <w:r w:rsidR="0012333C">
        <w:rPr>
          <w:rFonts w:asciiTheme="minorHAnsi" w:hAnsiTheme="minorHAnsi" w:cstheme="minorHAnsi"/>
          <w:b/>
          <w:bCs/>
          <w:smallCaps/>
          <w:sz w:val="20"/>
          <w:szCs w:val="20"/>
          <w:u w:val="single"/>
        </w:rPr>
        <w:t>From 1 July 2021 through 30 June 2022</w:t>
      </w:r>
      <w:r w:rsidRPr="0012333C">
        <w:rPr>
          <w:rFonts w:asciiTheme="minorHAnsi" w:hAnsiTheme="minorHAnsi" w:cstheme="minorHAnsi"/>
          <w:b/>
          <w:bCs/>
          <w:smallCaps/>
          <w:sz w:val="20"/>
          <w:szCs w:val="20"/>
          <w:u w:val="single"/>
        </w:rPr>
        <w:t>:</w:t>
      </w:r>
    </w:p>
    <w:p w14:paraId="0D58CDB1" w14:textId="77777777" w:rsidR="000C7760" w:rsidRPr="0012333C" w:rsidRDefault="000C7760" w:rsidP="000C7760">
      <w:pPr>
        <w:jc w:val="both"/>
        <w:rPr>
          <w:rFonts w:asciiTheme="minorHAnsi" w:hAnsiTheme="minorHAnsi" w:cstheme="minorHAnsi"/>
          <w:b/>
          <w:bCs/>
          <w:smallCaps/>
          <w:sz w:val="20"/>
          <w:szCs w:val="20"/>
          <w:u w:val="single"/>
        </w:rPr>
      </w:pPr>
    </w:p>
    <w:p w14:paraId="760E4AC8" w14:textId="77777777" w:rsidR="000C7760" w:rsidRPr="0012333C" w:rsidRDefault="000C7760" w:rsidP="000C7760">
      <w:pPr>
        <w:jc w:val="both"/>
        <w:rPr>
          <w:rFonts w:asciiTheme="minorHAnsi" w:hAnsiTheme="minorHAnsi" w:cstheme="minorHAnsi"/>
          <w:sz w:val="20"/>
          <w:szCs w:val="20"/>
        </w:rPr>
      </w:pPr>
      <w:r w:rsidRPr="0012333C">
        <w:rPr>
          <w:rFonts w:asciiTheme="minorHAnsi" w:hAnsiTheme="minorHAnsi" w:cstheme="minorHAnsi"/>
          <w:sz w:val="20"/>
          <w:szCs w:val="20"/>
        </w:rPr>
        <w:t xml:space="preserve">On 26 July 2021, Iconic submitted a Statement of Affairs to the High Court of Justice, Business &amp; Property Courts setting forth a summary of the Company’s assets, liabilities, creditors, and shareholders as of 4 June 2021 when the administration began. On the same date, the Joint Administrators submitted to the creditors Proposals Relating to Iconic, wherein, among other items, they proposed that if adequate funding could be found, a CVA proposal could be submitted to the creditors for their consideration.  </w:t>
      </w:r>
    </w:p>
    <w:p w14:paraId="1D57C19C" w14:textId="77777777" w:rsidR="000C7760" w:rsidRPr="0012333C" w:rsidRDefault="000C7760" w:rsidP="000C7760">
      <w:pPr>
        <w:jc w:val="both"/>
        <w:rPr>
          <w:rFonts w:asciiTheme="minorHAnsi" w:hAnsiTheme="minorHAnsi" w:cstheme="minorHAnsi"/>
          <w:sz w:val="20"/>
          <w:szCs w:val="20"/>
        </w:rPr>
      </w:pPr>
    </w:p>
    <w:p w14:paraId="4AAB4753" w14:textId="77777777" w:rsidR="000C7760" w:rsidRPr="0012333C" w:rsidRDefault="000C7760" w:rsidP="000C7760">
      <w:pPr>
        <w:jc w:val="both"/>
        <w:rPr>
          <w:rFonts w:asciiTheme="minorHAnsi" w:hAnsiTheme="minorHAnsi" w:cstheme="minorHAnsi"/>
          <w:sz w:val="20"/>
          <w:szCs w:val="20"/>
        </w:rPr>
      </w:pPr>
      <w:r w:rsidRPr="0012333C">
        <w:rPr>
          <w:rFonts w:asciiTheme="minorHAnsi" w:hAnsiTheme="minorHAnsi" w:cstheme="minorHAnsi"/>
          <w:sz w:val="20"/>
          <w:szCs w:val="20"/>
        </w:rPr>
        <w:t>Following several adjournments, a Shareholders’ General Meeting was ultimately held on 8 December 2021 for shareholders to vote on the meeting agenda that was convened on 20 May 2021. All resolutions were passed and involved the ability of Iconic to allot shares and finance the Company as set forth below:</w:t>
      </w:r>
    </w:p>
    <w:p w14:paraId="27DC2A33" w14:textId="77777777" w:rsidR="000C7760" w:rsidRPr="0012333C" w:rsidRDefault="000C7760" w:rsidP="000C7760">
      <w:pPr>
        <w:jc w:val="both"/>
        <w:rPr>
          <w:rFonts w:asciiTheme="minorHAnsi" w:hAnsiTheme="minorHAnsi" w:cstheme="minorHAnsi"/>
          <w:sz w:val="20"/>
          <w:szCs w:val="20"/>
        </w:rPr>
      </w:pPr>
    </w:p>
    <w:p w14:paraId="4322A30F" w14:textId="77777777" w:rsidR="00580ED9" w:rsidRDefault="000C7760" w:rsidP="00B2796D">
      <w:pPr>
        <w:pStyle w:val="ListParagraph"/>
        <w:widowControl w:val="0"/>
        <w:numPr>
          <w:ilvl w:val="0"/>
          <w:numId w:val="39"/>
        </w:numPr>
        <w:autoSpaceDE w:val="0"/>
        <w:autoSpaceDN w:val="0"/>
        <w:adjustRightInd w:val="0"/>
        <w:jc w:val="both"/>
        <w:rPr>
          <w:rFonts w:asciiTheme="minorHAnsi" w:hAnsiTheme="minorHAnsi" w:cstheme="minorHAnsi"/>
          <w:sz w:val="20"/>
          <w:szCs w:val="20"/>
        </w:rPr>
        <w:sectPr w:rsidR="00580ED9" w:rsidSect="00022AD5">
          <w:headerReference w:type="default" r:id="rId16"/>
          <w:type w:val="continuous"/>
          <w:pgSz w:w="11906" w:h="16838"/>
          <w:pgMar w:top="1440" w:right="1440" w:bottom="1440" w:left="1440" w:header="708" w:footer="708" w:gutter="0"/>
          <w:cols w:space="708"/>
          <w:docGrid w:linePitch="360"/>
        </w:sectPr>
      </w:pPr>
      <w:r w:rsidRPr="0012333C">
        <w:rPr>
          <w:rFonts w:asciiTheme="minorHAnsi" w:hAnsiTheme="minorHAnsi" w:cstheme="minorHAnsi"/>
          <w:b/>
          <w:bCs/>
          <w:sz w:val="20"/>
          <w:szCs w:val="20"/>
          <w:u w:val="single"/>
        </w:rPr>
        <w:t>Resolution 1:</w:t>
      </w:r>
      <w:r w:rsidRPr="0012333C">
        <w:rPr>
          <w:rFonts w:asciiTheme="minorHAnsi" w:hAnsiTheme="minorHAnsi" w:cstheme="minorHAnsi"/>
          <w:sz w:val="20"/>
          <w:szCs w:val="20"/>
        </w:rPr>
        <w:tab/>
        <w:t>Authority to allot relevant securities in respect of the 2019 Issuance Agreement and the Amended 2020 Issuance Agreement. This Resolution authorised the Directors to convert the notes and/or warrants issued under the 2019 Issuance Agreement and the Amended 2020 Issuance Agreement and issue further notes and/or warrants under such agreements, including in respect of subsequent drawdowns under the Amended 2020 Issuance Agreement. This authority is for relevant securities up to an aggregate nominal amount of £692,246, is in addition to any existing other authorities to allot relevant securities and expires on 14 June 2026.</w:t>
      </w:r>
    </w:p>
    <w:p w14:paraId="24799D5D" w14:textId="77777777" w:rsidR="000C7760" w:rsidRPr="0012333C" w:rsidRDefault="000C7760" w:rsidP="000C7760">
      <w:pPr>
        <w:widowControl w:val="0"/>
        <w:autoSpaceDE w:val="0"/>
        <w:autoSpaceDN w:val="0"/>
        <w:adjustRightInd w:val="0"/>
        <w:jc w:val="both"/>
        <w:rPr>
          <w:rFonts w:asciiTheme="minorHAnsi" w:hAnsiTheme="minorHAnsi" w:cstheme="minorHAnsi"/>
          <w:sz w:val="20"/>
          <w:szCs w:val="20"/>
        </w:rPr>
      </w:pPr>
    </w:p>
    <w:p w14:paraId="6896BDF1" w14:textId="77777777" w:rsidR="000C7760" w:rsidRPr="0012333C" w:rsidRDefault="000C7760" w:rsidP="00B2796D">
      <w:pPr>
        <w:pStyle w:val="ListParagraph"/>
        <w:widowControl w:val="0"/>
        <w:numPr>
          <w:ilvl w:val="0"/>
          <w:numId w:val="39"/>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2:</w:t>
      </w:r>
      <w:r w:rsidRPr="0012333C">
        <w:rPr>
          <w:rFonts w:asciiTheme="minorHAnsi" w:hAnsiTheme="minorHAnsi" w:cstheme="minorHAnsi"/>
          <w:sz w:val="20"/>
          <w:szCs w:val="20"/>
        </w:rPr>
        <w:tab/>
        <w:t xml:space="preserve">Authority to allot relevant securities in respect of any Flexible Facility. This Resolution authorised the Directors to issue convertible securities (which grant rights to subscribe for ordinary shares) and ordinary shares on conversion of such convertible securities in connection with any “Flexible Facility” (as described in the Resolution). This authority is for relevant securities up to an </w:t>
      </w:r>
      <w:r w:rsidRPr="0012333C">
        <w:rPr>
          <w:rFonts w:asciiTheme="minorHAnsi" w:hAnsiTheme="minorHAnsi" w:cstheme="minorHAnsi"/>
          <w:sz w:val="20"/>
          <w:szCs w:val="20"/>
        </w:rPr>
        <w:lastRenderedPageBreak/>
        <w:t>aggregate nominal amount of £807,754, is in addition to any existing other authorities to allot relevant securities and expires on 14 June 2026.</w:t>
      </w:r>
    </w:p>
    <w:p w14:paraId="7A01B97D" w14:textId="77777777" w:rsidR="000C7760" w:rsidRPr="0012333C" w:rsidRDefault="000C7760" w:rsidP="000C7760">
      <w:pPr>
        <w:jc w:val="both"/>
        <w:rPr>
          <w:rFonts w:asciiTheme="minorHAnsi" w:hAnsiTheme="minorHAnsi" w:cstheme="minorHAnsi"/>
          <w:sz w:val="20"/>
          <w:szCs w:val="20"/>
        </w:rPr>
      </w:pPr>
    </w:p>
    <w:p w14:paraId="4876FDCC" w14:textId="77777777" w:rsidR="000C7760" w:rsidRPr="0012333C" w:rsidRDefault="000C7760" w:rsidP="00B2796D">
      <w:pPr>
        <w:pStyle w:val="ListParagraph"/>
        <w:widowControl w:val="0"/>
        <w:numPr>
          <w:ilvl w:val="0"/>
          <w:numId w:val="39"/>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3:</w:t>
      </w:r>
      <w:r w:rsidRPr="0012333C">
        <w:rPr>
          <w:rFonts w:asciiTheme="minorHAnsi" w:hAnsiTheme="minorHAnsi" w:cstheme="minorHAnsi"/>
          <w:sz w:val="20"/>
          <w:szCs w:val="20"/>
        </w:rPr>
        <w:tab/>
        <w:t>Disapplication of pre-emption rights in respect of the 2019 Issuance Agreement and the Amended 2020 Issuance Agreement. This Resolution was subject to the passing of Resolution 1, which passed. In turn, this third Resolution authorised the Company to disapply the pre-emption rights conferred by the Companies Act 2006 in connection with the allotment authority conferred by Resolution 1 in respect of the 2019 Issuance Agreement and the Amended 2020 Issuance Agreement. This authority applies to the relevant securities which were the subject of the allotment authority conferred by Resolution 1, is in addition to any existing powers conferred on the Company and expires on 14 June 2026.</w:t>
      </w:r>
    </w:p>
    <w:p w14:paraId="0ECDF85C" w14:textId="55DF03C2" w:rsidR="00022AD5" w:rsidRPr="0012333C" w:rsidRDefault="00022AD5" w:rsidP="00022AD5">
      <w:pPr>
        <w:ind w:right="868"/>
        <w:jc w:val="both"/>
        <w:rPr>
          <w:rFonts w:asciiTheme="minorHAnsi" w:hAnsiTheme="minorHAnsi" w:cstheme="minorHAnsi"/>
          <w:b/>
          <w:bCs/>
          <w:i/>
          <w:sz w:val="20"/>
          <w:szCs w:val="20"/>
        </w:rPr>
      </w:pPr>
    </w:p>
    <w:p w14:paraId="0877DBC7" w14:textId="77777777" w:rsidR="000C7760" w:rsidRPr="0012333C" w:rsidRDefault="000C7760" w:rsidP="00B2796D">
      <w:pPr>
        <w:pStyle w:val="ListParagraph"/>
        <w:widowControl w:val="0"/>
        <w:numPr>
          <w:ilvl w:val="0"/>
          <w:numId w:val="39"/>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4:</w:t>
      </w:r>
      <w:r w:rsidRPr="0012333C">
        <w:rPr>
          <w:rFonts w:asciiTheme="minorHAnsi" w:hAnsiTheme="minorHAnsi" w:cstheme="minorHAnsi"/>
          <w:sz w:val="20"/>
          <w:szCs w:val="20"/>
        </w:rPr>
        <w:tab/>
        <w:t>Disapplication of pre-emption rights in respect of any Flexible Facility. This Resolution was subject to the passing of Resolution 2, which passed. In turn, this fourth Resolution authorised the Company to disapply the pre-emption rights conferred by the Companies Act 2006 in connection with the allotment authority conferred by Resolution 2 in respect of any Flexible Facility. This authority applies to the relevant securities which are the subject of the allotment authority conferred by Resolution 2, is in addition to any existing powers conferred on the Company and expires on 14 June 2026.</w:t>
      </w:r>
    </w:p>
    <w:p w14:paraId="79370E19" w14:textId="77777777" w:rsidR="000C7760" w:rsidRPr="0012333C" w:rsidRDefault="000C7760" w:rsidP="000C7760">
      <w:pPr>
        <w:spacing w:before="120" w:line="340" w:lineRule="exact"/>
        <w:jc w:val="both"/>
        <w:rPr>
          <w:rFonts w:asciiTheme="minorHAnsi" w:hAnsiTheme="minorHAnsi" w:cstheme="minorHAnsi"/>
          <w:b/>
          <w:sz w:val="20"/>
          <w:szCs w:val="20"/>
        </w:rPr>
      </w:pPr>
    </w:p>
    <w:p w14:paraId="5024C6BF" w14:textId="77777777" w:rsidR="000C7760" w:rsidRPr="0012333C" w:rsidRDefault="000C7760" w:rsidP="000C7760">
      <w:pPr>
        <w:ind w:right="868"/>
        <w:jc w:val="both"/>
        <w:rPr>
          <w:rFonts w:asciiTheme="minorHAnsi" w:hAnsiTheme="minorHAnsi" w:cstheme="minorHAnsi"/>
          <w:b/>
          <w:bCs/>
          <w:i/>
          <w:sz w:val="20"/>
          <w:szCs w:val="20"/>
        </w:rPr>
        <w:sectPr w:rsidR="000C7760" w:rsidRPr="0012333C" w:rsidSect="00022AD5">
          <w:headerReference w:type="default" r:id="rId17"/>
          <w:type w:val="continuous"/>
          <w:pgSz w:w="11906" w:h="16838"/>
          <w:pgMar w:top="1440" w:right="1440" w:bottom="1440" w:left="1440" w:header="708" w:footer="708" w:gutter="0"/>
          <w:cols w:space="708"/>
          <w:docGrid w:linePitch="360"/>
        </w:sectPr>
      </w:pPr>
    </w:p>
    <w:p w14:paraId="2DE97C5B" w14:textId="77777777" w:rsidR="000C7760" w:rsidRPr="0012333C" w:rsidRDefault="000C7760" w:rsidP="00B2796D">
      <w:pPr>
        <w:pStyle w:val="ListParagraph"/>
        <w:widowControl w:val="0"/>
        <w:numPr>
          <w:ilvl w:val="0"/>
          <w:numId w:val="39"/>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5:</w:t>
      </w:r>
      <w:r w:rsidRPr="0012333C">
        <w:rPr>
          <w:rFonts w:asciiTheme="minorHAnsi" w:hAnsiTheme="minorHAnsi" w:cstheme="minorHAnsi"/>
          <w:sz w:val="20"/>
          <w:szCs w:val="20"/>
        </w:rPr>
        <w:tab/>
        <w:t>Disapplication of pre-emption rights in respect of the allotment authorities from the Company’s Annual General Meeting (“</w:t>
      </w:r>
      <w:r w:rsidRPr="0012333C">
        <w:rPr>
          <w:rFonts w:asciiTheme="minorHAnsi" w:hAnsiTheme="minorHAnsi" w:cstheme="minorHAnsi"/>
          <w:b/>
          <w:bCs/>
          <w:i/>
          <w:iCs/>
          <w:sz w:val="20"/>
          <w:szCs w:val="20"/>
        </w:rPr>
        <w:t>AGM</w:t>
      </w:r>
      <w:r w:rsidRPr="0012333C">
        <w:rPr>
          <w:rFonts w:asciiTheme="minorHAnsi" w:hAnsiTheme="minorHAnsi" w:cstheme="minorHAnsi"/>
          <w:sz w:val="20"/>
          <w:szCs w:val="20"/>
        </w:rPr>
        <w:t xml:space="preserve">”). At the Company’s AGM on 31 December 2020, the shareholders passed a resolution that authorised the Directors to allot shares in the Company (and to grant rights to subscribe for, or to convert any security into, shares in the Company) up to an aggregate nominal amount of £124,684.16 as well as up to a further aggregate nominal amount of £124,684.16 in connection with a rights issue. This fifth Resolution authorised the Company to disapply the pre-emption rights conferred by the Companies Act 2006 in connection with the allotment authorities conferred on the Company at the last AGM described above. This authority is in addition to any existing powers conferred on the Company and expires at the conclusion of the Company’s next AGM. </w:t>
      </w:r>
    </w:p>
    <w:p w14:paraId="71548945" w14:textId="77777777" w:rsidR="000C7760" w:rsidRPr="0012333C" w:rsidRDefault="000C7760" w:rsidP="000C7760">
      <w:pPr>
        <w:jc w:val="both"/>
        <w:rPr>
          <w:rFonts w:asciiTheme="minorHAnsi" w:hAnsiTheme="minorHAnsi" w:cstheme="minorHAnsi"/>
          <w:sz w:val="20"/>
          <w:szCs w:val="20"/>
        </w:rPr>
      </w:pPr>
      <w:r w:rsidRPr="0012333C">
        <w:rPr>
          <w:rFonts w:asciiTheme="minorHAnsi" w:hAnsiTheme="minorHAnsi" w:cstheme="minorHAnsi"/>
          <w:sz w:val="20"/>
          <w:szCs w:val="20"/>
        </w:rPr>
        <w:t xml:space="preserve"> </w:t>
      </w:r>
    </w:p>
    <w:p w14:paraId="53231094" w14:textId="2CF034FB" w:rsidR="000C7760" w:rsidRPr="0012333C" w:rsidRDefault="0012333C" w:rsidP="000C7760">
      <w:pPr>
        <w:jc w:val="both"/>
        <w:rPr>
          <w:rFonts w:asciiTheme="minorHAnsi" w:hAnsiTheme="minorHAnsi" w:cstheme="minorHAnsi"/>
          <w:b/>
          <w:bCs/>
          <w:smallCaps/>
          <w:sz w:val="20"/>
          <w:szCs w:val="20"/>
          <w:u w:val="single"/>
        </w:rPr>
      </w:pPr>
      <w:r>
        <w:rPr>
          <w:rFonts w:asciiTheme="minorHAnsi" w:hAnsiTheme="minorHAnsi" w:cstheme="minorHAnsi"/>
          <w:b/>
          <w:bCs/>
          <w:smallCaps/>
          <w:sz w:val="20"/>
          <w:szCs w:val="20"/>
          <w:u w:val="single"/>
        </w:rPr>
        <w:t>Events Post Closing of the 2022 Accounts:</w:t>
      </w:r>
    </w:p>
    <w:p w14:paraId="033FE8FE" w14:textId="77777777" w:rsidR="000C7760" w:rsidRPr="0012333C" w:rsidRDefault="000C7760" w:rsidP="000C7760">
      <w:pPr>
        <w:jc w:val="both"/>
        <w:rPr>
          <w:rFonts w:asciiTheme="minorHAnsi" w:hAnsiTheme="minorHAnsi" w:cstheme="minorHAnsi"/>
          <w:sz w:val="20"/>
          <w:szCs w:val="20"/>
        </w:rPr>
      </w:pPr>
    </w:p>
    <w:p w14:paraId="192F37DB" w14:textId="660BD5C6" w:rsidR="000C7760" w:rsidRPr="0012333C" w:rsidRDefault="00C227AF" w:rsidP="00C227AF">
      <w:pPr>
        <w:spacing w:after="225"/>
        <w:jc w:val="both"/>
        <w:rPr>
          <w:rFonts w:asciiTheme="minorHAnsi" w:hAnsiTheme="minorHAnsi" w:cstheme="minorHAnsi"/>
          <w:sz w:val="20"/>
          <w:szCs w:val="20"/>
        </w:rPr>
      </w:pPr>
      <w:r>
        <w:rPr>
          <w:rFonts w:asciiTheme="minorHAnsi" w:hAnsiTheme="minorHAnsi" w:cstheme="minorHAnsi"/>
          <w:sz w:val="20"/>
          <w:szCs w:val="20"/>
          <w:lang w:val="en-US"/>
        </w:rPr>
        <w:t xml:space="preserve">While the administration was still in effect as of 30 June 2022, with the foregoing </w:t>
      </w:r>
      <w:r w:rsidR="000C7760" w:rsidRPr="0012333C">
        <w:rPr>
          <w:rFonts w:asciiTheme="minorHAnsi" w:hAnsiTheme="minorHAnsi" w:cstheme="minorHAnsi"/>
          <w:sz w:val="20"/>
          <w:szCs w:val="20"/>
        </w:rPr>
        <w:t xml:space="preserve">resolutions passed, we turned our attention to (i) negotiating settlements to all outstanding disputes; (ii) finalizing a CVA with the Joint Administrators and the critical, preferential, secured, and unsecured creditors; and (iii) agreeing to financing terms with EHGOSF to support the Company upon exiting from administration. Given the numerous parties involved and their competing interests, complexity of the various legal and financial issues confronting the parties, and volume of related legal documentation to be agreed upon, this process took until August 2022. </w:t>
      </w:r>
    </w:p>
    <w:p w14:paraId="437E849B" w14:textId="77777777" w:rsidR="000C7760" w:rsidRPr="0012333C" w:rsidRDefault="000C7760" w:rsidP="000C7760">
      <w:pPr>
        <w:jc w:val="both"/>
        <w:rPr>
          <w:rFonts w:asciiTheme="minorHAnsi" w:hAnsiTheme="minorHAnsi" w:cstheme="minorHAnsi"/>
          <w:sz w:val="20"/>
          <w:szCs w:val="20"/>
        </w:rPr>
      </w:pPr>
      <w:r w:rsidRPr="0012333C">
        <w:rPr>
          <w:rFonts w:asciiTheme="minorHAnsi" w:hAnsiTheme="minorHAnsi" w:cstheme="minorHAnsi"/>
          <w:sz w:val="20"/>
          <w:szCs w:val="20"/>
        </w:rPr>
        <w:t xml:space="preserve">At that time, settlement agreements resolving all disputes were finalized, and notices were issued for a Creditors’ Meeting to be held on 22 September 2022 to approve the CVA and a Shareholders’ General Meeting to also be held on 22 September 2022 after the Creditors’ Meeting. As part of the settlement agreements, EHGOSF agreed to cancel its outstanding convertible loan notes and warrants in exchange for new convertible loan notes of £750,000, and in addition, £750,000 in new convertible loan notes were to be issued to Linton Capital, which had been assigned Arch’s Capital’s positions. These new convertible loan notes were issued to EHGOSF and Linton Capital, respectively, on 19 December 2022, but to date have not been converted into new shares in Iconic.  </w:t>
      </w:r>
    </w:p>
    <w:p w14:paraId="67B2030D" w14:textId="77777777" w:rsidR="000C7760" w:rsidRPr="0012333C" w:rsidRDefault="000C7760" w:rsidP="000C7760">
      <w:pPr>
        <w:jc w:val="both"/>
        <w:rPr>
          <w:rFonts w:asciiTheme="minorHAnsi" w:hAnsiTheme="minorHAnsi" w:cstheme="minorHAnsi"/>
          <w:sz w:val="20"/>
          <w:szCs w:val="20"/>
        </w:rPr>
      </w:pPr>
    </w:p>
    <w:p w14:paraId="332BF446" w14:textId="32BAE92E" w:rsidR="000C7760" w:rsidRPr="0012333C" w:rsidRDefault="000C7760" w:rsidP="000C7760">
      <w:pPr>
        <w:jc w:val="both"/>
        <w:rPr>
          <w:rFonts w:asciiTheme="minorHAnsi" w:hAnsiTheme="minorHAnsi" w:cstheme="minorHAnsi"/>
          <w:sz w:val="20"/>
          <w:szCs w:val="20"/>
        </w:rPr>
      </w:pPr>
      <w:r w:rsidRPr="0012333C">
        <w:rPr>
          <w:rFonts w:asciiTheme="minorHAnsi" w:hAnsiTheme="minorHAnsi" w:cstheme="minorHAnsi"/>
          <w:sz w:val="20"/>
          <w:szCs w:val="20"/>
        </w:rPr>
        <w:t xml:space="preserve">At the Creditors’ Meeting on 22 September 2022, the CVA was approved. In summary, a payment plan was approved over a period of nine months for the critical and preferential creditors as well as all costs and expenses associated with the administration. In addition, unsecured creditors agreed to be repaid in Iconic shares at a rate of £0.25 per £1.00 of unsecured claims against the Company, resulting in a reduction of more than £800,000 of liabilities against Iconic. These new Iconic shares will be issued to the unsecured creditors once all payments have been made to the critical and preferential creditors, and all costs and expense associated with the </w:t>
      </w:r>
      <w:r w:rsidRPr="0012333C">
        <w:rPr>
          <w:rFonts w:asciiTheme="minorHAnsi" w:hAnsiTheme="minorHAnsi" w:cstheme="minorHAnsi"/>
          <w:sz w:val="20"/>
          <w:szCs w:val="20"/>
        </w:rPr>
        <w:lastRenderedPageBreak/>
        <w:t xml:space="preserve">administration have been paid in full. Subject to Iconic’s trading suspension being lifted, and financing continuing under the new £3m financing facility with EHGOSF, set forth in detail below, Iconic anticipates these new shares to be issued to the unsecured creditors in May of 2023. A total of </w:t>
      </w:r>
      <w:r w:rsidRPr="0012333C">
        <w:rPr>
          <w:rFonts w:asciiTheme="minorHAnsi" w:hAnsiTheme="minorHAnsi" w:cstheme="minorHAnsi"/>
          <w:color w:val="222222"/>
          <w:sz w:val="20"/>
          <w:szCs w:val="20"/>
          <w:shd w:val="clear" w:color="auto" w:fill="FFFFFF"/>
        </w:rPr>
        <w:t>1,674,130,609</w:t>
      </w:r>
      <w:r w:rsidRPr="0012333C">
        <w:rPr>
          <w:rFonts w:asciiTheme="minorHAnsi" w:hAnsiTheme="minorHAnsi" w:cstheme="minorHAnsi"/>
          <w:sz w:val="20"/>
          <w:szCs w:val="20"/>
        </w:rPr>
        <w:t xml:space="preserve"> new shares will be issued to the unsecured creditors at that time. </w:t>
      </w:r>
    </w:p>
    <w:p w14:paraId="3846E025" w14:textId="77777777" w:rsidR="000C7760" w:rsidRPr="0012333C" w:rsidRDefault="000C7760" w:rsidP="000C7760">
      <w:pPr>
        <w:jc w:val="both"/>
        <w:rPr>
          <w:rFonts w:asciiTheme="minorHAnsi" w:hAnsiTheme="minorHAnsi" w:cstheme="minorHAnsi"/>
          <w:sz w:val="20"/>
          <w:szCs w:val="20"/>
        </w:rPr>
      </w:pPr>
    </w:p>
    <w:p w14:paraId="1211C68F" w14:textId="77777777" w:rsidR="000C7760" w:rsidRPr="0012333C" w:rsidRDefault="000C7760" w:rsidP="000C7760">
      <w:pPr>
        <w:jc w:val="both"/>
        <w:rPr>
          <w:rFonts w:asciiTheme="minorHAnsi" w:hAnsiTheme="minorHAnsi" w:cstheme="minorHAnsi"/>
          <w:sz w:val="20"/>
          <w:szCs w:val="20"/>
        </w:rPr>
      </w:pPr>
      <w:r w:rsidRPr="0012333C">
        <w:rPr>
          <w:rFonts w:asciiTheme="minorHAnsi" w:hAnsiTheme="minorHAnsi" w:cstheme="minorHAnsi"/>
          <w:sz w:val="20"/>
          <w:szCs w:val="20"/>
        </w:rPr>
        <w:t>At the Shareholders’ General Meeting also held on 22 September 2022, all resolutions were passed as set forth below:</w:t>
      </w:r>
    </w:p>
    <w:p w14:paraId="4B87D072" w14:textId="34548313" w:rsidR="006867C4" w:rsidRPr="0012333C" w:rsidRDefault="006867C4" w:rsidP="00F57DA3">
      <w:pPr>
        <w:spacing w:before="120" w:line="340" w:lineRule="exact"/>
        <w:jc w:val="both"/>
        <w:rPr>
          <w:rFonts w:asciiTheme="minorHAnsi" w:hAnsiTheme="minorHAnsi" w:cstheme="minorHAnsi"/>
          <w:sz w:val="20"/>
          <w:szCs w:val="20"/>
        </w:rPr>
      </w:pPr>
    </w:p>
    <w:p w14:paraId="02918FCC" w14:textId="77777777" w:rsidR="000C7760" w:rsidRPr="0012333C" w:rsidRDefault="000C7760" w:rsidP="00B2796D">
      <w:pPr>
        <w:pStyle w:val="ListParagraph"/>
        <w:widowControl w:val="0"/>
        <w:numPr>
          <w:ilvl w:val="0"/>
          <w:numId w:val="40"/>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1:</w:t>
      </w:r>
      <w:r w:rsidRPr="0012333C">
        <w:rPr>
          <w:rFonts w:asciiTheme="minorHAnsi" w:hAnsiTheme="minorHAnsi" w:cstheme="minorHAnsi"/>
          <w:sz w:val="20"/>
          <w:szCs w:val="20"/>
        </w:rPr>
        <w:tab/>
        <w:t xml:space="preserve">The CVA that had been approved earlier in the day by the creditors was then approved at the General Meeting by the shareholders. </w:t>
      </w:r>
    </w:p>
    <w:p w14:paraId="254631D8" w14:textId="77777777" w:rsidR="000C7760" w:rsidRPr="0012333C" w:rsidRDefault="000C7760" w:rsidP="000C7760">
      <w:pPr>
        <w:widowControl w:val="0"/>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sz w:val="20"/>
          <w:szCs w:val="20"/>
        </w:rPr>
        <w:t> </w:t>
      </w:r>
    </w:p>
    <w:p w14:paraId="10F2EFCF" w14:textId="77777777" w:rsidR="000C7760" w:rsidRPr="0012333C" w:rsidRDefault="000C7760" w:rsidP="00B2796D">
      <w:pPr>
        <w:pStyle w:val="ListParagraph"/>
        <w:widowControl w:val="0"/>
        <w:numPr>
          <w:ilvl w:val="0"/>
          <w:numId w:val="40"/>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2:</w:t>
      </w:r>
      <w:r w:rsidRPr="0012333C">
        <w:rPr>
          <w:rFonts w:asciiTheme="minorHAnsi" w:hAnsiTheme="minorHAnsi" w:cstheme="minorHAnsi"/>
          <w:sz w:val="20"/>
          <w:szCs w:val="20"/>
        </w:rPr>
        <w:tab/>
        <w:t>Authority to allot relevant securities to the creditors of the Company in respect of the CVA. The shareholders granted authority to the Company under the Companies Act 2006 for the Company to issue 1,674,130,609 ordinary shares to the relevant creditors in accordance with the CVA. This authority is for relevant securities up to an aggregate nominal amount of £16,741.31, is in addition to any existing other authorities to allot relevant securities and expires 5 years from the date of this Resolution.</w:t>
      </w:r>
    </w:p>
    <w:p w14:paraId="52E6957D" w14:textId="77777777" w:rsidR="000C7760" w:rsidRPr="0012333C" w:rsidRDefault="000C7760" w:rsidP="000C7760">
      <w:pPr>
        <w:widowControl w:val="0"/>
        <w:autoSpaceDE w:val="0"/>
        <w:autoSpaceDN w:val="0"/>
        <w:adjustRightInd w:val="0"/>
        <w:jc w:val="both"/>
        <w:rPr>
          <w:rFonts w:asciiTheme="minorHAnsi" w:hAnsiTheme="minorHAnsi" w:cstheme="minorHAnsi"/>
          <w:sz w:val="20"/>
          <w:szCs w:val="20"/>
        </w:rPr>
      </w:pPr>
    </w:p>
    <w:p w14:paraId="27122062" w14:textId="3CE355C8" w:rsidR="000C7760" w:rsidRDefault="000C7760" w:rsidP="00C227AF">
      <w:pPr>
        <w:pStyle w:val="ListParagraph"/>
        <w:widowControl w:val="0"/>
        <w:numPr>
          <w:ilvl w:val="0"/>
          <w:numId w:val="40"/>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3:</w:t>
      </w:r>
      <w:r w:rsidRPr="0012333C">
        <w:rPr>
          <w:rFonts w:asciiTheme="minorHAnsi" w:hAnsiTheme="minorHAnsi" w:cstheme="minorHAnsi"/>
          <w:sz w:val="20"/>
          <w:szCs w:val="20"/>
        </w:rPr>
        <w:tab/>
        <w:t>Authority to allot securities generally for purpose the Directors may deem necessary or expedient in promoting the success of the Company. The shareholders granted authority to the Company to issue ordinary shares for such purposes as deemed fit to promote the success of the Company, and for those general commercial purposes that are in the best interest of the Company and its shareholders. The Company is authorised to issue ordinary shares up to 14,962,099,216 of £0.00001 per share in the capital of the Company. An aggregate nominal amount of £149,620.99 represents approximately forty per cent (40%) of the issued ordinary share capital of the Company as of 30 August 2022. This authority is for relevant securities up to an aggregate nominal amount of £149,620.99, is in addition to any existing other authorities to allot relevant securities and expires 5 years from the date of this Resolution.</w:t>
      </w:r>
    </w:p>
    <w:p w14:paraId="785EBD9C" w14:textId="77777777" w:rsidR="00C227AF" w:rsidRPr="00C227AF" w:rsidRDefault="00C227AF" w:rsidP="00C227AF">
      <w:pPr>
        <w:widowControl w:val="0"/>
        <w:autoSpaceDE w:val="0"/>
        <w:autoSpaceDN w:val="0"/>
        <w:adjustRightInd w:val="0"/>
        <w:jc w:val="both"/>
        <w:rPr>
          <w:rFonts w:asciiTheme="minorHAnsi" w:hAnsiTheme="minorHAnsi" w:cstheme="minorHAnsi"/>
          <w:sz w:val="20"/>
          <w:szCs w:val="20"/>
        </w:rPr>
      </w:pPr>
    </w:p>
    <w:p w14:paraId="7D71288A" w14:textId="77777777" w:rsidR="000C7760" w:rsidRPr="0012333C" w:rsidRDefault="000C7760" w:rsidP="00B2796D">
      <w:pPr>
        <w:pStyle w:val="ListParagraph"/>
        <w:widowControl w:val="0"/>
        <w:numPr>
          <w:ilvl w:val="0"/>
          <w:numId w:val="40"/>
        </w:numPr>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b/>
          <w:bCs/>
          <w:sz w:val="20"/>
          <w:szCs w:val="20"/>
          <w:u w:val="single"/>
        </w:rPr>
        <w:t>Resolution 4:</w:t>
      </w:r>
      <w:r w:rsidRPr="0012333C">
        <w:rPr>
          <w:rFonts w:asciiTheme="minorHAnsi" w:hAnsiTheme="minorHAnsi" w:cstheme="minorHAnsi"/>
          <w:sz w:val="20"/>
          <w:szCs w:val="20"/>
        </w:rPr>
        <w:tab/>
        <w:t>Disapplication of pre-emption rights in respect of the ordinary shares to be issued in accordance with the CVA. This Resolution was subject to the passing of Resolution 2, which passed. In turn, this fourth Resolution authorised the Company to disapply the pre-emption rights conferred by the Companies Act 2006 in connection with the issue of 1,674,130,609 ordinary shares to the creditors of the Company pursuant to the CVA and applies to the allotment authority conferred by Resolution 2 above. This authority is in addition to any existing powers conferred on the Company and expires 5 years from the date of this Resolution.</w:t>
      </w:r>
    </w:p>
    <w:p w14:paraId="792D2745" w14:textId="77777777" w:rsidR="000C7760" w:rsidRPr="0012333C" w:rsidRDefault="000C7760" w:rsidP="000C7760">
      <w:pPr>
        <w:widowControl w:val="0"/>
        <w:autoSpaceDE w:val="0"/>
        <w:autoSpaceDN w:val="0"/>
        <w:adjustRightInd w:val="0"/>
        <w:jc w:val="both"/>
        <w:rPr>
          <w:rFonts w:asciiTheme="minorHAnsi" w:hAnsiTheme="minorHAnsi" w:cstheme="minorHAnsi"/>
          <w:sz w:val="20"/>
          <w:szCs w:val="20"/>
        </w:rPr>
      </w:pPr>
    </w:p>
    <w:p w14:paraId="53613B61" w14:textId="77777777" w:rsidR="004D769A" w:rsidRPr="000348E3" w:rsidRDefault="000C7760" w:rsidP="000348E3">
      <w:pPr>
        <w:pStyle w:val="ListParagraph"/>
        <w:numPr>
          <w:ilvl w:val="0"/>
          <w:numId w:val="40"/>
        </w:numPr>
        <w:jc w:val="both"/>
        <w:rPr>
          <w:rFonts w:asciiTheme="minorHAnsi" w:hAnsiTheme="minorHAnsi" w:cstheme="minorHAnsi"/>
          <w:b/>
          <w:bCs/>
          <w:smallCaps/>
          <w:sz w:val="20"/>
          <w:szCs w:val="20"/>
          <w:u w:val="single"/>
        </w:rPr>
      </w:pPr>
      <w:r w:rsidRPr="000348E3">
        <w:rPr>
          <w:rFonts w:asciiTheme="minorHAnsi" w:hAnsiTheme="minorHAnsi" w:cstheme="minorHAnsi"/>
          <w:b/>
          <w:bCs/>
          <w:sz w:val="20"/>
          <w:szCs w:val="20"/>
          <w:u w:val="single"/>
        </w:rPr>
        <w:t>Resolution 5:</w:t>
      </w:r>
      <w:r w:rsidRPr="000348E3">
        <w:rPr>
          <w:rFonts w:asciiTheme="minorHAnsi" w:hAnsiTheme="minorHAnsi" w:cstheme="minorHAnsi"/>
          <w:sz w:val="20"/>
          <w:szCs w:val="20"/>
        </w:rPr>
        <w:tab/>
        <w:t>Disapplication of pre-emption rights in respect of the general authority to issue up to 14,962,099,216 of ordinary shares. This Resolution was subject to the passing of Resolution 3, which passed. In turn, this fifth Resolution authorised the Company to disapply the pre-emption rights conferred by the Companies Act 2006 in connection with the issue of up to 14,962,099,216 of ordinary shares representing approximately forty per cent (40%) of the issued ordinary share capital of the Company as of 30 August 2022 and applies to the allotment authority conferred by Resolution 3 above. This authority is in addition to any existing powers conferred on the Company and expires 5 years from the date of this Resolution.</w:t>
      </w:r>
      <w:r w:rsidR="004D769A" w:rsidRPr="000348E3">
        <w:rPr>
          <w:rFonts w:asciiTheme="minorHAnsi" w:hAnsiTheme="minorHAnsi" w:cstheme="minorHAnsi"/>
          <w:b/>
          <w:bCs/>
          <w:smallCaps/>
          <w:sz w:val="20"/>
          <w:szCs w:val="20"/>
          <w:u w:val="single"/>
        </w:rPr>
        <w:t xml:space="preserve"> </w:t>
      </w:r>
    </w:p>
    <w:p w14:paraId="4B500748" w14:textId="5C32284E" w:rsidR="004D769A" w:rsidRDefault="004D769A" w:rsidP="004D769A">
      <w:pPr>
        <w:jc w:val="both"/>
        <w:rPr>
          <w:rFonts w:asciiTheme="minorHAnsi" w:hAnsiTheme="minorHAnsi" w:cstheme="minorHAnsi"/>
          <w:b/>
          <w:bCs/>
          <w:smallCaps/>
          <w:sz w:val="20"/>
          <w:szCs w:val="20"/>
          <w:u w:val="single"/>
        </w:rPr>
      </w:pPr>
    </w:p>
    <w:p w14:paraId="0B4119DC" w14:textId="77777777" w:rsidR="00580ED9" w:rsidRPr="0012333C" w:rsidRDefault="00580ED9" w:rsidP="004D769A">
      <w:pPr>
        <w:jc w:val="both"/>
        <w:rPr>
          <w:rFonts w:asciiTheme="minorHAnsi" w:hAnsiTheme="minorHAnsi" w:cstheme="minorHAnsi"/>
          <w:b/>
          <w:bCs/>
          <w:smallCaps/>
          <w:sz w:val="20"/>
          <w:szCs w:val="20"/>
          <w:u w:val="single"/>
        </w:rPr>
      </w:pPr>
    </w:p>
    <w:p w14:paraId="221D5494" w14:textId="542FDD77" w:rsidR="004D769A" w:rsidRPr="0012333C" w:rsidRDefault="004D769A" w:rsidP="004D769A">
      <w:pPr>
        <w:jc w:val="both"/>
        <w:rPr>
          <w:rFonts w:asciiTheme="minorHAnsi" w:hAnsiTheme="minorHAnsi" w:cstheme="minorHAnsi"/>
          <w:b/>
          <w:bCs/>
          <w:smallCaps/>
          <w:sz w:val="20"/>
          <w:szCs w:val="20"/>
          <w:u w:val="single"/>
        </w:rPr>
      </w:pPr>
      <w:r w:rsidRPr="0012333C">
        <w:rPr>
          <w:rFonts w:asciiTheme="minorHAnsi" w:hAnsiTheme="minorHAnsi" w:cstheme="minorHAnsi"/>
          <w:b/>
          <w:bCs/>
          <w:smallCaps/>
          <w:sz w:val="20"/>
          <w:szCs w:val="20"/>
          <w:u w:val="single"/>
        </w:rPr>
        <w:t>New Financing Facility with EHGOSF</w:t>
      </w:r>
    </w:p>
    <w:p w14:paraId="5A427A4C" w14:textId="77777777" w:rsidR="004D769A" w:rsidRPr="0012333C" w:rsidRDefault="004D769A" w:rsidP="004D769A">
      <w:pPr>
        <w:jc w:val="both"/>
        <w:rPr>
          <w:rFonts w:asciiTheme="minorHAnsi" w:hAnsiTheme="minorHAnsi" w:cstheme="minorHAnsi"/>
          <w:sz w:val="20"/>
          <w:szCs w:val="20"/>
        </w:rPr>
      </w:pPr>
    </w:p>
    <w:p w14:paraId="435A88DB"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Following the approval of the CVA by creditors and shareholders, on 28 September 2022 Iconic entered into a £3 million Deed of Issuance and Subscription in respect of loan notes (“</w:t>
      </w:r>
      <w:r w:rsidRPr="0012333C">
        <w:rPr>
          <w:rFonts w:asciiTheme="minorHAnsi" w:hAnsiTheme="minorHAnsi" w:cstheme="minorHAnsi"/>
          <w:b/>
          <w:bCs/>
          <w:i/>
          <w:iCs/>
          <w:sz w:val="20"/>
          <w:szCs w:val="20"/>
        </w:rPr>
        <w:t>Notes</w:t>
      </w:r>
      <w:r w:rsidRPr="0012333C">
        <w:rPr>
          <w:rFonts w:asciiTheme="minorHAnsi" w:hAnsiTheme="minorHAnsi" w:cstheme="minorHAnsi"/>
          <w:sz w:val="20"/>
          <w:szCs w:val="20"/>
        </w:rPr>
        <w:t>”) convertible into new ordinary shares with share subscription warrants (“</w:t>
      </w:r>
      <w:r w:rsidRPr="0012333C">
        <w:rPr>
          <w:rFonts w:asciiTheme="minorHAnsi" w:hAnsiTheme="minorHAnsi" w:cstheme="minorHAnsi"/>
          <w:b/>
          <w:bCs/>
          <w:i/>
          <w:iCs/>
          <w:sz w:val="20"/>
          <w:szCs w:val="20"/>
        </w:rPr>
        <w:t>Warrants</w:t>
      </w:r>
      <w:r w:rsidRPr="0012333C">
        <w:rPr>
          <w:rFonts w:asciiTheme="minorHAnsi" w:hAnsiTheme="minorHAnsi" w:cstheme="minorHAnsi"/>
          <w:sz w:val="20"/>
          <w:szCs w:val="20"/>
        </w:rPr>
        <w:t>”) attached (together “</w:t>
      </w:r>
      <w:r w:rsidRPr="0012333C">
        <w:rPr>
          <w:rFonts w:asciiTheme="minorHAnsi" w:hAnsiTheme="minorHAnsi" w:cstheme="minorHAnsi"/>
          <w:b/>
          <w:bCs/>
          <w:i/>
          <w:iCs/>
          <w:sz w:val="20"/>
          <w:szCs w:val="20"/>
        </w:rPr>
        <w:t>the</w:t>
      </w:r>
      <w:r w:rsidRPr="0012333C">
        <w:rPr>
          <w:rFonts w:asciiTheme="minorHAnsi" w:hAnsiTheme="minorHAnsi" w:cstheme="minorHAnsi"/>
          <w:sz w:val="20"/>
          <w:szCs w:val="20"/>
        </w:rPr>
        <w:t xml:space="preserve"> </w:t>
      </w:r>
      <w:r w:rsidRPr="0012333C">
        <w:rPr>
          <w:rFonts w:asciiTheme="minorHAnsi" w:hAnsiTheme="minorHAnsi" w:cstheme="minorHAnsi"/>
          <w:b/>
          <w:bCs/>
          <w:i/>
          <w:iCs/>
          <w:sz w:val="20"/>
          <w:szCs w:val="20"/>
        </w:rPr>
        <w:t>Financing Facility</w:t>
      </w:r>
      <w:r w:rsidRPr="0012333C">
        <w:rPr>
          <w:rFonts w:asciiTheme="minorHAnsi" w:hAnsiTheme="minorHAnsi" w:cstheme="minorHAnsi"/>
          <w:sz w:val="20"/>
          <w:szCs w:val="20"/>
        </w:rPr>
        <w:t xml:space="preserve">”) with EHGOSF. The Financing Facility can be drawn down in up to 14 sequential tranches over a maximum period of 18 months and each Note has a duration of 24 months as from its date of issue.  </w:t>
      </w:r>
    </w:p>
    <w:p w14:paraId="03410BD5" w14:textId="77777777" w:rsidR="004D769A" w:rsidRPr="0012333C" w:rsidRDefault="004D769A" w:rsidP="004D769A">
      <w:pPr>
        <w:jc w:val="both"/>
        <w:rPr>
          <w:rFonts w:asciiTheme="minorHAnsi" w:hAnsiTheme="minorHAnsi" w:cstheme="minorHAnsi"/>
          <w:smallCaps/>
          <w:sz w:val="20"/>
          <w:szCs w:val="20"/>
        </w:rPr>
      </w:pPr>
    </w:p>
    <w:p w14:paraId="716FAEC9"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On the same day, Iconic submitted a drawdown notice for the first tranche of £250,000 and </w:t>
      </w:r>
      <w:r w:rsidRPr="0012333C">
        <w:rPr>
          <w:rFonts w:asciiTheme="minorHAnsi" w:hAnsiTheme="minorHAnsi" w:cstheme="minorHAnsi"/>
          <w:sz w:val="20"/>
          <w:szCs w:val="20"/>
          <w:shd w:val="clear" w:color="auto" w:fill="FFFFFF"/>
        </w:rPr>
        <w:t>781,250,000 warrants with an exercise price of GBP 0.00016</w:t>
      </w:r>
      <w:r w:rsidRPr="0012333C">
        <w:rPr>
          <w:rFonts w:asciiTheme="minorHAnsi" w:hAnsiTheme="minorHAnsi" w:cstheme="minorHAnsi"/>
          <w:sz w:val="20"/>
          <w:szCs w:val="20"/>
        </w:rPr>
        <w:t xml:space="preserve">. The subsequent tranches will be as follows: (i) £150,000 for tranches 2 through 6; and (ii) £ 250,000 for tranches 7 through 14.  </w:t>
      </w:r>
    </w:p>
    <w:p w14:paraId="64914F01" w14:textId="77777777" w:rsidR="004D769A" w:rsidRPr="0012333C" w:rsidRDefault="004D769A" w:rsidP="004D769A">
      <w:pPr>
        <w:jc w:val="both"/>
        <w:rPr>
          <w:rFonts w:asciiTheme="minorHAnsi" w:hAnsiTheme="minorHAnsi" w:cstheme="minorHAnsi"/>
          <w:sz w:val="20"/>
          <w:szCs w:val="20"/>
        </w:rPr>
      </w:pPr>
    </w:p>
    <w:p w14:paraId="54488D0F" w14:textId="583421F5" w:rsidR="000C7760" w:rsidRPr="0012333C" w:rsidRDefault="004D769A" w:rsidP="004D769A">
      <w:pPr>
        <w:widowControl w:val="0"/>
        <w:autoSpaceDE w:val="0"/>
        <w:autoSpaceDN w:val="0"/>
        <w:adjustRightInd w:val="0"/>
        <w:jc w:val="both"/>
        <w:rPr>
          <w:rFonts w:asciiTheme="minorHAnsi" w:hAnsiTheme="minorHAnsi" w:cstheme="minorHAnsi"/>
          <w:sz w:val="20"/>
          <w:szCs w:val="20"/>
        </w:rPr>
      </w:pPr>
      <w:r w:rsidRPr="0012333C">
        <w:rPr>
          <w:rFonts w:asciiTheme="minorHAnsi" w:hAnsiTheme="minorHAnsi" w:cstheme="minorHAnsi"/>
          <w:sz w:val="20"/>
          <w:szCs w:val="20"/>
        </w:rPr>
        <w:t>Under the Financing Facility, EHGOSF will provide Iconic with up to £3 million by subscribing for up to 3,000 Notes, each with a par value of £1,000, convertible into new ordinary shares in the Company, with the Warrants attached. Each Note is convertible into shares of Iconic at a conversion price equal to the highest of a) 90% of</w:t>
      </w:r>
    </w:p>
    <w:p w14:paraId="3EF3181B" w14:textId="55FCC899" w:rsidR="004D769A" w:rsidRPr="0012333C" w:rsidRDefault="004D769A" w:rsidP="000C7760">
      <w:pPr>
        <w:spacing w:before="120" w:after="240" w:line="370" w:lineRule="auto"/>
        <w:jc w:val="both"/>
        <w:rPr>
          <w:rFonts w:ascii="Calibri" w:eastAsia="Calibri" w:hAnsi="Calibri" w:cs="Calibri"/>
          <w:sz w:val="20"/>
          <w:szCs w:val="20"/>
        </w:rPr>
        <w:sectPr w:rsidR="004D769A" w:rsidRPr="0012333C" w:rsidSect="00BA5AA6">
          <w:headerReference w:type="even" r:id="rId18"/>
          <w:headerReference w:type="default" r:id="rId19"/>
          <w:headerReference w:type="first" r:id="rId20"/>
          <w:type w:val="continuous"/>
          <w:pgSz w:w="11906" w:h="16838"/>
          <w:pgMar w:top="1440" w:right="1440" w:bottom="1440" w:left="1440" w:header="708" w:footer="708" w:gutter="0"/>
          <w:cols w:space="708"/>
          <w:docGrid w:linePitch="360"/>
        </w:sectPr>
      </w:pPr>
    </w:p>
    <w:p w14:paraId="0313959A"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the lowest volume-weighted average price of the 15 trading days prior to delivery of a conversion notice and b) the nominal value of the shares. Iconic is to pay a commitment fee of £ 150,000 in Notes under the terms of the Financing Facility. On termination of the Financing Facility Iconic has an obligation to pay EHGOSF an administration fee in the total aggregate amount of twenty percent (20%) of the principal amount of all Notes outstanding at the time of the termination.</w:t>
      </w:r>
    </w:p>
    <w:p w14:paraId="215EEF04" w14:textId="77777777" w:rsidR="004D769A" w:rsidRPr="0012333C" w:rsidRDefault="004D769A" w:rsidP="004D769A">
      <w:pPr>
        <w:jc w:val="both"/>
        <w:rPr>
          <w:rFonts w:asciiTheme="minorHAnsi" w:hAnsiTheme="minorHAnsi" w:cstheme="minorHAnsi"/>
          <w:sz w:val="20"/>
          <w:szCs w:val="20"/>
        </w:rPr>
      </w:pPr>
    </w:p>
    <w:p w14:paraId="52043D87"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The Financing Facility is subject to Iconic complying with certain obligations and conditions precedent, including:</w:t>
      </w:r>
    </w:p>
    <w:p w14:paraId="07B9430E" w14:textId="77777777" w:rsidR="004D769A" w:rsidRPr="0012333C" w:rsidRDefault="004D769A" w:rsidP="004D769A">
      <w:pPr>
        <w:jc w:val="both"/>
        <w:rPr>
          <w:rFonts w:asciiTheme="minorHAnsi" w:hAnsiTheme="minorHAnsi" w:cstheme="minorHAnsi"/>
          <w:sz w:val="20"/>
          <w:szCs w:val="20"/>
        </w:rPr>
      </w:pPr>
    </w:p>
    <w:p w14:paraId="694E2FD9" w14:textId="77777777" w:rsidR="004D769A" w:rsidRPr="0012333C" w:rsidRDefault="004D769A" w:rsidP="00B2796D">
      <w:pPr>
        <w:pStyle w:val="ListParagraph"/>
        <w:numPr>
          <w:ilvl w:val="0"/>
          <w:numId w:val="41"/>
        </w:numPr>
        <w:jc w:val="both"/>
        <w:rPr>
          <w:rFonts w:asciiTheme="minorHAnsi" w:hAnsiTheme="minorHAnsi" w:cstheme="minorHAnsi"/>
          <w:sz w:val="20"/>
          <w:szCs w:val="20"/>
        </w:rPr>
      </w:pPr>
      <w:r w:rsidRPr="0012333C">
        <w:rPr>
          <w:rFonts w:asciiTheme="minorHAnsi" w:hAnsiTheme="minorHAnsi" w:cstheme="minorHAnsi"/>
          <w:sz w:val="20"/>
          <w:szCs w:val="20"/>
        </w:rPr>
        <w:t>With respect to the fourth tranche onwards, that the suspension on Iconic’s shares from trading on the London Stock Exchange be lifted with 3 months of the agreement being entered into, and that the shares of Iconic recommence trading on Main Market of the London Stock Exchange (the “</w:t>
      </w:r>
      <w:r w:rsidRPr="0012333C">
        <w:rPr>
          <w:rFonts w:asciiTheme="minorHAnsi" w:hAnsiTheme="minorHAnsi" w:cstheme="minorHAnsi"/>
          <w:b/>
          <w:bCs/>
          <w:i/>
          <w:iCs/>
          <w:sz w:val="20"/>
          <w:szCs w:val="20"/>
        </w:rPr>
        <w:t>Commencement of Trading</w:t>
      </w:r>
      <w:r w:rsidRPr="0012333C">
        <w:rPr>
          <w:rFonts w:asciiTheme="minorHAnsi" w:hAnsiTheme="minorHAnsi" w:cstheme="minorHAnsi"/>
          <w:sz w:val="20"/>
          <w:szCs w:val="20"/>
        </w:rPr>
        <w:t>”);</w:t>
      </w:r>
    </w:p>
    <w:p w14:paraId="778E87C6" w14:textId="77777777" w:rsidR="004D769A" w:rsidRPr="0012333C" w:rsidRDefault="004D769A" w:rsidP="004D769A">
      <w:pPr>
        <w:pStyle w:val="ListParagraph"/>
        <w:jc w:val="both"/>
        <w:rPr>
          <w:rFonts w:asciiTheme="minorHAnsi" w:hAnsiTheme="minorHAnsi" w:cstheme="minorHAnsi"/>
          <w:sz w:val="20"/>
          <w:szCs w:val="20"/>
        </w:rPr>
      </w:pPr>
    </w:p>
    <w:p w14:paraId="31FB9F02" w14:textId="77777777" w:rsidR="004D769A" w:rsidRPr="0012333C" w:rsidRDefault="004D769A" w:rsidP="00B2796D">
      <w:pPr>
        <w:pStyle w:val="ListParagraph"/>
        <w:numPr>
          <w:ilvl w:val="0"/>
          <w:numId w:val="41"/>
        </w:numPr>
        <w:jc w:val="both"/>
        <w:rPr>
          <w:rFonts w:asciiTheme="minorHAnsi" w:hAnsiTheme="minorHAnsi" w:cstheme="minorHAnsi"/>
          <w:sz w:val="20"/>
          <w:szCs w:val="20"/>
        </w:rPr>
      </w:pPr>
      <w:r w:rsidRPr="0012333C">
        <w:rPr>
          <w:rFonts w:asciiTheme="minorHAnsi" w:hAnsiTheme="minorHAnsi" w:cstheme="minorHAnsi"/>
          <w:sz w:val="20"/>
          <w:szCs w:val="20"/>
        </w:rPr>
        <w:t>From the first tranche following the Commencement of Trading onwards:</w:t>
      </w:r>
    </w:p>
    <w:p w14:paraId="1D0FCEBE" w14:textId="77777777" w:rsidR="004D769A" w:rsidRPr="0012333C" w:rsidRDefault="004D769A" w:rsidP="004D769A">
      <w:pPr>
        <w:jc w:val="both"/>
        <w:rPr>
          <w:rFonts w:asciiTheme="minorHAnsi" w:hAnsiTheme="minorHAnsi" w:cstheme="minorHAnsi"/>
          <w:sz w:val="20"/>
          <w:szCs w:val="20"/>
        </w:rPr>
      </w:pPr>
    </w:p>
    <w:p w14:paraId="027B1FA6" w14:textId="77777777" w:rsidR="004D769A" w:rsidRPr="0012333C" w:rsidRDefault="004D769A" w:rsidP="00B2796D">
      <w:pPr>
        <w:pStyle w:val="ListParagraph"/>
        <w:numPr>
          <w:ilvl w:val="1"/>
          <w:numId w:val="41"/>
        </w:numPr>
        <w:jc w:val="both"/>
        <w:rPr>
          <w:rFonts w:asciiTheme="minorHAnsi" w:hAnsiTheme="minorHAnsi" w:cstheme="minorHAnsi"/>
          <w:sz w:val="20"/>
          <w:szCs w:val="20"/>
        </w:rPr>
      </w:pPr>
      <w:r w:rsidRPr="0012333C">
        <w:rPr>
          <w:rFonts w:asciiTheme="minorHAnsi" w:hAnsiTheme="minorHAnsi" w:cstheme="minorHAnsi"/>
          <w:sz w:val="20"/>
          <w:szCs w:val="20"/>
        </w:rPr>
        <w:t>the closing market price of the shares for each of the ten consecutive trading days falling immediately prior to the relevant closing date must be at least higher than 150% of the nominal value of Iconic’s shares; and</w:t>
      </w:r>
    </w:p>
    <w:p w14:paraId="4879E7DD" w14:textId="77777777" w:rsidR="004D769A" w:rsidRPr="0012333C" w:rsidRDefault="004D769A" w:rsidP="00B2796D">
      <w:pPr>
        <w:pStyle w:val="ListParagraph"/>
        <w:numPr>
          <w:ilvl w:val="1"/>
          <w:numId w:val="41"/>
        </w:numPr>
        <w:jc w:val="both"/>
        <w:rPr>
          <w:rFonts w:asciiTheme="minorHAnsi" w:hAnsiTheme="minorHAnsi" w:cstheme="minorHAnsi"/>
          <w:sz w:val="20"/>
          <w:szCs w:val="20"/>
        </w:rPr>
      </w:pPr>
      <w:r w:rsidRPr="0012333C">
        <w:rPr>
          <w:rFonts w:asciiTheme="minorHAnsi" w:hAnsiTheme="minorHAnsi" w:cstheme="minorHAnsi"/>
          <w:sz w:val="20"/>
          <w:szCs w:val="20"/>
        </w:rPr>
        <w:t>the average daily value traded of Iconic’s shares (excluding 5% of the data points from the top and excluding 5% of the data points from the bottom of the data set) for the 20 trading days immediately prior to the applicable closing date must be at least £ 10,000;</w:t>
      </w:r>
    </w:p>
    <w:p w14:paraId="07C0EAD9" w14:textId="77777777" w:rsidR="004D769A" w:rsidRPr="0012333C" w:rsidRDefault="004D769A" w:rsidP="004D769A">
      <w:pPr>
        <w:pStyle w:val="ListParagraph"/>
        <w:ind w:left="1440"/>
        <w:jc w:val="both"/>
        <w:rPr>
          <w:rFonts w:asciiTheme="minorHAnsi" w:hAnsiTheme="minorHAnsi" w:cstheme="minorHAnsi"/>
          <w:sz w:val="20"/>
          <w:szCs w:val="20"/>
        </w:rPr>
      </w:pPr>
    </w:p>
    <w:p w14:paraId="0EFE3DFC" w14:textId="36961001" w:rsidR="004D769A" w:rsidRDefault="004D769A" w:rsidP="00B2796D">
      <w:pPr>
        <w:pStyle w:val="ListParagraph"/>
        <w:numPr>
          <w:ilvl w:val="0"/>
          <w:numId w:val="41"/>
        </w:numPr>
        <w:jc w:val="both"/>
        <w:rPr>
          <w:rFonts w:asciiTheme="minorHAnsi" w:hAnsiTheme="minorHAnsi" w:cstheme="minorHAnsi"/>
          <w:sz w:val="20"/>
          <w:szCs w:val="20"/>
        </w:rPr>
      </w:pPr>
      <w:r w:rsidRPr="0012333C">
        <w:rPr>
          <w:rFonts w:asciiTheme="minorHAnsi" w:hAnsiTheme="minorHAnsi" w:cstheme="minorHAnsi"/>
          <w:sz w:val="20"/>
          <w:szCs w:val="20"/>
        </w:rPr>
        <w:t xml:space="preserve">From the fifth Tranche onwards, Iconic having published a </w:t>
      </w:r>
      <w:r w:rsidR="00C227AF" w:rsidRPr="0012333C">
        <w:rPr>
          <w:rFonts w:asciiTheme="minorHAnsi" w:hAnsiTheme="minorHAnsi" w:cstheme="minorHAnsi"/>
          <w:sz w:val="20"/>
          <w:szCs w:val="20"/>
        </w:rPr>
        <w:t>prospectus;</w:t>
      </w:r>
    </w:p>
    <w:p w14:paraId="45961FEB" w14:textId="77777777" w:rsidR="00C227AF" w:rsidRPr="0012333C" w:rsidRDefault="00C227AF" w:rsidP="00C227AF">
      <w:pPr>
        <w:pStyle w:val="ListParagraph"/>
        <w:jc w:val="both"/>
        <w:rPr>
          <w:rFonts w:asciiTheme="minorHAnsi" w:hAnsiTheme="minorHAnsi" w:cstheme="minorHAnsi"/>
          <w:sz w:val="20"/>
          <w:szCs w:val="20"/>
        </w:rPr>
      </w:pPr>
    </w:p>
    <w:p w14:paraId="4A9C9409" w14:textId="77777777" w:rsidR="004D769A" w:rsidRPr="0012333C" w:rsidRDefault="004D769A" w:rsidP="00B2796D">
      <w:pPr>
        <w:pStyle w:val="ListParagraph"/>
        <w:numPr>
          <w:ilvl w:val="0"/>
          <w:numId w:val="41"/>
        </w:numPr>
        <w:jc w:val="both"/>
        <w:rPr>
          <w:rFonts w:asciiTheme="minorHAnsi" w:hAnsiTheme="minorHAnsi" w:cstheme="minorHAnsi"/>
          <w:sz w:val="20"/>
          <w:szCs w:val="20"/>
        </w:rPr>
      </w:pPr>
      <w:r w:rsidRPr="0012333C">
        <w:rPr>
          <w:rFonts w:asciiTheme="minorHAnsi" w:hAnsiTheme="minorHAnsi" w:cstheme="minorHAnsi"/>
          <w:sz w:val="20"/>
          <w:szCs w:val="20"/>
        </w:rPr>
        <w:t>No binding commitment having been entered into by Iconic pursuant to which a change of control in Iconic would occur; and</w:t>
      </w:r>
    </w:p>
    <w:p w14:paraId="73E7EC8A" w14:textId="77777777" w:rsidR="004D769A" w:rsidRPr="0012333C" w:rsidRDefault="004D769A" w:rsidP="004D769A">
      <w:pPr>
        <w:jc w:val="both"/>
        <w:rPr>
          <w:rFonts w:asciiTheme="minorHAnsi" w:hAnsiTheme="minorHAnsi" w:cstheme="minorHAnsi"/>
          <w:sz w:val="20"/>
          <w:szCs w:val="20"/>
        </w:rPr>
      </w:pPr>
    </w:p>
    <w:p w14:paraId="236A7115" w14:textId="77777777" w:rsidR="004D769A" w:rsidRPr="0012333C" w:rsidRDefault="004D769A" w:rsidP="00B2796D">
      <w:pPr>
        <w:pStyle w:val="ListParagraph"/>
        <w:numPr>
          <w:ilvl w:val="0"/>
          <w:numId w:val="41"/>
        </w:numPr>
        <w:jc w:val="both"/>
        <w:rPr>
          <w:rFonts w:asciiTheme="minorHAnsi" w:hAnsiTheme="minorHAnsi" w:cstheme="minorHAnsi"/>
          <w:sz w:val="20"/>
          <w:szCs w:val="20"/>
        </w:rPr>
      </w:pPr>
      <w:r w:rsidRPr="0012333C">
        <w:rPr>
          <w:rFonts w:asciiTheme="minorHAnsi" w:hAnsiTheme="minorHAnsi" w:cstheme="minorHAnsi"/>
          <w:sz w:val="20"/>
          <w:szCs w:val="20"/>
        </w:rPr>
        <w:t xml:space="preserve">No occurrence that constitutes an event of default having occurred and is continuing. </w:t>
      </w:r>
    </w:p>
    <w:p w14:paraId="4580EB5A" w14:textId="77777777" w:rsidR="004D769A" w:rsidRPr="0012333C" w:rsidRDefault="004D769A" w:rsidP="004D769A">
      <w:pPr>
        <w:jc w:val="both"/>
        <w:rPr>
          <w:rFonts w:asciiTheme="minorHAnsi" w:hAnsiTheme="minorHAnsi" w:cstheme="minorHAnsi"/>
          <w:sz w:val="20"/>
          <w:szCs w:val="20"/>
        </w:rPr>
      </w:pPr>
    </w:p>
    <w:p w14:paraId="7DD1A26D"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The Warrants will amount to 50% of the financing provided by EHGOSF such that the number of Warrants will be equal to 50% of the principal amount of the Notes divided by the warrant exercise price. </w:t>
      </w:r>
    </w:p>
    <w:p w14:paraId="6E511B6B" w14:textId="77777777" w:rsidR="004D769A" w:rsidRPr="0012333C" w:rsidRDefault="004D769A" w:rsidP="004D769A">
      <w:pPr>
        <w:jc w:val="both"/>
        <w:rPr>
          <w:rFonts w:asciiTheme="minorHAnsi" w:hAnsiTheme="minorHAnsi" w:cstheme="minorHAnsi"/>
          <w:sz w:val="20"/>
          <w:szCs w:val="20"/>
        </w:rPr>
      </w:pPr>
    </w:p>
    <w:p w14:paraId="3895C066"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Before the trading suspension on Iconic’s shares is lifted and trading resumes, the warrant exercise price will be equal to the share price immediately prior to suspension, or £0.00016 per share. </w:t>
      </w:r>
    </w:p>
    <w:p w14:paraId="6402CB84" w14:textId="77777777" w:rsidR="004D769A" w:rsidRPr="0012333C" w:rsidRDefault="004D769A" w:rsidP="004D769A">
      <w:pPr>
        <w:jc w:val="both"/>
        <w:rPr>
          <w:rFonts w:asciiTheme="minorHAnsi" w:hAnsiTheme="minorHAnsi" w:cstheme="minorHAnsi"/>
          <w:sz w:val="20"/>
          <w:szCs w:val="20"/>
        </w:rPr>
      </w:pPr>
    </w:p>
    <w:p w14:paraId="59A5B5C9" w14:textId="35F0D992" w:rsidR="004D769A"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If the trading suspension in Iconic’s shares is lifted and trading resumes, the warrant exercise price will be equal to 120% of the share volume weighted average price of the shares over the 15 trading days immediately preceding the relevant subscription or issuance request.  </w:t>
      </w:r>
    </w:p>
    <w:p w14:paraId="36A4AA61" w14:textId="77777777" w:rsidR="00580ED9" w:rsidRPr="0012333C" w:rsidRDefault="00580ED9" w:rsidP="004D769A">
      <w:pPr>
        <w:jc w:val="both"/>
        <w:rPr>
          <w:rFonts w:asciiTheme="minorHAnsi" w:hAnsiTheme="minorHAnsi" w:cstheme="minorHAnsi"/>
          <w:sz w:val="20"/>
          <w:szCs w:val="20"/>
        </w:rPr>
      </w:pPr>
    </w:p>
    <w:p w14:paraId="453BD2CF"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Iconic will only be able to draw down on the first three tranches, for a total of £550,000, prior to the trading suspension in Iconic’s shares being lifted by the Financial Conduct Authority and Iconic is once again trading on the Main Market of the London Stock Exchange. The Iconic executive team, advisors and auditors are diligently working to have the trading suspension lifted as soon as possible. Iconic will provide updates on its progress in due course.   </w:t>
      </w:r>
    </w:p>
    <w:p w14:paraId="23133388" w14:textId="77777777" w:rsidR="004D769A" w:rsidRPr="0012333C" w:rsidRDefault="004D769A" w:rsidP="004D769A">
      <w:pPr>
        <w:jc w:val="both"/>
        <w:rPr>
          <w:rFonts w:asciiTheme="minorHAnsi" w:hAnsiTheme="minorHAnsi" w:cstheme="minorHAnsi"/>
          <w:sz w:val="20"/>
          <w:szCs w:val="20"/>
        </w:rPr>
      </w:pPr>
    </w:p>
    <w:p w14:paraId="32ACA433"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On 28 October 2022, Iconic received a Subscription Form from EHGOSF for the second tranche of notes amounting to £ 150,000</w:t>
      </w:r>
      <w:r w:rsidRPr="0012333C">
        <w:rPr>
          <w:rFonts w:ascii="Arial" w:hAnsi="Arial" w:cs="Arial"/>
          <w:color w:val="500050"/>
          <w:shd w:val="clear" w:color="auto" w:fill="FFFFFF"/>
        </w:rPr>
        <w:t xml:space="preserve"> </w:t>
      </w:r>
      <w:r w:rsidRPr="0012333C">
        <w:rPr>
          <w:rFonts w:asciiTheme="minorHAnsi" w:hAnsiTheme="minorHAnsi" w:cstheme="minorHAnsi"/>
          <w:sz w:val="20"/>
          <w:szCs w:val="20"/>
          <w:shd w:val="clear" w:color="auto" w:fill="FFFFFF"/>
        </w:rPr>
        <w:t>and 468,750,000 warrants with an exercise price of GBP 0.00016</w:t>
      </w:r>
      <w:r w:rsidRPr="0012333C">
        <w:rPr>
          <w:rFonts w:asciiTheme="minorHAnsi" w:hAnsiTheme="minorHAnsi" w:cstheme="minorHAnsi"/>
          <w:sz w:val="20"/>
          <w:szCs w:val="20"/>
        </w:rPr>
        <w:t xml:space="preserve">. </w:t>
      </w:r>
    </w:p>
    <w:p w14:paraId="2424106C" w14:textId="77777777" w:rsidR="004D769A" w:rsidRPr="0012333C" w:rsidRDefault="004D769A" w:rsidP="004D769A">
      <w:pPr>
        <w:jc w:val="both"/>
        <w:rPr>
          <w:rFonts w:asciiTheme="minorHAnsi" w:hAnsiTheme="minorHAnsi" w:cstheme="minorHAnsi"/>
          <w:sz w:val="20"/>
          <w:szCs w:val="20"/>
        </w:rPr>
      </w:pPr>
    </w:p>
    <w:p w14:paraId="038B3B40" w14:textId="64858CCC" w:rsidR="0012333C"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On 29 November 2022, Iconic received a Subscription Form from EHGOSF for the third tranche of notes amounting to £ 150,000 </w:t>
      </w:r>
      <w:r w:rsidRPr="0012333C">
        <w:rPr>
          <w:rFonts w:asciiTheme="minorHAnsi" w:hAnsiTheme="minorHAnsi" w:cstheme="minorHAnsi"/>
          <w:sz w:val="20"/>
          <w:szCs w:val="20"/>
          <w:shd w:val="clear" w:color="auto" w:fill="FFFFFF"/>
        </w:rPr>
        <w:t>and 468,750,000 warrants with an exercise price of GBP 0.00016</w:t>
      </w:r>
      <w:r w:rsidRPr="0012333C">
        <w:rPr>
          <w:rFonts w:asciiTheme="minorHAnsi" w:hAnsiTheme="minorHAnsi" w:cstheme="minorHAnsi"/>
          <w:sz w:val="20"/>
          <w:szCs w:val="20"/>
        </w:rPr>
        <w:t>.</w:t>
      </w:r>
    </w:p>
    <w:p w14:paraId="36E5B504" w14:textId="77777777" w:rsidR="004D769A" w:rsidRPr="0012333C" w:rsidRDefault="004D769A" w:rsidP="0012333C">
      <w:pPr>
        <w:jc w:val="both"/>
        <w:rPr>
          <w:rFonts w:ascii="Calibri" w:eastAsia="Calibri" w:hAnsi="Calibri" w:cs="Calibri"/>
          <w:sz w:val="20"/>
          <w:szCs w:val="20"/>
        </w:rPr>
      </w:pPr>
    </w:p>
    <w:p w14:paraId="1A759CF0" w14:textId="77777777" w:rsidR="004D769A" w:rsidRPr="0012333C" w:rsidRDefault="004D769A" w:rsidP="004D769A">
      <w:pPr>
        <w:jc w:val="both"/>
        <w:rPr>
          <w:rFonts w:asciiTheme="minorHAnsi" w:hAnsiTheme="minorHAnsi" w:cstheme="minorHAnsi"/>
          <w:b/>
          <w:bCs/>
          <w:smallCaps/>
          <w:sz w:val="20"/>
          <w:szCs w:val="20"/>
          <w:u w:val="single"/>
        </w:rPr>
      </w:pPr>
      <w:r w:rsidRPr="0012333C">
        <w:rPr>
          <w:rFonts w:asciiTheme="minorHAnsi" w:hAnsiTheme="minorHAnsi" w:cstheme="minorHAnsi"/>
          <w:b/>
          <w:bCs/>
          <w:smallCaps/>
          <w:sz w:val="20"/>
          <w:szCs w:val="20"/>
          <w:u w:val="single"/>
        </w:rPr>
        <w:t>CVA Payments</w:t>
      </w:r>
    </w:p>
    <w:p w14:paraId="2D125491" w14:textId="77777777" w:rsidR="004D769A" w:rsidRPr="0012333C" w:rsidRDefault="004D769A" w:rsidP="004D769A">
      <w:pPr>
        <w:jc w:val="both"/>
        <w:rPr>
          <w:rFonts w:asciiTheme="minorHAnsi" w:hAnsiTheme="minorHAnsi" w:cstheme="minorHAnsi"/>
          <w:sz w:val="20"/>
          <w:szCs w:val="20"/>
        </w:rPr>
      </w:pPr>
    </w:p>
    <w:p w14:paraId="33430D0D"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On 21 October 2022, the first payments due to critical and preferential creditors under the CVA were timely paid. In addition, on the same day, the challenge period to the CVA expired without any challenges having been made. As such, the CVA was final, and the Joint Administrators submitted the requisite filings with Companies House to this effect. </w:t>
      </w:r>
    </w:p>
    <w:p w14:paraId="2E58856A" w14:textId="77777777" w:rsidR="004D769A" w:rsidRPr="0012333C" w:rsidRDefault="004D769A" w:rsidP="004D769A">
      <w:pPr>
        <w:jc w:val="both"/>
        <w:rPr>
          <w:rFonts w:asciiTheme="minorHAnsi" w:hAnsiTheme="minorHAnsi" w:cstheme="minorHAnsi"/>
          <w:sz w:val="20"/>
          <w:szCs w:val="20"/>
        </w:rPr>
      </w:pPr>
    </w:p>
    <w:p w14:paraId="1502F73F"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On 29 October 2022, the second payments due to critical and preferential creditors under the CVA were timely made. </w:t>
      </w:r>
    </w:p>
    <w:p w14:paraId="2DD3E728" w14:textId="77777777" w:rsidR="004D769A" w:rsidRPr="0012333C" w:rsidRDefault="004D769A" w:rsidP="004D769A">
      <w:pPr>
        <w:jc w:val="both"/>
        <w:rPr>
          <w:rFonts w:asciiTheme="minorHAnsi" w:hAnsiTheme="minorHAnsi" w:cstheme="minorHAnsi"/>
          <w:sz w:val="20"/>
          <w:szCs w:val="20"/>
        </w:rPr>
      </w:pPr>
    </w:p>
    <w:p w14:paraId="3557B702"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On 8 November 2022, the Joint Administrators submitted their Final Report to Companies House and the High Court of Justice, Business &amp; Property Courts seeking to exit the administration and return control of the Company to the Directors. </w:t>
      </w:r>
    </w:p>
    <w:p w14:paraId="01149A87" w14:textId="77777777" w:rsidR="004D769A" w:rsidRPr="0012333C" w:rsidRDefault="004D769A" w:rsidP="004D769A">
      <w:pPr>
        <w:jc w:val="both"/>
        <w:rPr>
          <w:rFonts w:asciiTheme="minorHAnsi" w:hAnsiTheme="minorHAnsi" w:cstheme="minorHAnsi"/>
          <w:sz w:val="20"/>
          <w:szCs w:val="20"/>
        </w:rPr>
      </w:pPr>
    </w:p>
    <w:p w14:paraId="0E78D582"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On 28 November, the third payments due to critical and preferential creditors under the CVA were timely made.</w:t>
      </w:r>
    </w:p>
    <w:p w14:paraId="4CA39300" w14:textId="77777777" w:rsidR="004D769A" w:rsidRPr="0012333C" w:rsidRDefault="004D769A" w:rsidP="004D769A">
      <w:pPr>
        <w:jc w:val="both"/>
        <w:rPr>
          <w:rFonts w:asciiTheme="minorHAnsi" w:hAnsiTheme="minorHAnsi" w:cstheme="minorHAnsi"/>
          <w:sz w:val="20"/>
          <w:szCs w:val="20"/>
        </w:rPr>
      </w:pPr>
    </w:p>
    <w:p w14:paraId="3A4B43E0"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On 29 November, Companies House and the High Court of Justice, Business &amp; Property Courts confirmed and acknowledged the Joint Administrators’ Final Report such that the administration ended, and control of the Company was returned to the Directors.      </w:t>
      </w:r>
    </w:p>
    <w:p w14:paraId="7477B480" w14:textId="77777777" w:rsidR="004D769A" w:rsidRPr="0012333C" w:rsidRDefault="004D769A" w:rsidP="004D769A">
      <w:pPr>
        <w:jc w:val="both"/>
        <w:rPr>
          <w:rFonts w:asciiTheme="minorHAnsi" w:hAnsiTheme="minorHAnsi" w:cstheme="minorHAnsi"/>
          <w:sz w:val="20"/>
          <w:szCs w:val="20"/>
        </w:rPr>
      </w:pPr>
    </w:p>
    <w:p w14:paraId="2F548152"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On 28 December 2022, the fourth payments due to critical and preferential creditors under the CVA shall be timely made. </w:t>
      </w:r>
    </w:p>
    <w:p w14:paraId="57F1F324" w14:textId="77777777" w:rsidR="004D769A" w:rsidRPr="0012333C" w:rsidRDefault="004D769A" w:rsidP="004D769A">
      <w:pPr>
        <w:jc w:val="both"/>
        <w:rPr>
          <w:rFonts w:asciiTheme="minorHAnsi" w:hAnsiTheme="minorHAnsi" w:cstheme="minorHAnsi"/>
          <w:sz w:val="20"/>
          <w:szCs w:val="20"/>
        </w:rPr>
      </w:pPr>
    </w:p>
    <w:p w14:paraId="78098970"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The Company and its advisors are currently in discussions with the FCA to lift the trading suspension on the Company’s shares as soon as possible.  </w:t>
      </w:r>
    </w:p>
    <w:p w14:paraId="20EA73F8" w14:textId="77777777" w:rsidR="004D769A" w:rsidRPr="0012333C" w:rsidRDefault="004D769A" w:rsidP="004D769A">
      <w:pPr>
        <w:jc w:val="both"/>
        <w:rPr>
          <w:rFonts w:asciiTheme="minorHAnsi" w:hAnsiTheme="minorHAnsi" w:cstheme="minorHAnsi"/>
          <w:sz w:val="20"/>
          <w:szCs w:val="20"/>
        </w:rPr>
      </w:pPr>
    </w:p>
    <w:p w14:paraId="55AA24C9" w14:textId="77777777" w:rsidR="004D769A" w:rsidRPr="0012333C" w:rsidRDefault="004D769A" w:rsidP="004D769A">
      <w:pPr>
        <w:jc w:val="both"/>
        <w:rPr>
          <w:rFonts w:asciiTheme="minorHAnsi" w:hAnsiTheme="minorHAnsi" w:cstheme="minorHAnsi"/>
          <w:b/>
          <w:bCs/>
          <w:i/>
          <w:iCs/>
          <w:sz w:val="20"/>
          <w:szCs w:val="20"/>
          <w:lang w:val="en-US"/>
        </w:rPr>
      </w:pPr>
      <w:r w:rsidRPr="0012333C">
        <w:rPr>
          <w:rFonts w:asciiTheme="minorHAnsi" w:hAnsiTheme="minorHAnsi" w:cstheme="minorHAnsi"/>
          <w:b/>
          <w:bCs/>
          <w:smallCaps/>
          <w:sz w:val="20"/>
          <w:szCs w:val="20"/>
          <w:u w:val="single"/>
        </w:rPr>
        <w:t>Financial Summary</w:t>
      </w:r>
    </w:p>
    <w:p w14:paraId="7B521C5E" w14:textId="77777777" w:rsidR="004D769A" w:rsidRPr="0012333C" w:rsidRDefault="004D769A" w:rsidP="004D769A">
      <w:pPr>
        <w:jc w:val="both"/>
        <w:rPr>
          <w:rFonts w:asciiTheme="minorHAnsi" w:hAnsiTheme="minorHAnsi" w:cstheme="minorHAnsi"/>
          <w:sz w:val="20"/>
          <w:szCs w:val="20"/>
          <w:lang w:val="en-US"/>
        </w:rPr>
      </w:pPr>
    </w:p>
    <w:p w14:paraId="18172AD3" w14:textId="68EE2778" w:rsidR="004D769A" w:rsidRPr="0012333C" w:rsidRDefault="004D769A" w:rsidP="004D769A">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t>Iconic incurred a loss for the 202</w:t>
      </w:r>
      <w:r w:rsidR="00E11C5A" w:rsidRPr="0012333C">
        <w:rPr>
          <w:rFonts w:asciiTheme="minorHAnsi" w:hAnsiTheme="minorHAnsi" w:cstheme="minorHAnsi"/>
          <w:sz w:val="20"/>
          <w:szCs w:val="20"/>
          <w:lang w:val="en-US"/>
        </w:rPr>
        <w:t>2</w:t>
      </w:r>
      <w:r w:rsidRPr="0012333C">
        <w:rPr>
          <w:rFonts w:asciiTheme="minorHAnsi" w:hAnsiTheme="minorHAnsi" w:cstheme="minorHAnsi"/>
          <w:sz w:val="20"/>
          <w:szCs w:val="20"/>
          <w:lang w:val="en-US"/>
        </w:rPr>
        <w:t xml:space="preserve"> financial year of </w:t>
      </w:r>
      <w:r w:rsidR="00E11C5A" w:rsidRPr="0012333C">
        <w:rPr>
          <w:rFonts w:asciiTheme="minorHAnsi" w:hAnsiTheme="minorHAnsi" w:cstheme="minorHAnsi"/>
          <w:sz w:val="20"/>
          <w:szCs w:val="20"/>
          <w:lang w:val="en-US"/>
        </w:rPr>
        <w:t xml:space="preserve">£762,107 (2021 - </w:t>
      </w:r>
      <w:r w:rsidRPr="0012333C">
        <w:rPr>
          <w:rFonts w:asciiTheme="minorHAnsi" w:hAnsiTheme="minorHAnsi" w:cstheme="minorHAnsi"/>
          <w:sz w:val="20"/>
          <w:szCs w:val="20"/>
          <w:lang w:val="en-US"/>
        </w:rPr>
        <w:t>£7,697,306</w:t>
      </w:r>
      <w:r w:rsidR="00E11C5A" w:rsidRPr="0012333C">
        <w:rPr>
          <w:rFonts w:asciiTheme="minorHAnsi" w:hAnsiTheme="minorHAnsi" w:cstheme="minorHAnsi"/>
          <w:sz w:val="20"/>
          <w:szCs w:val="20"/>
          <w:lang w:val="en-US"/>
        </w:rPr>
        <w:t>)</w:t>
      </w:r>
      <w:r w:rsidRPr="0012333C">
        <w:rPr>
          <w:rFonts w:asciiTheme="minorHAnsi" w:hAnsiTheme="minorHAnsi" w:cstheme="minorHAnsi"/>
          <w:sz w:val="20"/>
          <w:szCs w:val="20"/>
          <w:lang w:val="en-US"/>
        </w:rPr>
        <w:t xml:space="preserve">. </w:t>
      </w:r>
      <w:r w:rsidR="00E11C5A" w:rsidRPr="0012333C">
        <w:rPr>
          <w:rFonts w:asciiTheme="minorHAnsi" w:hAnsiTheme="minorHAnsi" w:cstheme="minorHAnsi"/>
          <w:sz w:val="20"/>
          <w:szCs w:val="20"/>
          <w:lang w:val="en-US"/>
        </w:rPr>
        <w:t>During the 2022 financial year, Iconic Labs UK Limited and Wideacademy Limited were dissolved and all assets and liabilities in those subsidiaries were written down to nil value in the consolidated financial statements.</w:t>
      </w:r>
    </w:p>
    <w:p w14:paraId="4BD2B10D" w14:textId="77777777" w:rsidR="004D769A" w:rsidRPr="0012333C" w:rsidRDefault="004D769A" w:rsidP="004D769A">
      <w:pPr>
        <w:jc w:val="both"/>
        <w:rPr>
          <w:rFonts w:asciiTheme="minorHAnsi" w:hAnsiTheme="minorHAnsi" w:cstheme="minorHAnsi"/>
          <w:sz w:val="20"/>
          <w:szCs w:val="20"/>
          <w:lang w:val="en-US"/>
        </w:rPr>
      </w:pPr>
    </w:p>
    <w:p w14:paraId="6CDF15BD" w14:textId="77777777" w:rsidR="004D769A" w:rsidRPr="0012333C" w:rsidRDefault="004D769A" w:rsidP="004D769A">
      <w:pPr>
        <w:jc w:val="both"/>
        <w:rPr>
          <w:rFonts w:asciiTheme="minorHAnsi" w:hAnsiTheme="minorHAnsi" w:cstheme="minorHAnsi"/>
          <w:sz w:val="20"/>
          <w:szCs w:val="20"/>
        </w:rPr>
      </w:pPr>
      <w:r w:rsidRPr="0012333C">
        <w:rPr>
          <w:rFonts w:asciiTheme="minorHAnsi" w:hAnsiTheme="minorHAnsi" w:cstheme="minorHAnsi"/>
          <w:sz w:val="20"/>
          <w:szCs w:val="20"/>
        </w:rPr>
        <w:t xml:space="preserve">Currently, Iconic is at an early stage of development its future strategy and is not currently profitable. Future revenues and profitability are dependent on the trading suspension being lifted.   </w:t>
      </w:r>
    </w:p>
    <w:p w14:paraId="4551E194" w14:textId="77777777" w:rsidR="004D769A" w:rsidRPr="0012333C" w:rsidRDefault="004D769A" w:rsidP="004D769A">
      <w:pPr>
        <w:jc w:val="both"/>
        <w:rPr>
          <w:rFonts w:asciiTheme="minorHAnsi" w:hAnsiTheme="minorHAnsi" w:cstheme="minorHAnsi"/>
          <w:sz w:val="20"/>
          <w:szCs w:val="20"/>
        </w:rPr>
      </w:pPr>
    </w:p>
    <w:p w14:paraId="7147D696" w14:textId="2DA9161D" w:rsidR="004D769A" w:rsidRDefault="004D769A" w:rsidP="004D769A">
      <w:pPr>
        <w:jc w:val="both"/>
        <w:rPr>
          <w:rFonts w:asciiTheme="minorHAnsi" w:hAnsiTheme="minorHAnsi" w:cstheme="minorHAnsi"/>
          <w:sz w:val="20"/>
          <w:szCs w:val="20"/>
          <w:lang w:val="en-US"/>
        </w:rPr>
      </w:pPr>
      <w:r w:rsidRPr="0012333C">
        <w:rPr>
          <w:rFonts w:asciiTheme="minorHAnsi" w:hAnsiTheme="minorHAnsi" w:cstheme="minorHAnsi"/>
          <w:sz w:val="20"/>
          <w:szCs w:val="20"/>
          <w:lang w:val="en-US"/>
        </w:rPr>
        <w:t>Further details regarding the financial performance of Iconic can be found in the Strategic Report on the following pages.</w:t>
      </w:r>
    </w:p>
    <w:p w14:paraId="4AC21E04" w14:textId="1406643C" w:rsidR="00C227AF" w:rsidRDefault="00C227AF" w:rsidP="004D769A">
      <w:pPr>
        <w:jc w:val="both"/>
        <w:rPr>
          <w:rFonts w:asciiTheme="minorHAnsi" w:hAnsiTheme="minorHAnsi" w:cstheme="minorHAnsi"/>
          <w:sz w:val="20"/>
          <w:szCs w:val="20"/>
          <w:lang w:val="en-US"/>
        </w:rPr>
      </w:pPr>
    </w:p>
    <w:p w14:paraId="54401109" w14:textId="38DA6BCC" w:rsidR="00C227AF" w:rsidRDefault="00C227AF" w:rsidP="004D769A">
      <w:pPr>
        <w:jc w:val="both"/>
        <w:rPr>
          <w:rFonts w:asciiTheme="minorHAnsi" w:hAnsiTheme="minorHAnsi" w:cstheme="minorHAnsi"/>
          <w:sz w:val="20"/>
          <w:szCs w:val="20"/>
          <w:lang w:val="en-US"/>
        </w:rPr>
      </w:pPr>
    </w:p>
    <w:p w14:paraId="2E664FAC" w14:textId="260B35CE" w:rsidR="00C227AF" w:rsidRDefault="00C227AF" w:rsidP="004D769A">
      <w:pPr>
        <w:jc w:val="both"/>
        <w:rPr>
          <w:rFonts w:asciiTheme="minorHAnsi" w:hAnsiTheme="minorHAnsi" w:cstheme="minorHAnsi"/>
          <w:sz w:val="20"/>
          <w:szCs w:val="20"/>
          <w:lang w:val="en-US"/>
        </w:rPr>
      </w:pPr>
    </w:p>
    <w:p w14:paraId="171BDBC8" w14:textId="20F16B78" w:rsidR="00C227AF" w:rsidRDefault="00C227AF" w:rsidP="004D769A">
      <w:pPr>
        <w:jc w:val="both"/>
        <w:rPr>
          <w:rFonts w:asciiTheme="minorHAnsi" w:hAnsiTheme="minorHAnsi" w:cstheme="minorHAnsi"/>
          <w:sz w:val="20"/>
          <w:szCs w:val="20"/>
          <w:lang w:val="en-US"/>
        </w:rPr>
      </w:pPr>
    </w:p>
    <w:p w14:paraId="6B744454" w14:textId="0053F182" w:rsidR="00C227AF" w:rsidRDefault="00C227AF" w:rsidP="004D769A">
      <w:pPr>
        <w:jc w:val="both"/>
        <w:rPr>
          <w:rFonts w:asciiTheme="minorHAnsi" w:hAnsiTheme="minorHAnsi" w:cstheme="minorHAnsi"/>
          <w:sz w:val="20"/>
          <w:szCs w:val="20"/>
          <w:lang w:val="en-US"/>
        </w:rPr>
      </w:pPr>
    </w:p>
    <w:p w14:paraId="2F1013C8" w14:textId="04DA2E6A" w:rsidR="00C227AF" w:rsidRDefault="00C227AF" w:rsidP="004D769A">
      <w:pPr>
        <w:jc w:val="both"/>
        <w:rPr>
          <w:rFonts w:asciiTheme="minorHAnsi" w:hAnsiTheme="minorHAnsi" w:cstheme="minorHAnsi"/>
          <w:sz w:val="20"/>
          <w:szCs w:val="20"/>
          <w:lang w:val="en-US"/>
        </w:rPr>
      </w:pPr>
    </w:p>
    <w:p w14:paraId="6916CAB1" w14:textId="2F64B423" w:rsidR="00C47A4A" w:rsidRDefault="00C47A4A" w:rsidP="004D769A">
      <w:pPr>
        <w:jc w:val="both"/>
        <w:rPr>
          <w:rFonts w:asciiTheme="minorHAnsi" w:hAnsiTheme="minorHAnsi" w:cstheme="minorHAnsi"/>
          <w:sz w:val="20"/>
          <w:szCs w:val="20"/>
          <w:lang w:val="en-US"/>
        </w:rPr>
      </w:pPr>
    </w:p>
    <w:p w14:paraId="5BFC9F7B" w14:textId="77777777" w:rsidR="004D769A" w:rsidRPr="0012333C" w:rsidRDefault="004D769A" w:rsidP="004D769A">
      <w:pPr>
        <w:jc w:val="both"/>
        <w:rPr>
          <w:rFonts w:asciiTheme="minorHAnsi" w:hAnsiTheme="minorHAnsi" w:cstheme="minorHAnsi"/>
          <w:sz w:val="20"/>
          <w:szCs w:val="20"/>
          <w:lang w:val="en-US"/>
        </w:rPr>
      </w:pPr>
    </w:p>
    <w:p w14:paraId="057F1B1D" w14:textId="72776B9D" w:rsidR="004D769A" w:rsidRPr="0012333C" w:rsidRDefault="004D769A" w:rsidP="004D769A">
      <w:pPr>
        <w:jc w:val="both"/>
        <w:rPr>
          <w:rFonts w:asciiTheme="minorHAnsi" w:hAnsiTheme="minorHAnsi" w:cstheme="minorHAnsi"/>
          <w:b/>
          <w:bCs/>
          <w:sz w:val="20"/>
          <w:szCs w:val="20"/>
          <w:lang w:val="en-US"/>
        </w:rPr>
      </w:pPr>
      <w:r w:rsidRPr="0012333C">
        <w:rPr>
          <w:rFonts w:asciiTheme="minorHAnsi" w:hAnsiTheme="minorHAnsi" w:cstheme="minorHAnsi"/>
          <w:b/>
          <w:bCs/>
          <w:sz w:val="20"/>
          <w:szCs w:val="20"/>
          <w:lang w:val="en-US"/>
        </w:rPr>
        <w:t xml:space="preserve">Brad Taylor </w:t>
      </w:r>
    </w:p>
    <w:p w14:paraId="783FCA73" w14:textId="77777777" w:rsidR="004D769A" w:rsidRPr="0012333C" w:rsidRDefault="004D769A" w:rsidP="004D769A">
      <w:pPr>
        <w:jc w:val="both"/>
        <w:rPr>
          <w:rFonts w:asciiTheme="minorHAnsi" w:hAnsiTheme="minorHAnsi" w:cstheme="minorHAnsi"/>
          <w:b/>
          <w:bCs/>
          <w:sz w:val="20"/>
          <w:szCs w:val="20"/>
          <w:lang w:val="en-US"/>
        </w:rPr>
      </w:pPr>
      <w:r w:rsidRPr="0012333C">
        <w:rPr>
          <w:rFonts w:asciiTheme="minorHAnsi" w:hAnsiTheme="minorHAnsi" w:cstheme="minorHAnsi"/>
          <w:b/>
          <w:bCs/>
          <w:sz w:val="20"/>
          <w:szCs w:val="20"/>
          <w:lang w:val="en-US"/>
        </w:rPr>
        <w:t>Director</w:t>
      </w:r>
    </w:p>
    <w:p w14:paraId="281C4F78" w14:textId="72A5D77B" w:rsidR="004D769A" w:rsidRPr="0012333C" w:rsidRDefault="004D769A" w:rsidP="00C47A4A">
      <w:pPr>
        <w:jc w:val="both"/>
        <w:rPr>
          <w:rFonts w:asciiTheme="minorHAnsi" w:hAnsiTheme="minorHAnsi" w:cstheme="minorHAnsi"/>
          <w:sz w:val="20"/>
          <w:szCs w:val="20"/>
        </w:rPr>
        <w:sectPr w:rsidR="004D769A" w:rsidRPr="0012333C" w:rsidSect="00BA5AA6">
          <w:headerReference w:type="even" r:id="rId21"/>
          <w:headerReference w:type="default" r:id="rId22"/>
          <w:headerReference w:type="first" r:id="rId23"/>
          <w:type w:val="continuous"/>
          <w:pgSz w:w="11906" w:h="16838"/>
          <w:pgMar w:top="1440" w:right="1440" w:bottom="1440" w:left="1440" w:header="708" w:footer="708" w:gutter="0"/>
          <w:cols w:space="708"/>
          <w:docGrid w:linePitch="360"/>
        </w:sectPr>
      </w:pPr>
      <w:r w:rsidRPr="0012333C">
        <w:rPr>
          <w:rFonts w:asciiTheme="minorHAnsi" w:hAnsiTheme="minorHAnsi" w:cstheme="minorHAnsi"/>
          <w:b/>
          <w:bCs/>
          <w:sz w:val="20"/>
          <w:szCs w:val="20"/>
          <w:lang w:val="en-US"/>
        </w:rPr>
        <w:t xml:space="preserve">Date: </w:t>
      </w:r>
      <w:r w:rsidR="00C47A4A">
        <w:rPr>
          <w:rFonts w:asciiTheme="minorHAnsi" w:hAnsiTheme="minorHAnsi" w:cstheme="minorHAnsi"/>
          <w:sz w:val="20"/>
          <w:szCs w:val="20"/>
        </w:rPr>
        <w:t xml:space="preserve">    </w:t>
      </w:r>
      <w:r w:rsidR="00C227AF">
        <w:rPr>
          <w:rFonts w:asciiTheme="minorHAnsi" w:hAnsiTheme="minorHAnsi" w:cstheme="minorHAnsi"/>
          <w:sz w:val="20"/>
          <w:szCs w:val="20"/>
        </w:rPr>
        <w:t xml:space="preserve">27 </w:t>
      </w:r>
      <w:r w:rsidR="00C47A4A">
        <w:rPr>
          <w:rFonts w:asciiTheme="minorHAnsi" w:hAnsiTheme="minorHAnsi" w:cstheme="minorHAnsi"/>
          <w:sz w:val="20"/>
          <w:szCs w:val="20"/>
        </w:rPr>
        <w:t>December 2022</w:t>
      </w:r>
    </w:p>
    <w:p w14:paraId="61217DB7" w14:textId="77777777" w:rsidR="004D769A" w:rsidRPr="0012333C" w:rsidRDefault="004D769A" w:rsidP="004D769A">
      <w:pPr>
        <w:spacing w:before="120" w:after="120" w:line="276" w:lineRule="auto"/>
        <w:jc w:val="both"/>
        <w:rPr>
          <w:rFonts w:asciiTheme="minorHAnsi" w:hAnsiTheme="minorHAnsi" w:cstheme="minorHAnsi"/>
          <w:sz w:val="20"/>
          <w:szCs w:val="20"/>
        </w:rPr>
        <w:sectPr w:rsidR="004D769A" w:rsidRPr="0012333C" w:rsidSect="002A579F">
          <w:type w:val="continuous"/>
          <w:pgSz w:w="11906" w:h="16838"/>
          <w:pgMar w:top="1440" w:right="1440" w:bottom="1440" w:left="1440" w:header="708" w:footer="708" w:gutter="0"/>
          <w:cols w:space="720"/>
        </w:sectPr>
      </w:pPr>
    </w:p>
    <w:p w14:paraId="2CCC1E09" w14:textId="77777777" w:rsidR="00C227AF" w:rsidRDefault="00C227AF">
      <w:pPr>
        <w:rPr>
          <w:rFonts w:ascii="Calibri" w:eastAsia="Calibri" w:hAnsi="Calibri" w:cs="Calibri"/>
          <w:b/>
          <w:smallCaps/>
          <w:sz w:val="20"/>
          <w:szCs w:val="20"/>
          <w:u w:val="single"/>
        </w:rPr>
      </w:pPr>
      <w:r>
        <w:rPr>
          <w:rFonts w:ascii="Calibri" w:eastAsia="Calibri" w:hAnsi="Calibri" w:cs="Calibri"/>
          <w:b/>
          <w:smallCaps/>
          <w:sz w:val="20"/>
          <w:szCs w:val="20"/>
          <w:u w:val="single"/>
        </w:rPr>
        <w:br w:type="page"/>
      </w:r>
    </w:p>
    <w:p w14:paraId="775A3E59" w14:textId="73D77C65" w:rsidR="00BB7B7E" w:rsidRPr="00C47A4A" w:rsidRDefault="00BB7B7E" w:rsidP="00BB7B7E">
      <w:pPr>
        <w:rPr>
          <w:rFonts w:ascii="Calibri" w:eastAsia="Calibri" w:hAnsi="Calibri" w:cs="Calibri"/>
          <w:b/>
          <w:sz w:val="20"/>
          <w:szCs w:val="20"/>
        </w:rPr>
      </w:pPr>
      <w:r w:rsidRPr="00C47A4A">
        <w:rPr>
          <w:rFonts w:ascii="Calibri" w:eastAsia="Calibri" w:hAnsi="Calibri" w:cs="Calibri"/>
          <w:b/>
          <w:smallCaps/>
          <w:sz w:val="20"/>
          <w:szCs w:val="20"/>
          <w:u w:val="single"/>
        </w:rPr>
        <w:lastRenderedPageBreak/>
        <w:t>Introduction</w:t>
      </w:r>
    </w:p>
    <w:p w14:paraId="5C16C647" w14:textId="77777777" w:rsidR="00BB7B7E" w:rsidRPr="00C47A4A" w:rsidRDefault="00BB7B7E" w:rsidP="00BB7B7E">
      <w:pPr>
        <w:jc w:val="both"/>
        <w:rPr>
          <w:rFonts w:ascii="Calibri" w:eastAsia="Calibri" w:hAnsi="Calibri" w:cs="Calibri"/>
          <w:b/>
          <w:sz w:val="20"/>
          <w:szCs w:val="20"/>
        </w:rPr>
      </w:pPr>
    </w:p>
    <w:p w14:paraId="70C18C00" w14:textId="01261883" w:rsidR="00BB7B7E" w:rsidRPr="00C47A4A" w:rsidRDefault="00BB7B7E" w:rsidP="00BB7B7E">
      <w:pPr>
        <w:jc w:val="both"/>
        <w:rPr>
          <w:rFonts w:ascii="Calibri" w:eastAsia="Calibri" w:hAnsi="Calibri" w:cs="Calibri"/>
          <w:sz w:val="20"/>
          <w:szCs w:val="20"/>
        </w:rPr>
      </w:pPr>
      <w:r w:rsidRPr="00C47A4A">
        <w:rPr>
          <w:rFonts w:ascii="Calibri" w:eastAsia="Calibri" w:hAnsi="Calibri" w:cs="Calibri"/>
          <w:sz w:val="20"/>
          <w:szCs w:val="20"/>
        </w:rPr>
        <w:t xml:space="preserve">This is the </w:t>
      </w:r>
      <w:r w:rsidR="00C47A4A">
        <w:rPr>
          <w:rFonts w:ascii="Calibri" w:eastAsia="Calibri" w:hAnsi="Calibri" w:cs="Calibri"/>
          <w:sz w:val="20"/>
          <w:szCs w:val="20"/>
        </w:rPr>
        <w:t>sixth</w:t>
      </w:r>
      <w:r w:rsidRPr="00C47A4A">
        <w:rPr>
          <w:rFonts w:ascii="Calibri" w:eastAsia="Calibri" w:hAnsi="Calibri" w:cs="Calibri"/>
          <w:sz w:val="20"/>
          <w:szCs w:val="20"/>
        </w:rPr>
        <w:t xml:space="preserve"> set of financial statements prepared by Iconic. For the reasons set forth in the Chief Executive and Chairman’s Report above, this Strategic Report has been prepared in the fourth quarter of 2022 and as such, details the strategy and risks of the Company from that time. This Strategic Report should also be read in conjunction with the Chief Executive and Chairman’s statement which is included within the 202</w:t>
      </w:r>
      <w:r w:rsidR="00C47A4A">
        <w:rPr>
          <w:rFonts w:ascii="Calibri" w:eastAsia="Calibri" w:hAnsi="Calibri" w:cs="Calibri"/>
          <w:sz w:val="20"/>
          <w:szCs w:val="20"/>
        </w:rPr>
        <w:t>2</w:t>
      </w:r>
      <w:r w:rsidRPr="00C47A4A">
        <w:rPr>
          <w:rFonts w:ascii="Calibri" w:eastAsia="Calibri" w:hAnsi="Calibri" w:cs="Calibri"/>
          <w:sz w:val="20"/>
          <w:szCs w:val="20"/>
        </w:rPr>
        <w:t xml:space="preserve"> Annual Report.</w:t>
      </w:r>
    </w:p>
    <w:p w14:paraId="4C24BFA7" w14:textId="77777777" w:rsidR="00BB7B7E" w:rsidRPr="00C47A4A" w:rsidRDefault="00BB7B7E" w:rsidP="00BB7B7E">
      <w:pPr>
        <w:jc w:val="both"/>
        <w:rPr>
          <w:rFonts w:ascii="Calibri" w:eastAsia="Calibri" w:hAnsi="Calibri" w:cs="Calibri"/>
          <w:sz w:val="20"/>
          <w:szCs w:val="20"/>
        </w:rPr>
      </w:pPr>
    </w:p>
    <w:p w14:paraId="38D959FC" w14:textId="77777777" w:rsidR="00BB7B7E" w:rsidRPr="00C47A4A" w:rsidRDefault="00BB7B7E" w:rsidP="00BB7B7E">
      <w:pPr>
        <w:jc w:val="both"/>
        <w:rPr>
          <w:rFonts w:ascii="Calibri" w:eastAsia="Calibri" w:hAnsi="Calibri" w:cs="Calibri"/>
          <w:b/>
          <w:sz w:val="20"/>
          <w:szCs w:val="20"/>
        </w:rPr>
      </w:pPr>
      <w:r w:rsidRPr="00C47A4A">
        <w:rPr>
          <w:rFonts w:ascii="Calibri" w:eastAsia="Calibri" w:hAnsi="Calibri" w:cs="Calibri"/>
          <w:b/>
          <w:sz w:val="20"/>
          <w:szCs w:val="20"/>
        </w:rPr>
        <w:t>Principal Activities and Business Review</w:t>
      </w:r>
    </w:p>
    <w:p w14:paraId="055DFD1B" w14:textId="77777777" w:rsidR="00BB7B7E" w:rsidRPr="00C47A4A" w:rsidRDefault="00BB7B7E" w:rsidP="00BB7B7E">
      <w:pPr>
        <w:jc w:val="both"/>
        <w:rPr>
          <w:rFonts w:ascii="Calibri" w:eastAsia="Calibri" w:hAnsi="Calibri" w:cs="Calibri"/>
          <w:b/>
          <w:sz w:val="20"/>
          <w:szCs w:val="20"/>
        </w:rPr>
      </w:pPr>
    </w:p>
    <w:p w14:paraId="01C39F26" w14:textId="77777777" w:rsidR="00BB7B7E" w:rsidRPr="00C47A4A" w:rsidRDefault="00BB7B7E" w:rsidP="00BB7B7E">
      <w:pPr>
        <w:jc w:val="both"/>
        <w:rPr>
          <w:rFonts w:ascii="Calibri" w:eastAsia="Calibri" w:hAnsi="Calibri" w:cs="Calibri"/>
          <w:sz w:val="20"/>
          <w:szCs w:val="20"/>
        </w:rPr>
      </w:pPr>
      <w:r w:rsidRPr="00C47A4A">
        <w:rPr>
          <w:rFonts w:ascii="Calibri" w:eastAsia="Calibri" w:hAnsi="Calibri" w:cs="Calibri"/>
          <w:bCs/>
          <w:sz w:val="20"/>
          <w:szCs w:val="20"/>
        </w:rPr>
        <w:t>Iconic</w:t>
      </w:r>
      <w:r w:rsidRPr="00C47A4A">
        <w:rPr>
          <w:rFonts w:ascii="Calibri" w:eastAsia="Calibri" w:hAnsi="Calibri" w:cs="Calibri"/>
          <w:sz w:val="20"/>
          <w:szCs w:val="20"/>
        </w:rPr>
        <w:t xml:space="preserve"> is a media and technology business focused on the identification, acquisition and growth of technology driven companies in the online media, artificial intelligence, and big data gathering, processing and analysis sectors.  </w:t>
      </w:r>
    </w:p>
    <w:p w14:paraId="48BD19F8" w14:textId="77777777" w:rsidR="00BB7B7E" w:rsidRPr="00C47A4A" w:rsidRDefault="00BB7B7E" w:rsidP="00BB7B7E">
      <w:pPr>
        <w:spacing w:before="120" w:after="240"/>
        <w:jc w:val="both"/>
        <w:rPr>
          <w:rFonts w:ascii="Calibri" w:eastAsia="Calibri" w:hAnsi="Calibri" w:cs="Calibri"/>
          <w:sz w:val="20"/>
          <w:szCs w:val="20"/>
        </w:rPr>
      </w:pPr>
      <w:r w:rsidRPr="00C47A4A">
        <w:rPr>
          <w:rFonts w:ascii="Calibri" w:eastAsia="Calibri" w:hAnsi="Calibri" w:cs="Calibri"/>
          <w:sz w:val="20"/>
          <w:szCs w:val="20"/>
        </w:rPr>
        <w:t>Iconic’s sole asset is Gay Star News (“</w:t>
      </w:r>
      <w:r w:rsidRPr="00C47A4A">
        <w:rPr>
          <w:rFonts w:ascii="Calibri" w:eastAsia="Calibri" w:hAnsi="Calibri" w:cs="Calibri"/>
          <w:b/>
          <w:bCs/>
          <w:i/>
          <w:iCs/>
          <w:sz w:val="20"/>
          <w:szCs w:val="20"/>
        </w:rPr>
        <w:t>GSN</w:t>
      </w:r>
      <w:r w:rsidRPr="00C47A4A">
        <w:rPr>
          <w:rFonts w:ascii="Calibri" w:eastAsia="Calibri" w:hAnsi="Calibri" w:cs="Calibri"/>
          <w:sz w:val="20"/>
          <w:szCs w:val="20"/>
        </w:rPr>
        <w:t xml:space="preserve">”), an online media platform dedicated to the LGBTQ+ community and that Iconic intends to continue developing with strategic partners.  </w:t>
      </w:r>
    </w:p>
    <w:p w14:paraId="199A1C89" w14:textId="77777777" w:rsidR="00BB7B7E" w:rsidRPr="00C47A4A" w:rsidRDefault="00BB7B7E" w:rsidP="00BB7B7E">
      <w:pPr>
        <w:spacing w:before="120" w:after="240"/>
        <w:jc w:val="both"/>
        <w:rPr>
          <w:rFonts w:ascii="Calibri" w:eastAsia="Calibri" w:hAnsi="Calibri" w:cs="Calibri"/>
          <w:sz w:val="20"/>
          <w:szCs w:val="20"/>
        </w:rPr>
      </w:pPr>
      <w:r w:rsidRPr="00C47A4A">
        <w:rPr>
          <w:rFonts w:ascii="Calibri" w:eastAsia="Calibri" w:hAnsi="Calibri" w:cs="Calibri"/>
          <w:sz w:val="20"/>
          <w:szCs w:val="20"/>
        </w:rPr>
        <w:t xml:space="preserve">Iconic’s principal activities in the short term are ensuring compliance with the terms of the CVA and settlement agreements and working with the FCA to lift the trading suspension on Iconic’s shares as soon as possible so that the Directors can begin working on the operational and strategic objectives for the Company.  </w:t>
      </w:r>
    </w:p>
    <w:p w14:paraId="48456B4B" w14:textId="77777777" w:rsidR="00BB7B7E" w:rsidRPr="00C47A4A" w:rsidRDefault="00BB7B7E" w:rsidP="00BB7B7E">
      <w:pPr>
        <w:jc w:val="both"/>
        <w:rPr>
          <w:rFonts w:ascii="Calibri" w:eastAsia="Calibri" w:hAnsi="Calibri" w:cs="Calibri"/>
          <w:b/>
          <w:smallCaps/>
          <w:sz w:val="20"/>
          <w:szCs w:val="20"/>
          <w:u w:val="single"/>
        </w:rPr>
      </w:pPr>
      <w:r w:rsidRPr="00C47A4A">
        <w:rPr>
          <w:rFonts w:ascii="Calibri" w:eastAsia="Calibri" w:hAnsi="Calibri" w:cs="Calibri"/>
          <w:b/>
          <w:smallCaps/>
          <w:sz w:val="20"/>
          <w:szCs w:val="20"/>
          <w:u w:val="single"/>
        </w:rPr>
        <w:t>Principal Risks and Uncertainties</w:t>
      </w:r>
    </w:p>
    <w:p w14:paraId="2A31E694" w14:textId="77777777" w:rsidR="00BB7B7E" w:rsidRPr="00C47A4A" w:rsidRDefault="00BB7B7E" w:rsidP="00BB7B7E">
      <w:pPr>
        <w:jc w:val="both"/>
        <w:rPr>
          <w:rFonts w:ascii="Calibri" w:eastAsia="Calibri" w:hAnsi="Calibri" w:cs="Calibri"/>
          <w:b/>
          <w:sz w:val="20"/>
          <w:szCs w:val="20"/>
        </w:rPr>
      </w:pPr>
    </w:p>
    <w:p w14:paraId="5767766F" w14:textId="77777777" w:rsidR="00BB7B7E" w:rsidRPr="00C47A4A" w:rsidRDefault="00BB7B7E" w:rsidP="00BB7B7E">
      <w:pPr>
        <w:jc w:val="both"/>
        <w:rPr>
          <w:rFonts w:ascii="Calibri" w:eastAsia="Calibri" w:hAnsi="Calibri" w:cs="Calibri"/>
          <w:sz w:val="20"/>
          <w:szCs w:val="20"/>
        </w:rPr>
      </w:pPr>
      <w:r w:rsidRPr="00C47A4A">
        <w:rPr>
          <w:rFonts w:ascii="Calibri" w:eastAsia="Calibri" w:hAnsi="Calibri" w:cs="Calibri"/>
          <w:bCs/>
          <w:sz w:val="20"/>
          <w:szCs w:val="20"/>
        </w:rPr>
        <w:t>The following</w:t>
      </w:r>
      <w:r w:rsidRPr="00C47A4A">
        <w:rPr>
          <w:rFonts w:ascii="Calibri" w:eastAsia="Calibri" w:hAnsi="Calibri" w:cs="Calibri"/>
          <w:sz w:val="20"/>
          <w:szCs w:val="20"/>
        </w:rPr>
        <w:t xml:space="preserve"> risks are considered by the Board to be the most significant to the business:</w:t>
      </w:r>
    </w:p>
    <w:p w14:paraId="373762C8" w14:textId="77777777" w:rsidR="00BB7B7E" w:rsidRPr="00C47A4A" w:rsidRDefault="00BB7B7E" w:rsidP="00BB7B7E">
      <w:pPr>
        <w:jc w:val="both"/>
        <w:rPr>
          <w:rFonts w:ascii="Calibri" w:eastAsia="Calibri" w:hAnsi="Calibri" w:cs="Calibri"/>
          <w:sz w:val="20"/>
          <w:szCs w:val="20"/>
        </w:rPr>
      </w:pPr>
    </w:p>
    <w:p w14:paraId="62D5600E" w14:textId="317B1C63" w:rsidR="00BB7B7E" w:rsidRDefault="00BB7B7E" w:rsidP="00BB7B7E">
      <w:pPr>
        <w:jc w:val="both"/>
        <w:rPr>
          <w:rFonts w:ascii="Calibri" w:eastAsia="Calibri" w:hAnsi="Calibri" w:cs="Calibri"/>
          <w:b/>
          <w:sz w:val="20"/>
          <w:szCs w:val="20"/>
        </w:rPr>
      </w:pPr>
      <w:r w:rsidRPr="00C47A4A">
        <w:rPr>
          <w:rFonts w:ascii="Calibri" w:eastAsia="Calibri" w:hAnsi="Calibri" w:cs="Calibri"/>
          <w:b/>
          <w:sz w:val="20"/>
          <w:szCs w:val="20"/>
        </w:rPr>
        <w:t xml:space="preserve">Revenue and Profitability Risk </w:t>
      </w:r>
    </w:p>
    <w:p w14:paraId="5AFCCF11" w14:textId="77777777" w:rsidR="00C47A4A" w:rsidRPr="00C47A4A" w:rsidRDefault="00C47A4A" w:rsidP="00BB7B7E">
      <w:pPr>
        <w:jc w:val="both"/>
        <w:rPr>
          <w:rFonts w:ascii="Calibri" w:eastAsia="Calibri" w:hAnsi="Calibri" w:cs="Calibri"/>
          <w:b/>
          <w:sz w:val="20"/>
          <w:szCs w:val="20"/>
        </w:rPr>
      </w:pPr>
    </w:p>
    <w:p w14:paraId="2ED2EB47" w14:textId="77777777" w:rsidR="00BB7B7E" w:rsidRPr="00C47A4A" w:rsidRDefault="00BB7B7E" w:rsidP="00BB7B7E">
      <w:pPr>
        <w:jc w:val="both"/>
        <w:rPr>
          <w:rFonts w:ascii="Calibri" w:eastAsia="Calibri" w:hAnsi="Calibri" w:cs="Calibri"/>
          <w:sz w:val="20"/>
          <w:szCs w:val="20"/>
        </w:rPr>
      </w:pPr>
      <w:r w:rsidRPr="00C47A4A">
        <w:rPr>
          <w:rFonts w:ascii="Calibri" w:eastAsia="Calibri" w:hAnsi="Calibri" w:cs="Calibri"/>
          <w:sz w:val="20"/>
          <w:szCs w:val="20"/>
        </w:rPr>
        <w:t xml:space="preserve">Iconic remains at an early stage of development with only one asset, GSN. Since the balance sheet date, it has had to rebalance all previous activities and is focusing on compliance with the terms of the CVA and settlement agreements and working with the FCA to lift the trading suspension on Iconic’s shares as soon as possible so that the Directors can begin working on the operational and strategic objectives for the Company. </w:t>
      </w:r>
    </w:p>
    <w:p w14:paraId="6C98D5BC" w14:textId="77777777" w:rsidR="00BB7B7E" w:rsidRPr="00C47A4A" w:rsidRDefault="00BB7B7E" w:rsidP="00BB7B7E">
      <w:pPr>
        <w:spacing w:before="120" w:after="240"/>
        <w:jc w:val="both"/>
        <w:rPr>
          <w:rFonts w:ascii="Calibri" w:eastAsia="Calibri" w:hAnsi="Calibri" w:cs="Calibri"/>
          <w:sz w:val="20"/>
          <w:szCs w:val="20"/>
        </w:rPr>
      </w:pPr>
      <w:r w:rsidRPr="00C47A4A">
        <w:rPr>
          <w:rFonts w:ascii="Calibri" w:eastAsia="Calibri" w:hAnsi="Calibri" w:cs="Calibri"/>
          <w:sz w:val="20"/>
          <w:szCs w:val="20"/>
        </w:rPr>
        <w:t xml:space="preserve">Iconic’s Financing Facility with EHGOSF is conditional upon the Company trading again. In the event the Company is not relisted and Iconic cannot obtain financing to acquire companies for its portfolio, there is a risk that Iconic will not generate the revenue and profitability to remain a going concern.   </w:t>
      </w:r>
    </w:p>
    <w:p w14:paraId="3E4C906C" w14:textId="77777777" w:rsidR="00BB7B7E" w:rsidRPr="00C47A4A" w:rsidRDefault="00BB7B7E" w:rsidP="00BB7B7E">
      <w:pPr>
        <w:rPr>
          <w:rFonts w:ascii="Calibri" w:eastAsia="Calibri" w:hAnsi="Calibri" w:cs="Calibri"/>
          <w:sz w:val="20"/>
          <w:szCs w:val="20"/>
        </w:rPr>
        <w:sectPr w:rsidR="00BB7B7E" w:rsidRPr="00C47A4A" w:rsidSect="002A579F">
          <w:headerReference w:type="default" r:id="rId24"/>
          <w:type w:val="continuous"/>
          <w:pgSz w:w="11906" w:h="16838"/>
          <w:pgMar w:top="1440" w:right="1440" w:bottom="1440" w:left="1440" w:header="708" w:footer="708" w:gutter="0"/>
          <w:cols w:space="720"/>
        </w:sectPr>
      </w:pPr>
    </w:p>
    <w:p w14:paraId="1A4D5448" w14:textId="1F5A451B" w:rsidR="00BB7B7E" w:rsidRDefault="00BB7B7E" w:rsidP="00BB7B7E">
      <w:pPr>
        <w:jc w:val="both"/>
        <w:rPr>
          <w:rFonts w:ascii="Calibri" w:eastAsia="Calibri" w:hAnsi="Calibri" w:cs="Calibri"/>
          <w:b/>
          <w:sz w:val="20"/>
          <w:szCs w:val="20"/>
        </w:rPr>
      </w:pPr>
      <w:r w:rsidRPr="00C47A4A">
        <w:rPr>
          <w:rFonts w:ascii="Calibri" w:eastAsia="Calibri" w:hAnsi="Calibri" w:cs="Calibri"/>
          <w:b/>
          <w:sz w:val="20"/>
          <w:szCs w:val="20"/>
        </w:rPr>
        <w:t>Administration Risk</w:t>
      </w:r>
    </w:p>
    <w:p w14:paraId="6519F273" w14:textId="77777777" w:rsidR="00C47A4A" w:rsidRPr="00C47A4A" w:rsidRDefault="00C47A4A" w:rsidP="00BB7B7E">
      <w:pPr>
        <w:jc w:val="both"/>
        <w:rPr>
          <w:rFonts w:ascii="Calibri" w:eastAsia="Calibri" w:hAnsi="Calibri" w:cs="Calibri"/>
          <w:b/>
          <w:sz w:val="20"/>
          <w:szCs w:val="20"/>
        </w:rPr>
      </w:pPr>
    </w:p>
    <w:p w14:paraId="23A707DA" w14:textId="3104773D" w:rsidR="00BB7B7E" w:rsidRPr="00C47A4A" w:rsidRDefault="00BB7B7E" w:rsidP="00BB7B7E">
      <w:pPr>
        <w:jc w:val="both"/>
        <w:rPr>
          <w:rFonts w:ascii="Calibri" w:eastAsia="Calibri" w:hAnsi="Calibri" w:cs="Calibri"/>
          <w:sz w:val="20"/>
          <w:szCs w:val="20"/>
        </w:rPr>
      </w:pPr>
      <w:r w:rsidRPr="00C47A4A">
        <w:rPr>
          <w:rFonts w:ascii="Calibri" w:eastAsia="Calibri" w:hAnsi="Calibri" w:cs="Calibri"/>
          <w:sz w:val="20"/>
          <w:szCs w:val="20"/>
        </w:rPr>
        <w:t>As of the closing of the 202</w:t>
      </w:r>
      <w:r w:rsidR="00C47A4A">
        <w:rPr>
          <w:rFonts w:ascii="Calibri" w:eastAsia="Calibri" w:hAnsi="Calibri" w:cs="Calibri"/>
          <w:sz w:val="20"/>
          <w:szCs w:val="20"/>
        </w:rPr>
        <w:t>2</w:t>
      </w:r>
      <w:r w:rsidRPr="00C47A4A">
        <w:rPr>
          <w:rFonts w:ascii="Calibri" w:eastAsia="Calibri" w:hAnsi="Calibri" w:cs="Calibri"/>
          <w:sz w:val="20"/>
          <w:szCs w:val="20"/>
        </w:rPr>
        <w:t xml:space="preserve"> accounts, the Joint Administrators controlled Iconic, however post-closing of the 202</w:t>
      </w:r>
      <w:r w:rsidR="00C47A4A">
        <w:rPr>
          <w:rFonts w:ascii="Calibri" w:eastAsia="Calibri" w:hAnsi="Calibri" w:cs="Calibri"/>
          <w:sz w:val="20"/>
          <w:szCs w:val="20"/>
        </w:rPr>
        <w:t>2</w:t>
      </w:r>
      <w:r w:rsidRPr="00C47A4A">
        <w:rPr>
          <w:rFonts w:ascii="Calibri" w:eastAsia="Calibri" w:hAnsi="Calibri" w:cs="Calibri"/>
          <w:sz w:val="20"/>
          <w:szCs w:val="20"/>
        </w:rPr>
        <w:t xml:space="preserve"> accounts, Iconic entered into a CVA with all creditors, has exited administration, and is working with the FCA on getting the trading suspension on its shares lifted. There is, however, a risk that Iconic’s trading suspension will not be lifted, in which case the EHGOSF financing will cease, and the Company would have to examine alternative financing strategies or undergo liquidation proceedings should it not be able to comply with its financial obligations under the CVA.</w:t>
      </w:r>
    </w:p>
    <w:p w14:paraId="59E50ACA" w14:textId="77777777" w:rsidR="00BB7B7E" w:rsidRPr="00C47A4A" w:rsidRDefault="00BB7B7E" w:rsidP="00BB7B7E">
      <w:pPr>
        <w:jc w:val="both"/>
        <w:rPr>
          <w:rFonts w:ascii="Calibri" w:eastAsia="Calibri" w:hAnsi="Calibri" w:cs="Calibri"/>
          <w:b/>
          <w:sz w:val="20"/>
          <w:szCs w:val="20"/>
        </w:rPr>
      </w:pPr>
    </w:p>
    <w:p w14:paraId="42DBC3FF" w14:textId="0B716235" w:rsidR="00BB7B7E" w:rsidRDefault="00BB7B7E" w:rsidP="00BB7B7E">
      <w:pPr>
        <w:jc w:val="both"/>
        <w:rPr>
          <w:rFonts w:ascii="Calibri" w:eastAsia="Calibri" w:hAnsi="Calibri" w:cs="Calibri"/>
          <w:b/>
          <w:sz w:val="20"/>
          <w:szCs w:val="20"/>
        </w:rPr>
      </w:pPr>
      <w:r w:rsidRPr="00C47A4A">
        <w:rPr>
          <w:rFonts w:ascii="Calibri" w:eastAsia="Calibri" w:hAnsi="Calibri" w:cs="Calibri"/>
          <w:b/>
          <w:sz w:val="20"/>
          <w:szCs w:val="20"/>
        </w:rPr>
        <w:t>Key Executive Risk</w:t>
      </w:r>
    </w:p>
    <w:p w14:paraId="17D153A3" w14:textId="77777777" w:rsidR="00C47A4A" w:rsidRPr="00C47A4A" w:rsidRDefault="00C47A4A" w:rsidP="00BB7B7E">
      <w:pPr>
        <w:jc w:val="both"/>
        <w:rPr>
          <w:rFonts w:ascii="Calibri" w:eastAsia="Calibri" w:hAnsi="Calibri" w:cs="Calibri"/>
          <w:b/>
          <w:sz w:val="20"/>
          <w:szCs w:val="20"/>
        </w:rPr>
      </w:pPr>
    </w:p>
    <w:p w14:paraId="03FAD499" w14:textId="77777777" w:rsidR="00BB7B7E" w:rsidRPr="00C47A4A" w:rsidRDefault="00BB7B7E" w:rsidP="00BB7B7E">
      <w:pPr>
        <w:jc w:val="both"/>
        <w:rPr>
          <w:rFonts w:ascii="Calibri" w:eastAsia="Calibri" w:hAnsi="Calibri" w:cs="Calibri"/>
          <w:sz w:val="20"/>
          <w:szCs w:val="20"/>
        </w:rPr>
      </w:pPr>
      <w:r w:rsidRPr="00C47A4A">
        <w:rPr>
          <w:rFonts w:ascii="Calibri" w:eastAsia="Calibri" w:hAnsi="Calibri" w:cs="Calibri"/>
          <w:sz w:val="20"/>
          <w:szCs w:val="20"/>
        </w:rPr>
        <w:t>Given the wholesale change in the Board of Directors and executive team in February and March of 2021, coupled with the complexity of the restructuring, administration, CVA, and relisting processes, there is a risk of Iconic not being able to retain key executives, which could adversely affect Iconic’s operating and financial performance.</w:t>
      </w:r>
    </w:p>
    <w:p w14:paraId="48BAA595" w14:textId="77777777" w:rsidR="00BB7B7E" w:rsidRPr="00C47A4A" w:rsidRDefault="00BB7B7E" w:rsidP="00BB7B7E">
      <w:pPr>
        <w:spacing w:before="120" w:after="240"/>
        <w:jc w:val="both"/>
        <w:rPr>
          <w:rFonts w:ascii="Calibri" w:eastAsia="Calibri" w:hAnsi="Calibri" w:cs="Calibri"/>
          <w:sz w:val="20"/>
          <w:szCs w:val="20"/>
        </w:rPr>
      </w:pPr>
      <w:r w:rsidRPr="00C47A4A">
        <w:rPr>
          <w:rFonts w:ascii="Calibri" w:eastAsia="Calibri" w:hAnsi="Calibri" w:cs="Calibri"/>
          <w:sz w:val="20"/>
          <w:szCs w:val="20"/>
        </w:rPr>
        <w:t xml:space="preserve">Retaining and motivating key executives, particularly those who worked diligently with the Joint Administrators, EHGOSF, and the various parties involved in disputes with the Company, to successfully restructure Iconic is a critical component of the future success of the business. Without the participation of these key executives, it is highly unlikely that the execution of the CVA, relisting of the Company, financing with EHGOSF, and implementation of its strategic vision will be implemented. The departure of any of Iconic’s executive officers would have a significant negative impact on its operations and likely result in the liquidation of Iconic. </w:t>
      </w:r>
    </w:p>
    <w:p w14:paraId="67371836" w14:textId="40FE839A" w:rsidR="00A92FFC" w:rsidRDefault="00A92FFC" w:rsidP="00A92FFC">
      <w:pPr>
        <w:jc w:val="both"/>
        <w:rPr>
          <w:rFonts w:ascii="Calibri" w:eastAsia="Calibri" w:hAnsi="Calibri" w:cs="Calibri"/>
          <w:b/>
          <w:sz w:val="20"/>
          <w:szCs w:val="20"/>
        </w:rPr>
      </w:pPr>
      <w:r w:rsidRPr="00C47A4A">
        <w:rPr>
          <w:rFonts w:ascii="Calibri" w:eastAsia="Calibri" w:hAnsi="Calibri" w:cs="Calibri"/>
          <w:b/>
          <w:sz w:val="20"/>
          <w:szCs w:val="20"/>
        </w:rPr>
        <w:lastRenderedPageBreak/>
        <w:t>Funding Risk</w:t>
      </w:r>
    </w:p>
    <w:p w14:paraId="7F0B7D4A" w14:textId="77777777" w:rsidR="00C47A4A" w:rsidRPr="00C47A4A" w:rsidRDefault="00C47A4A" w:rsidP="00A92FFC">
      <w:pPr>
        <w:jc w:val="both"/>
        <w:rPr>
          <w:rFonts w:ascii="Calibri" w:eastAsia="Calibri" w:hAnsi="Calibri" w:cs="Calibri"/>
          <w:b/>
          <w:sz w:val="20"/>
          <w:szCs w:val="20"/>
        </w:rPr>
      </w:pPr>
    </w:p>
    <w:p w14:paraId="47A8BB10" w14:textId="77777777" w:rsidR="00A92FFC" w:rsidRPr="00C47A4A" w:rsidRDefault="00A92FFC" w:rsidP="00A92FFC">
      <w:pPr>
        <w:jc w:val="both"/>
        <w:rPr>
          <w:rFonts w:ascii="Calibri" w:eastAsia="Calibri" w:hAnsi="Calibri" w:cs="Calibri"/>
          <w:sz w:val="20"/>
          <w:szCs w:val="20"/>
        </w:rPr>
      </w:pPr>
      <w:r w:rsidRPr="00C47A4A">
        <w:rPr>
          <w:rFonts w:ascii="Calibri" w:eastAsia="Calibri" w:hAnsi="Calibri" w:cs="Calibri"/>
          <w:sz w:val="20"/>
          <w:szCs w:val="20"/>
        </w:rPr>
        <w:t xml:space="preserve">Iconic is at an early stage of development, with only a single asset, and is not currently profitable. While Iconic has entered into a £3million financing facility with EHGOSF there are numerous conditions to the financing that if not met will result in EHGOSF suspending or terminating its financing of the Company. In the short term, the highest risk affecting this financing from EHGOSF is getting the trading suspension on Iconic’s shares lifted. In the event the trading suspension is not lifted, the likelihood of future financing from EHGSOF or any other financing partner will be difficult if not impossible.  </w:t>
      </w:r>
    </w:p>
    <w:p w14:paraId="2F1D40C9" w14:textId="77777777" w:rsidR="00A92FFC" w:rsidRPr="00C47A4A" w:rsidRDefault="00A92FFC" w:rsidP="00A92FFC">
      <w:pPr>
        <w:jc w:val="both"/>
        <w:rPr>
          <w:rFonts w:ascii="Calibri" w:eastAsia="Calibri" w:hAnsi="Calibri" w:cs="Calibri"/>
          <w:sz w:val="20"/>
          <w:szCs w:val="20"/>
        </w:rPr>
      </w:pPr>
    </w:p>
    <w:p w14:paraId="104B2F0C" w14:textId="1828B7AB" w:rsidR="00A92FFC" w:rsidRDefault="00A92FFC" w:rsidP="00A92FFC">
      <w:pPr>
        <w:jc w:val="both"/>
        <w:rPr>
          <w:rFonts w:ascii="Calibri" w:eastAsia="Calibri" w:hAnsi="Calibri" w:cs="Calibri"/>
          <w:b/>
          <w:sz w:val="20"/>
          <w:szCs w:val="20"/>
        </w:rPr>
      </w:pPr>
      <w:r w:rsidRPr="00C47A4A">
        <w:rPr>
          <w:rFonts w:ascii="Calibri" w:eastAsia="Calibri" w:hAnsi="Calibri" w:cs="Calibri"/>
          <w:b/>
          <w:sz w:val="20"/>
          <w:szCs w:val="20"/>
        </w:rPr>
        <w:t>Market Risk</w:t>
      </w:r>
    </w:p>
    <w:p w14:paraId="6D1AE632" w14:textId="77777777" w:rsidR="00C47A4A" w:rsidRPr="00C47A4A" w:rsidRDefault="00C47A4A" w:rsidP="00A92FFC">
      <w:pPr>
        <w:jc w:val="both"/>
        <w:rPr>
          <w:rFonts w:ascii="Calibri" w:eastAsia="Calibri" w:hAnsi="Calibri" w:cs="Calibri"/>
          <w:b/>
          <w:sz w:val="20"/>
          <w:szCs w:val="20"/>
        </w:rPr>
      </w:pPr>
    </w:p>
    <w:p w14:paraId="2F589289" w14:textId="77777777" w:rsidR="00A92FFC" w:rsidRPr="00C47A4A" w:rsidRDefault="00A92FFC" w:rsidP="00A92FFC">
      <w:pPr>
        <w:jc w:val="both"/>
        <w:rPr>
          <w:rFonts w:ascii="Calibri" w:eastAsia="Calibri" w:hAnsi="Calibri" w:cs="Calibri"/>
          <w:sz w:val="20"/>
          <w:szCs w:val="20"/>
        </w:rPr>
      </w:pPr>
      <w:r w:rsidRPr="00C47A4A">
        <w:rPr>
          <w:rFonts w:ascii="Calibri" w:eastAsia="Calibri" w:hAnsi="Calibri" w:cs="Calibri"/>
          <w:sz w:val="20"/>
          <w:szCs w:val="20"/>
        </w:rPr>
        <w:t>The online media and publishing, technology, artificial intelligence, and data gathering, processing, and analytics sectors are continually changing and have a significant amount of competition. Iconic has identified various acquisition targets, but until such time as the trading suspension is lifted and Iconic’s financing situation can correspondingly be solidified, it is difficult to predict the likelihood of these acquisition targets remaining interested. Until such time, Iconic will also be materially affected by the actions of competitors, partners and suppliers. As a Company at an early stage of development, Iconic’s competitors could offer superior scale and put pressure on prices which could affect Iconic’s revenues and profit margins.</w:t>
      </w:r>
    </w:p>
    <w:p w14:paraId="73FA6DEE" w14:textId="77777777" w:rsidR="00A92FFC" w:rsidRPr="00C47A4A" w:rsidRDefault="00A92FFC" w:rsidP="00A92FFC">
      <w:pPr>
        <w:jc w:val="both"/>
        <w:rPr>
          <w:rFonts w:ascii="Calibri" w:eastAsia="Calibri" w:hAnsi="Calibri" w:cs="Calibri"/>
          <w:sz w:val="20"/>
          <w:szCs w:val="20"/>
        </w:rPr>
      </w:pPr>
    </w:p>
    <w:p w14:paraId="69582D55" w14:textId="55F6AD14" w:rsidR="00A92FFC" w:rsidRDefault="00A92FFC" w:rsidP="00A92FFC">
      <w:pPr>
        <w:jc w:val="both"/>
        <w:rPr>
          <w:rFonts w:ascii="Calibri" w:eastAsia="Calibri" w:hAnsi="Calibri" w:cs="Calibri"/>
          <w:b/>
          <w:sz w:val="20"/>
          <w:szCs w:val="20"/>
        </w:rPr>
      </w:pPr>
      <w:r w:rsidRPr="00C47A4A">
        <w:rPr>
          <w:rFonts w:ascii="Calibri" w:eastAsia="Calibri" w:hAnsi="Calibri" w:cs="Calibri"/>
          <w:b/>
          <w:sz w:val="20"/>
          <w:szCs w:val="20"/>
        </w:rPr>
        <w:t>Global Economic Risk</w:t>
      </w:r>
    </w:p>
    <w:p w14:paraId="735ACAAE" w14:textId="77777777" w:rsidR="00C47A4A" w:rsidRPr="00C47A4A" w:rsidRDefault="00C47A4A" w:rsidP="00A92FFC">
      <w:pPr>
        <w:jc w:val="both"/>
        <w:rPr>
          <w:rFonts w:ascii="Calibri" w:eastAsia="Calibri" w:hAnsi="Calibri" w:cs="Calibri"/>
          <w:b/>
          <w:sz w:val="20"/>
          <w:szCs w:val="20"/>
        </w:rPr>
      </w:pPr>
    </w:p>
    <w:p w14:paraId="76D0090A" w14:textId="77777777" w:rsidR="00A92FFC" w:rsidRPr="00C47A4A" w:rsidRDefault="00A92FFC" w:rsidP="00A92FFC">
      <w:pPr>
        <w:jc w:val="both"/>
        <w:rPr>
          <w:rFonts w:ascii="Calibri" w:eastAsia="Calibri" w:hAnsi="Calibri" w:cs="Calibri"/>
          <w:sz w:val="20"/>
          <w:szCs w:val="20"/>
        </w:rPr>
      </w:pPr>
      <w:r w:rsidRPr="00C47A4A">
        <w:rPr>
          <w:rFonts w:ascii="Calibri" w:eastAsia="Calibri" w:hAnsi="Calibri" w:cs="Calibri"/>
          <w:sz w:val="20"/>
          <w:szCs w:val="20"/>
        </w:rPr>
        <w:t>The online media and publishing, technology, artificial intelligence, and data gathering, processing, and analytics sectors are susceptible to adverse developments in the global economy and particularly the UK economy where Iconic is located. The continual uncertainty over Brexit or COVID, for example, may continue to delay spending by potential clients which may have a negative effect on the demand for services which could affect Iconic’s revenues.</w:t>
      </w:r>
    </w:p>
    <w:p w14:paraId="25F7CBCE" w14:textId="77777777" w:rsidR="00A92FFC" w:rsidRPr="00C47A4A" w:rsidRDefault="00A92FFC" w:rsidP="00A92FFC">
      <w:pPr>
        <w:jc w:val="both"/>
        <w:rPr>
          <w:rFonts w:ascii="Calibri" w:eastAsia="Calibri" w:hAnsi="Calibri" w:cs="Calibri"/>
          <w:sz w:val="20"/>
          <w:szCs w:val="20"/>
        </w:rPr>
      </w:pPr>
    </w:p>
    <w:p w14:paraId="2E526B63" w14:textId="6F8F8E8F" w:rsidR="00A92FFC" w:rsidRDefault="00A92FFC" w:rsidP="00A92FFC">
      <w:pPr>
        <w:tabs>
          <w:tab w:val="left" w:pos="8080"/>
        </w:tabs>
        <w:spacing w:before="120"/>
        <w:jc w:val="both"/>
        <w:rPr>
          <w:rFonts w:asciiTheme="minorHAnsi" w:hAnsiTheme="minorHAnsi" w:cstheme="minorHAnsi"/>
          <w:b/>
          <w:color w:val="222222"/>
          <w:sz w:val="20"/>
          <w:szCs w:val="20"/>
        </w:rPr>
      </w:pPr>
      <w:r w:rsidRPr="00C47A4A">
        <w:rPr>
          <w:rFonts w:asciiTheme="minorHAnsi" w:hAnsiTheme="minorHAnsi" w:cstheme="minorHAnsi"/>
          <w:b/>
          <w:color w:val="222222"/>
          <w:sz w:val="20"/>
          <w:szCs w:val="20"/>
        </w:rPr>
        <w:t>Potential Unrecorded Legacy Liabilities</w:t>
      </w:r>
    </w:p>
    <w:p w14:paraId="715CEA73" w14:textId="77777777" w:rsidR="00C47A4A" w:rsidRPr="00C47A4A" w:rsidRDefault="00C47A4A" w:rsidP="00A92FFC">
      <w:pPr>
        <w:tabs>
          <w:tab w:val="left" w:pos="8080"/>
        </w:tabs>
        <w:spacing w:before="120"/>
        <w:jc w:val="both"/>
        <w:rPr>
          <w:rFonts w:asciiTheme="minorHAnsi" w:hAnsiTheme="minorHAnsi" w:cstheme="minorHAnsi"/>
          <w:b/>
          <w:color w:val="222222"/>
          <w:sz w:val="20"/>
          <w:szCs w:val="20"/>
        </w:rPr>
      </w:pPr>
    </w:p>
    <w:p w14:paraId="2AEE8EBB" w14:textId="77777777" w:rsidR="00A92FFC" w:rsidRPr="00C47A4A" w:rsidRDefault="00A92FFC" w:rsidP="00A92FFC">
      <w:pPr>
        <w:jc w:val="both"/>
        <w:rPr>
          <w:rFonts w:ascii="Calibri" w:eastAsia="Calibri" w:hAnsi="Calibri" w:cs="Calibri"/>
          <w:sz w:val="20"/>
          <w:szCs w:val="20"/>
        </w:rPr>
      </w:pPr>
      <w:r w:rsidRPr="00C47A4A">
        <w:rPr>
          <w:rFonts w:ascii="Calibri" w:eastAsia="Calibri" w:hAnsi="Calibri" w:cs="Calibri"/>
          <w:sz w:val="20"/>
          <w:szCs w:val="20"/>
        </w:rPr>
        <w:t>As evidenced by the administration and disputes involving various key parties, there were significant legacy issues that predated the new management’s arrival when they took control of the business. Following the exit from administration and the entering into of confidential settlement agreements with various parties, it is highly unlikely that there are any material unknown liabilities of Iconic.</w:t>
      </w:r>
    </w:p>
    <w:p w14:paraId="1CE666A4" w14:textId="77777777" w:rsidR="00A92FFC" w:rsidRPr="00C47A4A" w:rsidRDefault="00A92FFC" w:rsidP="00A92FFC">
      <w:pPr>
        <w:spacing w:before="240" w:after="240"/>
        <w:jc w:val="both"/>
        <w:rPr>
          <w:rFonts w:ascii="Calibri" w:eastAsia="Calibri" w:hAnsi="Calibri" w:cs="Calibri"/>
          <w:sz w:val="20"/>
          <w:szCs w:val="20"/>
        </w:rPr>
      </w:pPr>
      <w:r w:rsidRPr="00C47A4A">
        <w:rPr>
          <w:rFonts w:ascii="Calibri" w:eastAsia="Calibri" w:hAnsi="Calibri" w:cs="Calibri"/>
          <w:sz w:val="20"/>
          <w:szCs w:val="20"/>
        </w:rPr>
        <w:t>The current status of the old Widecells subsidiaries is as follows:</w:t>
      </w:r>
    </w:p>
    <w:p w14:paraId="4DFC58BA" w14:textId="77777777" w:rsidR="00A92FFC" w:rsidRPr="00C47A4A" w:rsidRDefault="00A92FFC" w:rsidP="00B2796D">
      <w:pPr>
        <w:pStyle w:val="ListParagraph"/>
        <w:numPr>
          <w:ilvl w:val="0"/>
          <w:numId w:val="9"/>
        </w:num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Widecells Limited – was dissolved on 23 August 2022</w:t>
      </w:r>
    </w:p>
    <w:p w14:paraId="64E4A56B" w14:textId="77777777" w:rsidR="00A92FFC" w:rsidRPr="00C47A4A" w:rsidRDefault="00A92FFC" w:rsidP="00B2796D">
      <w:pPr>
        <w:pStyle w:val="ListParagraph"/>
        <w:numPr>
          <w:ilvl w:val="0"/>
          <w:numId w:val="9"/>
        </w:num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WideAcademy – was dissolved on 26 April 2022</w:t>
      </w:r>
    </w:p>
    <w:p w14:paraId="32AAEF82" w14:textId="77777777" w:rsidR="00A92FFC" w:rsidRPr="00C47A4A" w:rsidRDefault="00A92FFC" w:rsidP="00B2796D">
      <w:pPr>
        <w:pStyle w:val="ListParagraph"/>
        <w:numPr>
          <w:ilvl w:val="0"/>
          <w:numId w:val="9"/>
        </w:numPr>
        <w:tabs>
          <w:tab w:val="left" w:pos="8080"/>
        </w:tabs>
        <w:jc w:val="both"/>
        <w:rPr>
          <w:rFonts w:ascii="Times New Roman" w:hAnsi="Times New Roman"/>
        </w:rPr>
      </w:pPr>
      <w:r w:rsidRPr="00C47A4A">
        <w:rPr>
          <w:rFonts w:asciiTheme="minorHAnsi" w:hAnsiTheme="minorHAnsi" w:cstheme="minorHAnsi"/>
          <w:color w:val="222222"/>
          <w:sz w:val="20"/>
          <w:szCs w:val="20"/>
        </w:rPr>
        <w:t>Widecells Espana – Has entered liquidation process. DIRECTORSHIP CIBELES, SL, a subsidiary of Gestiona-t, appointed liquidator.</w:t>
      </w:r>
    </w:p>
    <w:p w14:paraId="62B32ECF" w14:textId="77777777" w:rsidR="00A92FFC" w:rsidRPr="00C47A4A" w:rsidRDefault="00A92FFC" w:rsidP="00B2796D">
      <w:pPr>
        <w:pStyle w:val="ListParagraph"/>
        <w:numPr>
          <w:ilvl w:val="0"/>
          <w:numId w:val="9"/>
        </w:num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 xml:space="preserve">Widecells Portugal – Following the decision to cease operations and in the absence of local Directors the UK Board have been taking legal advice and are in the process of instructing a local liquidator to formalise the cessation of this company and discharge any identified obligations. </w:t>
      </w:r>
    </w:p>
    <w:p w14:paraId="0F179A36" w14:textId="77777777" w:rsidR="00A92FFC" w:rsidRPr="00C47A4A" w:rsidRDefault="00A92FFC" w:rsidP="00B2796D">
      <w:pPr>
        <w:pStyle w:val="ListParagraph"/>
        <w:numPr>
          <w:ilvl w:val="0"/>
          <w:numId w:val="9"/>
        </w:num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 xml:space="preserve">Cellplan International LDA – Following the decision to cease operations and in the absence of local Directors the UK Board have been taking legal advice and are in the process of instructing a local liquidator to formalise the cessation of this company and discharge any identified obligations.  As part of this review the Directors are making enquiries into the regulatory arrangements surrounding the company’s promoting of the Stem Cell insurance product. </w:t>
      </w:r>
    </w:p>
    <w:p w14:paraId="1783C962" w14:textId="77777777" w:rsidR="00A92FFC" w:rsidRPr="00C47A4A" w:rsidRDefault="00A92FFC" w:rsidP="00B2796D">
      <w:pPr>
        <w:pStyle w:val="ListParagraph"/>
        <w:numPr>
          <w:ilvl w:val="0"/>
          <w:numId w:val="9"/>
        </w:num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Cellplan Limited – shareholder of Cellplan International LDA. Dormant</w:t>
      </w:r>
    </w:p>
    <w:p w14:paraId="35D17E2F" w14:textId="77777777" w:rsidR="00A92FFC" w:rsidRPr="00C47A4A" w:rsidRDefault="00A92FFC" w:rsidP="00B2796D">
      <w:pPr>
        <w:pStyle w:val="ListParagraph"/>
        <w:numPr>
          <w:ilvl w:val="0"/>
          <w:numId w:val="9"/>
        </w:numPr>
        <w:tabs>
          <w:tab w:val="left" w:pos="8080"/>
        </w:tabs>
        <w:spacing w:before="120"/>
        <w:jc w:val="both"/>
        <w:rPr>
          <w:rFonts w:asciiTheme="minorHAnsi" w:hAnsiTheme="minorHAnsi" w:cstheme="minorHAnsi"/>
          <w:b/>
          <w:bCs/>
          <w:sz w:val="20"/>
          <w:szCs w:val="20"/>
        </w:rPr>
      </w:pPr>
      <w:r w:rsidRPr="00C47A4A">
        <w:rPr>
          <w:rFonts w:asciiTheme="minorHAnsi" w:hAnsiTheme="minorHAnsi" w:cstheme="minorHAnsi"/>
          <w:color w:val="222222"/>
          <w:sz w:val="20"/>
          <w:szCs w:val="20"/>
        </w:rPr>
        <w:t>Widecells International Limited – dormant</w:t>
      </w:r>
    </w:p>
    <w:p w14:paraId="40E292C9" w14:textId="2E6C7245" w:rsidR="00A92FFC" w:rsidRDefault="00A92FFC" w:rsidP="00A92FFC">
      <w:pPr>
        <w:spacing w:line="370" w:lineRule="auto"/>
        <w:jc w:val="both"/>
        <w:rPr>
          <w:rFonts w:ascii="Calibri" w:eastAsia="Calibri" w:hAnsi="Calibri" w:cs="Calibri"/>
          <w:sz w:val="20"/>
          <w:szCs w:val="20"/>
        </w:rPr>
      </w:pPr>
    </w:p>
    <w:p w14:paraId="116892BE" w14:textId="4F98D811" w:rsidR="00580ED9" w:rsidRDefault="00580ED9" w:rsidP="00A92FFC">
      <w:pPr>
        <w:spacing w:line="370" w:lineRule="auto"/>
        <w:jc w:val="both"/>
        <w:rPr>
          <w:rFonts w:ascii="Calibri" w:eastAsia="Calibri" w:hAnsi="Calibri" w:cs="Calibri"/>
          <w:sz w:val="20"/>
          <w:szCs w:val="20"/>
        </w:rPr>
      </w:pPr>
    </w:p>
    <w:p w14:paraId="35A5D9D2" w14:textId="77777777" w:rsidR="00580ED9" w:rsidRPr="00C47A4A" w:rsidRDefault="00580ED9" w:rsidP="00A92FFC">
      <w:pPr>
        <w:spacing w:line="370" w:lineRule="auto"/>
        <w:jc w:val="both"/>
        <w:rPr>
          <w:rFonts w:ascii="Calibri" w:eastAsia="Calibri" w:hAnsi="Calibri" w:cs="Calibri"/>
          <w:sz w:val="20"/>
          <w:szCs w:val="20"/>
        </w:rPr>
      </w:pPr>
    </w:p>
    <w:p w14:paraId="4F260E52" w14:textId="2B5E8272" w:rsidR="00A92FFC" w:rsidRDefault="00A92FFC" w:rsidP="00A92FFC">
      <w:pPr>
        <w:jc w:val="both"/>
        <w:rPr>
          <w:rFonts w:asciiTheme="minorHAnsi" w:hAnsiTheme="minorHAnsi" w:cstheme="minorHAnsi"/>
          <w:b/>
          <w:bCs/>
          <w:sz w:val="20"/>
          <w:szCs w:val="20"/>
        </w:rPr>
      </w:pPr>
      <w:r w:rsidRPr="00C47A4A">
        <w:rPr>
          <w:rFonts w:asciiTheme="minorHAnsi" w:hAnsiTheme="minorHAnsi" w:cstheme="minorHAnsi"/>
          <w:b/>
          <w:bCs/>
          <w:sz w:val="20"/>
          <w:szCs w:val="20"/>
        </w:rPr>
        <w:lastRenderedPageBreak/>
        <w:t>Financial Risk Management</w:t>
      </w:r>
    </w:p>
    <w:p w14:paraId="63BF1FE3" w14:textId="77777777" w:rsidR="00C47A4A" w:rsidRPr="00C47A4A" w:rsidRDefault="00C47A4A" w:rsidP="00A92FFC">
      <w:pPr>
        <w:jc w:val="both"/>
        <w:rPr>
          <w:rFonts w:asciiTheme="minorHAnsi" w:hAnsiTheme="minorHAnsi" w:cstheme="minorHAnsi"/>
          <w:b/>
          <w:bCs/>
          <w:sz w:val="20"/>
          <w:szCs w:val="20"/>
        </w:rPr>
      </w:pPr>
    </w:p>
    <w:p w14:paraId="02004FD0" w14:textId="77777777" w:rsidR="00A92FFC" w:rsidRPr="00C47A4A" w:rsidRDefault="00A92FFC" w:rsidP="00A92FFC">
      <w:pPr>
        <w:jc w:val="both"/>
        <w:rPr>
          <w:rFonts w:asciiTheme="minorHAnsi" w:hAnsiTheme="minorHAnsi" w:cstheme="minorHAnsi"/>
          <w:bCs/>
          <w:sz w:val="20"/>
          <w:szCs w:val="20"/>
        </w:rPr>
      </w:pPr>
      <w:r w:rsidRPr="00C47A4A">
        <w:rPr>
          <w:rFonts w:asciiTheme="minorHAnsi" w:hAnsiTheme="minorHAnsi" w:cstheme="minorHAnsi"/>
          <w:bCs/>
          <w:sz w:val="20"/>
          <w:szCs w:val="20"/>
        </w:rPr>
        <w:t>The Board monitors the internal risk management function across Iconic and advises on all relevant risk issues. There is regular communication with internal departments, external advisors and regulators. Iconic’s policies on financial instruments and the risks pertaining to those instruments are set out in the accounting policies in note 1 of the financial statements.</w:t>
      </w:r>
    </w:p>
    <w:p w14:paraId="51B502CA" w14:textId="77777777" w:rsidR="00A92FFC" w:rsidRPr="00C47A4A" w:rsidRDefault="00A92FFC" w:rsidP="00A92FFC">
      <w:pPr>
        <w:jc w:val="both"/>
        <w:rPr>
          <w:rFonts w:ascii="Calibri" w:eastAsia="Calibri" w:hAnsi="Calibri" w:cs="Calibri"/>
          <w:b/>
          <w:sz w:val="20"/>
          <w:szCs w:val="20"/>
        </w:rPr>
      </w:pPr>
    </w:p>
    <w:p w14:paraId="5EB698BD" w14:textId="77777777" w:rsidR="00A92FFC" w:rsidRPr="00C47A4A" w:rsidRDefault="00A92FFC" w:rsidP="00A92FFC">
      <w:pPr>
        <w:tabs>
          <w:tab w:val="left" w:pos="8080"/>
        </w:tabs>
        <w:jc w:val="both"/>
        <w:rPr>
          <w:rFonts w:asciiTheme="minorHAnsi" w:hAnsiTheme="minorHAnsi" w:cstheme="minorHAnsi"/>
          <w:i/>
          <w:iCs/>
          <w:color w:val="222222"/>
          <w:sz w:val="20"/>
          <w:szCs w:val="20"/>
        </w:rPr>
      </w:pPr>
      <w:r w:rsidRPr="00C47A4A">
        <w:rPr>
          <w:rFonts w:asciiTheme="minorHAnsi" w:hAnsiTheme="minorHAnsi" w:cstheme="minorHAnsi"/>
          <w:b/>
          <w:bCs/>
          <w:color w:val="222222"/>
          <w:sz w:val="20"/>
          <w:szCs w:val="20"/>
          <w:u w:val="single"/>
        </w:rPr>
        <w:t>Financial Review</w:t>
      </w:r>
      <w:r w:rsidRPr="00C47A4A">
        <w:rPr>
          <w:rFonts w:asciiTheme="minorHAnsi" w:hAnsiTheme="minorHAnsi" w:cstheme="minorHAnsi"/>
          <w:i/>
          <w:iCs/>
          <w:color w:val="222222"/>
          <w:sz w:val="20"/>
          <w:szCs w:val="20"/>
        </w:rPr>
        <w:t xml:space="preserve"> </w:t>
      </w:r>
    </w:p>
    <w:p w14:paraId="1E0E6D7E" w14:textId="77777777" w:rsidR="00A92FFC" w:rsidRPr="00C47A4A" w:rsidRDefault="00A92FFC" w:rsidP="00A92FFC">
      <w:pPr>
        <w:tabs>
          <w:tab w:val="left" w:pos="8080"/>
        </w:tabs>
        <w:jc w:val="both"/>
        <w:rPr>
          <w:rFonts w:asciiTheme="minorHAnsi" w:hAnsiTheme="minorHAnsi" w:cstheme="minorHAnsi"/>
          <w:i/>
          <w:iCs/>
          <w:color w:val="222222"/>
          <w:sz w:val="20"/>
          <w:szCs w:val="20"/>
        </w:rPr>
      </w:pPr>
    </w:p>
    <w:p w14:paraId="2A8B44A8" w14:textId="063E197C" w:rsidR="00A92FFC" w:rsidRPr="00C47A4A" w:rsidRDefault="00A92FFC" w:rsidP="00A92FFC">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Iconic made a loss in the 202</w:t>
      </w:r>
      <w:r w:rsidR="00A13028" w:rsidRPr="00C47A4A">
        <w:rPr>
          <w:rFonts w:asciiTheme="minorHAnsi" w:hAnsiTheme="minorHAnsi" w:cstheme="minorHAnsi"/>
          <w:color w:val="222222"/>
          <w:sz w:val="20"/>
          <w:szCs w:val="20"/>
        </w:rPr>
        <w:t>2</w:t>
      </w:r>
      <w:r w:rsidRPr="00C47A4A">
        <w:rPr>
          <w:rFonts w:asciiTheme="minorHAnsi" w:hAnsiTheme="minorHAnsi" w:cstheme="minorHAnsi"/>
          <w:color w:val="222222"/>
          <w:sz w:val="20"/>
          <w:szCs w:val="20"/>
        </w:rPr>
        <w:t xml:space="preserve"> financial year of £7</w:t>
      </w:r>
      <w:r w:rsidR="00A13028" w:rsidRPr="00C47A4A">
        <w:rPr>
          <w:rFonts w:asciiTheme="minorHAnsi" w:hAnsiTheme="minorHAnsi" w:cstheme="minorHAnsi"/>
          <w:color w:val="222222"/>
          <w:sz w:val="20"/>
          <w:szCs w:val="20"/>
        </w:rPr>
        <w:t>62,107</w:t>
      </w:r>
      <w:r w:rsidRPr="00C47A4A">
        <w:rPr>
          <w:rFonts w:asciiTheme="minorHAnsi" w:hAnsiTheme="minorHAnsi" w:cstheme="minorHAnsi"/>
          <w:color w:val="222222"/>
          <w:sz w:val="20"/>
          <w:szCs w:val="20"/>
        </w:rPr>
        <w:t xml:space="preserve"> (202</w:t>
      </w:r>
      <w:r w:rsidR="00A13028" w:rsidRPr="00C47A4A">
        <w:rPr>
          <w:rFonts w:asciiTheme="minorHAnsi" w:hAnsiTheme="minorHAnsi" w:cstheme="minorHAnsi"/>
          <w:color w:val="222222"/>
          <w:sz w:val="20"/>
          <w:szCs w:val="20"/>
        </w:rPr>
        <w:t>1</w:t>
      </w:r>
      <w:r w:rsidRPr="00C47A4A">
        <w:rPr>
          <w:rFonts w:asciiTheme="minorHAnsi" w:hAnsiTheme="minorHAnsi" w:cstheme="minorHAnsi"/>
          <w:color w:val="222222"/>
          <w:sz w:val="20"/>
          <w:szCs w:val="20"/>
        </w:rPr>
        <w:t xml:space="preserve"> - £</w:t>
      </w:r>
      <w:r w:rsidR="00A13028" w:rsidRPr="00C47A4A">
        <w:rPr>
          <w:rFonts w:asciiTheme="minorHAnsi" w:hAnsiTheme="minorHAnsi" w:cstheme="minorHAnsi"/>
          <w:color w:val="222222"/>
          <w:sz w:val="20"/>
          <w:szCs w:val="20"/>
        </w:rPr>
        <w:t>7,697,306</w:t>
      </w:r>
      <w:r w:rsidR="006E4D5A">
        <w:rPr>
          <w:rFonts w:asciiTheme="minorHAnsi" w:hAnsiTheme="minorHAnsi" w:cstheme="minorHAnsi"/>
          <w:color w:val="222222"/>
          <w:sz w:val="20"/>
          <w:szCs w:val="20"/>
        </w:rPr>
        <w:t>).</w:t>
      </w:r>
      <w:r w:rsidRPr="00C47A4A">
        <w:rPr>
          <w:rFonts w:asciiTheme="minorHAnsi" w:hAnsiTheme="minorHAnsi" w:cstheme="minorHAnsi"/>
          <w:color w:val="222222"/>
          <w:sz w:val="20"/>
          <w:szCs w:val="20"/>
        </w:rPr>
        <w:t xml:space="preserve"> </w:t>
      </w:r>
    </w:p>
    <w:p w14:paraId="3BD59841" w14:textId="77777777" w:rsidR="00A92FFC" w:rsidRPr="00C47A4A" w:rsidRDefault="00A92FFC" w:rsidP="00A92FFC">
      <w:pPr>
        <w:tabs>
          <w:tab w:val="left" w:pos="8080"/>
        </w:tabs>
        <w:jc w:val="both"/>
        <w:rPr>
          <w:rFonts w:asciiTheme="minorHAnsi" w:hAnsiTheme="minorHAnsi" w:cstheme="minorHAnsi"/>
          <w:color w:val="222222"/>
          <w:sz w:val="20"/>
          <w:szCs w:val="20"/>
        </w:rPr>
      </w:pPr>
    </w:p>
    <w:p w14:paraId="0C3ECA70" w14:textId="3F391B7F" w:rsidR="00A92FFC" w:rsidRPr="00C47A4A" w:rsidRDefault="00A92FFC" w:rsidP="00A92FFC">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The revenue of the Group in the year was £</w:t>
      </w:r>
      <w:r w:rsidR="00A13028" w:rsidRPr="00C47A4A">
        <w:rPr>
          <w:rFonts w:asciiTheme="minorHAnsi" w:hAnsiTheme="minorHAnsi" w:cstheme="minorHAnsi"/>
          <w:color w:val="222222"/>
          <w:sz w:val="20"/>
          <w:szCs w:val="20"/>
        </w:rPr>
        <w:t>26,823</w:t>
      </w:r>
      <w:r w:rsidRPr="00C47A4A">
        <w:rPr>
          <w:rFonts w:asciiTheme="minorHAnsi" w:hAnsiTheme="minorHAnsi" w:cstheme="minorHAnsi"/>
          <w:color w:val="222222"/>
          <w:sz w:val="20"/>
          <w:szCs w:val="20"/>
        </w:rPr>
        <w:t xml:space="preserve"> (202</w:t>
      </w:r>
      <w:r w:rsidR="00A13028" w:rsidRPr="00C47A4A">
        <w:rPr>
          <w:rFonts w:asciiTheme="minorHAnsi" w:hAnsiTheme="minorHAnsi" w:cstheme="minorHAnsi"/>
          <w:color w:val="222222"/>
          <w:sz w:val="20"/>
          <w:szCs w:val="20"/>
        </w:rPr>
        <w:t>1</w:t>
      </w:r>
      <w:r w:rsidRPr="00C47A4A">
        <w:rPr>
          <w:rFonts w:asciiTheme="minorHAnsi" w:hAnsiTheme="minorHAnsi" w:cstheme="minorHAnsi"/>
          <w:color w:val="222222"/>
          <w:sz w:val="20"/>
          <w:szCs w:val="20"/>
        </w:rPr>
        <w:t xml:space="preserve"> - £</w:t>
      </w:r>
      <w:r w:rsidR="00A13028" w:rsidRPr="00C47A4A">
        <w:rPr>
          <w:rFonts w:asciiTheme="minorHAnsi" w:hAnsiTheme="minorHAnsi" w:cstheme="minorHAnsi"/>
          <w:color w:val="222222"/>
          <w:sz w:val="20"/>
          <w:szCs w:val="20"/>
        </w:rPr>
        <w:t>509,171</w:t>
      </w:r>
      <w:r w:rsidRPr="00C47A4A">
        <w:rPr>
          <w:rFonts w:asciiTheme="minorHAnsi" w:hAnsiTheme="minorHAnsi" w:cstheme="minorHAnsi"/>
          <w:color w:val="222222"/>
          <w:sz w:val="20"/>
          <w:szCs w:val="20"/>
        </w:rPr>
        <w:t xml:space="preserve">). Administrative expenses </w:t>
      </w:r>
      <w:r w:rsidR="00A13028" w:rsidRPr="00C47A4A">
        <w:rPr>
          <w:rFonts w:asciiTheme="minorHAnsi" w:hAnsiTheme="minorHAnsi" w:cstheme="minorHAnsi"/>
          <w:color w:val="222222"/>
          <w:sz w:val="20"/>
          <w:szCs w:val="20"/>
        </w:rPr>
        <w:t>de</w:t>
      </w:r>
      <w:r w:rsidRPr="00C47A4A">
        <w:rPr>
          <w:rFonts w:asciiTheme="minorHAnsi" w:hAnsiTheme="minorHAnsi" w:cstheme="minorHAnsi"/>
          <w:color w:val="222222"/>
          <w:sz w:val="20"/>
          <w:szCs w:val="20"/>
        </w:rPr>
        <w:t>creased by £</w:t>
      </w:r>
      <w:r w:rsidR="00A13028" w:rsidRPr="00C47A4A">
        <w:rPr>
          <w:rFonts w:asciiTheme="minorHAnsi" w:hAnsiTheme="minorHAnsi" w:cstheme="minorHAnsi"/>
          <w:color w:val="222222"/>
          <w:sz w:val="20"/>
          <w:szCs w:val="20"/>
        </w:rPr>
        <w:t>3,373,665</w:t>
      </w:r>
      <w:r w:rsidRPr="00C47A4A">
        <w:rPr>
          <w:rFonts w:asciiTheme="minorHAnsi" w:hAnsiTheme="minorHAnsi" w:cstheme="minorHAnsi"/>
          <w:color w:val="222222"/>
          <w:sz w:val="20"/>
          <w:szCs w:val="20"/>
        </w:rPr>
        <w:t xml:space="preserve"> in the year, mainly due to </w:t>
      </w:r>
      <w:r w:rsidR="00A13028" w:rsidRPr="00C47A4A">
        <w:rPr>
          <w:rFonts w:asciiTheme="minorHAnsi" w:hAnsiTheme="minorHAnsi" w:cstheme="minorHAnsi"/>
          <w:color w:val="222222"/>
          <w:sz w:val="20"/>
          <w:szCs w:val="20"/>
        </w:rPr>
        <w:t>the parent company being in administration for the entire financial year</w:t>
      </w:r>
      <w:r w:rsidRPr="00C47A4A">
        <w:rPr>
          <w:rFonts w:asciiTheme="minorHAnsi" w:hAnsiTheme="minorHAnsi" w:cstheme="minorHAnsi"/>
          <w:color w:val="222222"/>
          <w:sz w:val="20"/>
          <w:szCs w:val="20"/>
        </w:rPr>
        <w:t xml:space="preserve">. </w:t>
      </w:r>
    </w:p>
    <w:p w14:paraId="5FE8CF7A" w14:textId="77777777" w:rsidR="00A92FFC" w:rsidRPr="00C47A4A" w:rsidRDefault="00A92FFC" w:rsidP="00A92FFC">
      <w:pPr>
        <w:tabs>
          <w:tab w:val="left" w:pos="8080"/>
        </w:tabs>
        <w:jc w:val="both"/>
        <w:rPr>
          <w:rFonts w:asciiTheme="minorHAnsi" w:hAnsiTheme="minorHAnsi" w:cstheme="minorHAnsi"/>
          <w:color w:val="222222"/>
          <w:sz w:val="20"/>
          <w:szCs w:val="20"/>
        </w:rPr>
      </w:pPr>
    </w:p>
    <w:p w14:paraId="016C5C48" w14:textId="4B8279F8" w:rsidR="00A92FFC" w:rsidRPr="00C47A4A" w:rsidRDefault="00A92FFC" w:rsidP="00A92FFC">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At 30 June 202</w:t>
      </w:r>
      <w:r w:rsidR="00A13028" w:rsidRPr="00C47A4A">
        <w:rPr>
          <w:rFonts w:asciiTheme="minorHAnsi" w:hAnsiTheme="minorHAnsi" w:cstheme="minorHAnsi"/>
          <w:color w:val="222222"/>
          <w:sz w:val="20"/>
          <w:szCs w:val="20"/>
        </w:rPr>
        <w:t>2</w:t>
      </w:r>
      <w:r w:rsidRPr="00C47A4A">
        <w:rPr>
          <w:rFonts w:asciiTheme="minorHAnsi" w:hAnsiTheme="minorHAnsi" w:cstheme="minorHAnsi"/>
          <w:color w:val="222222"/>
          <w:sz w:val="20"/>
          <w:szCs w:val="20"/>
        </w:rPr>
        <w:t>, Iconic held total assets of £</w:t>
      </w:r>
      <w:r w:rsidR="00A13028" w:rsidRPr="00C47A4A">
        <w:rPr>
          <w:rFonts w:asciiTheme="minorHAnsi" w:hAnsiTheme="minorHAnsi" w:cstheme="minorHAnsi"/>
          <w:color w:val="222222"/>
          <w:sz w:val="20"/>
          <w:szCs w:val="20"/>
        </w:rPr>
        <w:t>6</w:t>
      </w:r>
      <w:r w:rsidRPr="00C47A4A">
        <w:rPr>
          <w:rFonts w:asciiTheme="minorHAnsi" w:hAnsiTheme="minorHAnsi" w:cstheme="minorHAnsi"/>
          <w:color w:val="222222"/>
          <w:sz w:val="20"/>
          <w:szCs w:val="20"/>
        </w:rPr>
        <w:t xml:space="preserve"> (202</w:t>
      </w:r>
      <w:r w:rsidR="00A13028" w:rsidRPr="00C47A4A">
        <w:rPr>
          <w:rFonts w:asciiTheme="minorHAnsi" w:hAnsiTheme="minorHAnsi" w:cstheme="minorHAnsi"/>
          <w:color w:val="222222"/>
          <w:sz w:val="20"/>
          <w:szCs w:val="20"/>
        </w:rPr>
        <w:t>1</w:t>
      </w:r>
      <w:r w:rsidRPr="00C47A4A">
        <w:rPr>
          <w:rFonts w:asciiTheme="minorHAnsi" w:hAnsiTheme="minorHAnsi" w:cstheme="minorHAnsi"/>
          <w:color w:val="222222"/>
          <w:sz w:val="20"/>
          <w:szCs w:val="20"/>
        </w:rPr>
        <w:t xml:space="preserve"> - £</w:t>
      </w:r>
      <w:r w:rsidR="006E5247" w:rsidRPr="00C47A4A">
        <w:rPr>
          <w:rFonts w:asciiTheme="minorHAnsi" w:hAnsiTheme="minorHAnsi" w:cstheme="minorHAnsi"/>
          <w:color w:val="222222"/>
          <w:sz w:val="20"/>
          <w:szCs w:val="20"/>
        </w:rPr>
        <w:t>154,056</w:t>
      </w:r>
      <w:r w:rsidRPr="00C47A4A">
        <w:rPr>
          <w:rFonts w:asciiTheme="minorHAnsi" w:hAnsiTheme="minorHAnsi" w:cstheme="minorHAnsi"/>
          <w:color w:val="222222"/>
          <w:sz w:val="20"/>
          <w:szCs w:val="20"/>
        </w:rPr>
        <w:t>), following the writing down of assets and a provision for bad debts in the year</w:t>
      </w:r>
      <w:r w:rsidR="006E5247" w:rsidRPr="00C47A4A">
        <w:rPr>
          <w:rFonts w:asciiTheme="minorHAnsi" w:hAnsiTheme="minorHAnsi" w:cstheme="minorHAnsi"/>
          <w:color w:val="222222"/>
          <w:sz w:val="20"/>
          <w:szCs w:val="20"/>
        </w:rPr>
        <w:t xml:space="preserve"> as a result of the dissolution of Iconic Labs UK Limited in June 2022</w:t>
      </w:r>
      <w:r w:rsidRPr="00C47A4A">
        <w:rPr>
          <w:rFonts w:asciiTheme="minorHAnsi" w:hAnsiTheme="minorHAnsi" w:cstheme="minorHAnsi"/>
          <w:color w:val="222222"/>
          <w:sz w:val="20"/>
          <w:szCs w:val="20"/>
        </w:rPr>
        <w:t>. The Group had liabilities of £8,</w:t>
      </w:r>
      <w:r w:rsidR="006E5247" w:rsidRPr="00C47A4A">
        <w:rPr>
          <w:rFonts w:asciiTheme="minorHAnsi" w:hAnsiTheme="minorHAnsi" w:cstheme="minorHAnsi"/>
          <w:color w:val="222222"/>
          <w:sz w:val="20"/>
          <w:szCs w:val="20"/>
        </w:rPr>
        <w:t>938,526</w:t>
      </w:r>
      <w:r w:rsidRPr="00C47A4A">
        <w:rPr>
          <w:rFonts w:asciiTheme="minorHAnsi" w:hAnsiTheme="minorHAnsi" w:cstheme="minorHAnsi"/>
          <w:color w:val="222222"/>
          <w:sz w:val="20"/>
          <w:szCs w:val="20"/>
        </w:rPr>
        <w:t xml:space="preserve"> at the balance sheet date (202</w:t>
      </w:r>
      <w:r w:rsidR="006E5247" w:rsidRPr="00C47A4A">
        <w:rPr>
          <w:rFonts w:asciiTheme="minorHAnsi" w:hAnsiTheme="minorHAnsi" w:cstheme="minorHAnsi"/>
          <w:color w:val="222222"/>
          <w:sz w:val="20"/>
          <w:szCs w:val="20"/>
        </w:rPr>
        <w:t>1</w:t>
      </w:r>
      <w:r w:rsidRPr="00C47A4A">
        <w:rPr>
          <w:rFonts w:asciiTheme="minorHAnsi" w:hAnsiTheme="minorHAnsi" w:cstheme="minorHAnsi"/>
          <w:color w:val="222222"/>
          <w:sz w:val="20"/>
          <w:szCs w:val="20"/>
        </w:rPr>
        <w:t xml:space="preserve"> - £</w:t>
      </w:r>
      <w:r w:rsidR="006E5247" w:rsidRPr="00C47A4A">
        <w:rPr>
          <w:rFonts w:asciiTheme="minorHAnsi" w:hAnsiTheme="minorHAnsi" w:cstheme="minorHAnsi"/>
          <w:color w:val="222222"/>
          <w:sz w:val="20"/>
          <w:szCs w:val="20"/>
        </w:rPr>
        <w:t>8,330,469</w:t>
      </w:r>
      <w:r w:rsidRPr="00C47A4A">
        <w:rPr>
          <w:rFonts w:asciiTheme="minorHAnsi" w:hAnsiTheme="minorHAnsi" w:cstheme="minorHAnsi"/>
          <w:color w:val="222222"/>
          <w:sz w:val="20"/>
          <w:szCs w:val="20"/>
        </w:rPr>
        <w:t>), an increase of £</w:t>
      </w:r>
      <w:r w:rsidR="006E5247" w:rsidRPr="00C47A4A">
        <w:rPr>
          <w:rFonts w:asciiTheme="minorHAnsi" w:hAnsiTheme="minorHAnsi" w:cstheme="minorHAnsi"/>
          <w:color w:val="222222"/>
          <w:sz w:val="20"/>
          <w:szCs w:val="20"/>
        </w:rPr>
        <w:t>608,057</w:t>
      </w:r>
      <w:r w:rsidRPr="00C47A4A">
        <w:rPr>
          <w:rFonts w:asciiTheme="minorHAnsi" w:hAnsiTheme="minorHAnsi" w:cstheme="minorHAnsi"/>
          <w:color w:val="222222"/>
          <w:sz w:val="20"/>
          <w:szCs w:val="20"/>
        </w:rPr>
        <w:t xml:space="preserve">. Details of the CVA which has been approved post year end are also detailed in </w:t>
      </w:r>
      <w:r w:rsidR="006E5247" w:rsidRPr="00C47A4A">
        <w:rPr>
          <w:rFonts w:asciiTheme="minorHAnsi" w:hAnsiTheme="minorHAnsi" w:cstheme="minorHAnsi"/>
          <w:color w:val="222222"/>
          <w:sz w:val="20"/>
          <w:szCs w:val="20"/>
        </w:rPr>
        <w:t>the Chief Executive and Chairman’s R</w:t>
      </w:r>
      <w:r w:rsidRPr="00C47A4A">
        <w:rPr>
          <w:rFonts w:asciiTheme="minorHAnsi" w:hAnsiTheme="minorHAnsi" w:cstheme="minorHAnsi"/>
          <w:color w:val="222222"/>
          <w:sz w:val="20"/>
          <w:szCs w:val="20"/>
        </w:rPr>
        <w:t>eport.</w:t>
      </w:r>
    </w:p>
    <w:p w14:paraId="351CEB48" w14:textId="77777777" w:rsidR="00A92FFC" w:rsidRPr="00C47A4A" w:rsidRDefault="00A92FFC" w:rsidP="00A92FFC">
      <w:pPr>
        <w:tabs>
          <w:tab w:val="left" w:pos="8080"/>
        </w:tabs>
        <w:jc w:val="both"/>
        <w:rPr>
          <w:rFonts w:asciiTheme="minorHAnsi" w:hAnsiTheme="minorHAnsi" w:cstheme="minorHAnsi"/>
          <w:color w:val="222222"/>
          <w:sz w:val="20"/>
          <w:szCs w:val="20"/>
        </w:rPr>
      </w:pPr>
    </w:p>
    <w:p w14:paraId="317AFAAE" w14:textId="77777777" w:rsidR="00A92FFC" w:rsidRPr="00C47A4A" w:rsidRDefault="00A92FFC" w:rsidP="00A92FFC">
      <w:pPr>
        <w:tabs>
          <w:tab w:val="left" w:pos="8080"/>
        </w:tabs>
        <w:rPr>
          <w:rFonts w:asciiTheme="minorHAnsi" w:hAnsiTheme="minorHAnsi" w:cstheme="minorHAnsi"/>
          <w:b/>
          <w:bCs/>
          <w:color w:val="222222"/>
          <w:sz w:val="20"/>
          <w:szCs w:val="20"/>
        </w:rPr>
      </w:pPr>
      <w:r w:rsidRPr="00C47A4A">
        <w:rPr>
          <w:rFonts w:asciiTheme="minorHAnsi" w:hAnsiTheme="minorHAnsi" w:cstheme="minorHAnsi"/>
          <w:b/>
          <w:bCs/>
          <w:color w:val="222222"/>
          <w:sz w:val="20"/>
          <w:szCs w:val="20"/>
        </w:rPr>
        <w:t xml:space="preserve">Key Performance Indicators: </w:t>
      </w:r>
    </w:p>
    <w:p w14:paraId="55EFBC2A" w14:textId="77777777" w:rsidR="00A92FFC" w:rsidRPr="00C47A4A" w:rsidRDefault="00A92FFC" w:rsidP="00A92FFC">
      <w:pPr>
        <w:tabs>
          <w:tab w:val="left" w:pos="8080"/>
        </w:tabs>
        <w:rPr>
          <w:rFonts w:asciiTheme="minorHAnsi" w:hAnsiTheme="minorHAnsi" w:cstheme="minorHAnsi"/>
          <w:b/>
          <w:bCs/>
          <w:color w:val="222222"/>
          <w:sz w:val="20"/>
          <w:szCs w:val="20"/>
        </w:rPr>
      </w:pPr>
    </w:p>
    <w:p w14:paraId="69127C5F" w14:textId="77777777" w:rsidR="00A92FFC" w:rsidRPr="00C47A4A" w:rsidRDefault="00A92FFC" w:rsidP="00A92FFC">
      <w:pPr>
        <w:jc w:val="both"/>
        <w:rPr>
          <w:rFonts w:asciiTheme="minorHAnsi" w:hAnsiTheme="minorHAnsi" w:cstheme="minorHAnsi"/>
          <w:sz w:val="20"/>
          <w:szCs w:val="20"/>
        </w:rPr>
      </w:pPr>
      <w:r w:rsidRPr="00C47A4A">
        <w:rPr>
          <w:rFonts w:asciiTheme="minorHAnsi" w:hAnsiTheme="minorHAnsi" w:cstheme="minorHAnsi"/>
          <w:sz w:val="20"/>
          <w:szCs w:val="20"/>
        </w:rPr>
        <w:t xml:space="preserve">The business is focused on the areas of cash management and operating results. </w:t>
      </w:r>
    </w:p>
    <w:p w14:paraId="053A3A42" w14:textId="77777777" w:rsidR="00A92FFC" w:rsidRPr="00C47A4A" w:rsidRDefault="00A92FFC" w:rsidP="00A92FFC">
      <w:pPr>
        <w:jc w:val="both"/>
        <w:rPr>
          <w:rFonts w:asciiTheme="minorHAnsi" w:hAnsiTheme="minorHAnsi" w:cstheme="minorHAnsi"/>
          <w:sz w:val="20"/>
          <w:szCs w:val="20"/>
        </w:rPr>
      </w:pPr>
    </w:p>
    <w:p w14:paraId="25D99F1D" w14:textId="4AEC762D" w:rsidR="00A92FFC" w:rsidRDefault="00A92FFC" w:rsidP="00A92FFC">
      <w:pPr>
        <w:jc w:val="both"/>
        <w:rPr>
          <w:rFonts w:asciiTheme="minorHAnsi" w:hAnsiTheme="minorHAnsi" w:cstheme="minorHAnsi"/>
          <w:sz w:val="20"/>
          <w:szCs w:val="20"/>
        </w:rPr>
      </w:pPr>
      <w:r w:rsidRPr="00C47A4A">
        <w:rPr>
          <w:rFonts w:asciiTheme="minorHAnsi" w:hAnsiTheme="minorHAnsi" w:cstheme="minorHAnsi"/>
          <w:sz w:val="20"/>
          <w:szCs w:val="20"/>
        </w:rPr>
        <w:t>Iconic has identified the following key performance indicators which the Directors will use to measure success against the business plan:</w:t>
      </w:r>
    </w:p>
    <w:p w14:paraId="6C7E7F8D" w14:textId="77777777" w:rsidR="00C47A4A" w:rsidRPr="00C47A4A" w:rsidRDefault="00C47A4A" w:rsidP="00A92FFC">
      <w:pPr>
        <w:jc w:val="both"/>
        <w:rPr>
          <w:rFonts w:asciiTheme="minorHAnsi" w:hAnsiTheme="minorHAnsi" w:cstheme="minorHAnsi"/>
          <w:sz w:val="20"/>
          <w:szCs w:val="20"/>
        </w:rPr>
      </w:pPr>
    </w:p>
    <w:p w14:paraId="28B9EAA9" w14:textId="77777777" w:rsidR="00A92FFC" w:rsidRPr="00C47A4A" w:rsidRDefault="00A92FFC" w:rsidP="00B2796D">
      <w:pPr>
        <w:pStyle w:val="ListParagraph"/>
        <w:numPr>
          <w:ilvl w:val="0"/>
          <w:numId w:val="14"/>
        </w:numPr>
        <w:jc w:val="both"/>
        <w:rPr>
          <w:rFonts w:asciiTheme="minorHAnsi" w:hAnsiTheme="minorHAnsi" w:cstheme="minorHAnsi"/>
          <w:sz w:val="20"/>
          <w:szCs w:val="20"/>
        </w:rPr>
      </w:pPr>
      <w:r w:rsidRPr="00C47A4A">
        <w:rPr>
          <w:rFonts w:asciiTheme="minorHAnsi" w:hAnsiTheme="minorHAnsi" w:cstheme="minorHAnsi"/>
          <w:sz w:val="20"/>
          <w:szCs w:val="20"/>
        </w:rPr>
        <w:t>Gross revenue growth</w:t>
      </w:r>
    </w:p>
    <w:p w14:paraId="7F6C2809" w14:textId="77777777" w:rsidR="00A92FFC" w:rsidRPr="00C47A4A" w:rsidRDefault="00A92FFC" w:rsidP="00B2796D">
      <w:pPr>
        <w:pStyle w:val="ListParagraph"/>
        <w:numPr>
          <w:ilvl w:val="0"/>
          <w:numId w:val="14"/>
        </w:numPr>
        <w:jc w:val="both"/>
        <w:rPr>
          <w:rFonts w:asciiTheme="minorHAnsi" w:hAnsiTheme="minorHAnsi" w:cstheme="minorHAnsi"/>
          <w:sz w:val="20"/>
          <w:szCs w:val="20"/>
        </w:rPr>
      </w:pPr>
      <w:r w:rsidRPr="00C47A4A">
        <w:rPr>
          <w:rFonts w:asciiTheme="minorHAnsi" w:hAnsiTheme="minorHAnsi" w:cstheme="minorHAnsi"/>
          <w:sz w:val="20"/>
          <w:szCs w:val="20"/>
        </w:rPr>
        <w:t>EBITDA growth</w:t>
      </w:r>
    </w:p>
    <w:p w14:paraId="7348EEE2" w14:textId="77777777" w:rsidR="00A92FFC" w:rsidRPr="00C47A4A" w:rsidRDefault="00A92FFC" w:rsidP="00B2796D">
      <w:pPr>
        <w:pStyle w:val="ListParagraph"/>
        <w:numPr>
          <w:ilvl w:val="0"/>
          <w:numId w:val="14"/>
        </w:numPr>
        <w:jc w:val="both"/>
        <w:rPr>
          <w:rFonts w:asciiTheme="minorHAnsi" w:hAnsiTheme="minorHAnsi" w:cstheme="minorHAnsi"/>
          <w:sz w:val="20"/>
          <w:szCs w:val="20"/>
        </w:rPr>
      </w:pPr>
      <w:r w:rsidRPr="00C47A4A">
        <w:rPr>
          <w:rFonts w:asciiTheme="minorHAnsi" w:hAnsiTheme="minorHAnsi" w:cstheme="minorHAnsi"/>
          <w:sz w:val="20"/>
          <w:szCs w:val="20"/>
        </w:rPr>
        <w:t xml:space="preserve">Market value </w:t>
      </w:r>
    </w:p>
    <w:p w14:paraId="500139A1" w14:textId="77777777" w:rsidR="00A92FFC" w:rsidRPr="00C47A4A" w:rsidRDefault="00A92FFC" w:rsidP="00A92FFC">
      <w:pPr>
        <w:pStyle w:val="ListParagraph"/>
        <w:jc w:val="both"/>
        <w:rPr>
          <w:rFonts w:asciiTheme="minorHAnsi" w:hAnsiTheme="minorHAnsi" w:cstheme="minorHAnsi"/>
          <w:sz w:val="20"/>
          <w:szCs w:val="20"/>
        </w:rPr>
      </w:pPr>
    </w:p>
    <w:p w14:paraId="5A0CB41F" w14:textId="77777777" w:rsidR="00A92FFC" w:rsidRPr="00C47A4A" w:rsidRDefault="00A92FFC" w:rsidP="00A92FFC">
      <w:pPr>
        <w:jc w:val="both"/>
        <w:rPr>
          <w:rFonts w:asciiTheme="minorHAnsi" w:hAnsiTheme="minorHAnsi" w:cstheme="minorHAnsi"/>
          <w:b/>
          <w:smallCaps/>
          <w:sz w:val="20"/>
          <w:szCs w:val="20"/>
          <w:u w:val="single"/>
        </w:rPr>
      </w:pPr>
      <w:r w:rsidRPr="00C47A4A">
        <w:rPr>
          <w:rFonts w:asciiTheme="minorHAnsi" w:hAnsiTheme="minorHAnsi" w:cstheme="minorHAnsi"/>
          <w:b/>
          <w:smallCaps/>
          <w:sz w:val="20"/>
          <w:szCs w:val="20"/>
          <w:u w:val="single"/>
        </w:rPr>
        <w:t>Future Development and Strategy</w:t>
      </w:r>
    </w:p>
    <w:p w14:paraId="3466F2E9" w14:textId="77777777" w:rsidR="00A92FFC" w:rsidRPr="00C47A4A" w:rsidRDefault="00A92FFC" w:rsidP="00A92FFC">
      <w:pPr>
        <w:jc w:val="both"/>
        <w:rPr>
          <w:rFonts w:asciiTheme="minorHAnsi" w:hAnsiTheme="minorHAnsi" w:cstheme="minorHAnsi"/>
          <w:b/>
          <w:smallCaps/>
          <w:sz w:val="20"/>
          <w:szCs w:val="20"/>
          <w:u w:val="single"/>
        </w:rPr>
      </w:pPr>
    </w:p>
    <w:p w14:paraId="6C81B2D4" w14:textId="77777777" w:rsidR="00A92FFC" w:rsidRPr="00C47A4A" w:rsidRDefault="00A92FFC" w:rsidP="00A92FFC">
      <w:pPr>
        <w:jc w:val="both"/>
        <w:rPr>
          <w:rFonts w:asciiTheme="minorHAnsi" w:hAnsiTheme="minorHAnsi" w:cstheme="minorHAnsi"/>
          <w:b/>
          <w:sz w:val="20"/>
          <w:szCs w:val="20"/>
        </w:rPr>
      </w:pPr>
      <w:r w:rsidRPr="00C47A4A">
        <w:rPr>
          <w:rFonts w:asciiTheme="minorHAnsi" w:hAnsiTheme="minorHAnsi" w:cstheme="minorHAnsi"/>
          <w:b/>
          <w:sz w:val="20"/>
          <w:szCs w:val="20"/>
        </w:rPr>
        <w:t>Market Trends</w:t>
      </w:r>
    </w:p>
    <w:p w14:paraId="46B65538" w14:textId="77777777" w:rsidR="00A92FFC" w:rsidRPr="00C47A4A" w:rsidRDefault="00A92FFC" w:rsidP="00A92FFC">
      <w:pPr>
        <w:jc w:val="both"/>
        <w:rPr>
          <w:rFonts w:asciiTheme="minorHAnsi" w:hAnsiTheme="minorHAnsi" w:cstheme="minorHAnsi"/>
          <w:color w:val="000000"/>
          <w:sz w:val="20"/>
          <w:szCs w:val="20"/>
        </w:rPr>
      </w:pPr>
    </w:p>
    <w:p w14:paraId="5BF015E4" w14:textId="77777777" w:rsidR="00A92FFC" w:rsidRPr="00C47A4A" w:rsidRDefault="00A92FFC" w:rsidP="00A92FFC">
      <w:pPr>
        <w:jc w:val="both"/>
        <w:rPr>
          <w:rFonts w:asciiTheme="minorHAnsi" w:hAnsiTheme="minorHAnsi" w:cstheme="minorHAnsi"/>
          <w:color w:val="000000"/>
          <w:sz w:val="20"/>
          <w:szCs w:val="20"/>
        </w:rPr>
      </w:pPr>
      <w:r w:rsidRPr="00C47A4A">
        <w:rPr>
          <w:rFonts w:asciiTheme="minorHAnsi" w:hAnsiTheme="minorHAnsi" w:cstheme="minorHAnsi"/>
          <w:color w:val="000000"/>
          <w:sz w:val="20"/>
          <w:szCs w:val="20"/>
        </w:rPr>
        <w:t xml:space="preserve">The Directors closely follow the trends and developments in the online media and publishing, technology, artificial intelligence, and big data gathering, processing, and analytics sectors. We see the shift continuing towards leaner online companies that can scale rapidly, operate internationally with an inexpensive footprint, and provide a broad array of services across various sectors through the effective use of information and video gathering, data mining, just in time processing, and online collaboration technology. </w:t>
      </w:r>
    </w:p>
    <w:p w14:paraId="2484AFC9" w14:textId="77777777" w:rsidR="00A92FFC" w:rsidRPr="00C47A4A" w:rsidRDefault="00A92FFC" w:rsidP="00A92FFC">
      <w:pPr>
        <w:jc w:val="both"/>
        <w:rPr>
          <w:rFonts w:asciiTheme="minorHAnsi" w:hAnsiTheme="minorHAnsi" w:cstheme="minorHAnsi"/>
          <w:color w:val="000000"/>
          <w:sz w:val="20"/>
          <w:szCs w:val="20"/>
        </w:rPr>
      </w:pPr>
    </w:p>
    <w:p w14:paraId="11587156" w14:textId="77777777" w:rsidR="00A92FFC" w:rsidRPr="00C47A4A" w:rsidRDefault="00A92FFC" w:rsidP="00A92FFC">
      <w:pPr>
        <w:jc w:val="both"/>
        <w:rPr>
          <w:rFonts w:asciiTheme="minorHAnsi" w:hAnsiTheme="minorHAnsi" w:cstheme="minorHAnsi"/>
          <w:color w:val="000000"/>
          <w:sz w:val="20"/>
          <w:szCs w:val="20"/>
        </w:rPr>
      </w:pPr>
      <w:r w:rsidRPr="00C47A4A">
        <w:rPr>
          <w:rFonts w:asciiTheme="minorHAnsi" w:hAnsiTheme="minorHAnsi" w:cstheme="minorHAnsi"/>
          <w:color w:val="000000"/>
          <w:sz w:val="20"/>
          <w:szCs w:val="20"/>
        </w:rPr>
        <w:t xml:space="preserve">While the administration paused Iconic’s ability to conduct transactions in these sectors, the Directors nevertheless continued to follow these market trends and are well positioned now that Iconic has exited administration to take advantage of opportunities in these areas. </w:t>
      </w:r>
    </w:p>
    <w:p w14:paraId="0900B661" w14:textId="77777777" w:rsidR="00A92FFC" w:rsidRPr="00C47A4A" w:rsidRDefault="00A92FFC" w:rsidP="00A92FFC">
      <w:pPr>
        <w:jc w:val="both"/>
        <w:rPr>
          <w:rFonts w:asciiTheme="minorHAnsi" w:hAnsiTheme="minorHAnsi" w:cstheme="minorHAnsi"/>
          <w:color w:val="000000"/>
          <w:sz w:val="20"/>
          <w:szCs w:val="20"/>
        </w:rPr>
      </w:pPr>
    </w:p>
    <w:p w14:paraId="7B615B4F" w14:textId="77777777" w:rsidR="00A92FFC" w:rsidRPr="00C47A4A" w:rsidRDefault="00A92FFC" w:rsidP="00A92FFC">
      <w:pPr>
        <w:tabs>
          <w:tab w:val="left" w:pos="8080"/>
        </w:tabs>
        <w:rPr>
          <w:rFonts w:asciiTheme="minorHAnsi" w:hAnsiTheme="minorHAnsi" w:cstheme="minorHAnsi"/>
          <w:b/>
          <w:bCs/>
          <w:color w:val="222222"/>
          <w:sz w:val="20"/>
          <w:szCs w:val="20"/>
        </w:rPr>
      </w:pPr>
      <w:r w:rsidRPr="00C47A4A">
        <w:rPr>
          <w:rFonts w:asciiTheme="minorHAnsi" w:hAnsiTheme="minorHAnsi" w:cstheme="minorHAnsi"/>
          <w:b/>
          <w:bCs/>
          <w:color w:val="222222"/>
          <w:sz w:val="20"/>
          <w:szCs w:val="20"/>
        </w:rPr>
        <w:t>Company Strategy</w:t>
      </w:r>
    </w:p>
    <w:p w14:paraId="60F8EF1E" w14:textId="77777777" w:rsidR="00A92FFC" w:rsidRPr="00C47A4A" w:rsidRDefault="00A92FFC" w:rsidP="00A92FFC">
      <w:pPr>
        <w:tabs>
          <w:tab w:val="left" w:pos="8080"/>
        </w:tabs>
        <w:rPr>
          <w:rFonts w:asciiTheme="minorHAnsi" w:hAnsiTheme="minorHAnsi" w:cstheme="minorHAnsi"/>
          <w:b/>
          <w:bCs/>
          <w:color w:val="222222"/>
          <w:sz w:val="20"/>
          <w:szCs w:val="20"/>
        </w:rPr>
      </w:pPr>
    </w:p>
    <w:p w14:paraId="48FA30D5" w14:textId="08BABA4F" w:rsidR="00A92FFC" w:rsidRDefault="00A92FFC" w:rsidP="00A92FFC">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 xml:space="preserve">The Directors have identified numerous players in the sectors of interest, many of which have technological or operational advantages, but are unable to grow and scale rapidly or internationally for various reasons including the fragmented, localized, and isolated nature of their business models. We believe there is a significant opportunity to support, acquire, and integrate these companies into Iconic given the Directors’ international capabilities and strategic growth expertise.    </w:t>
      </w:r>
    </w:p>
    <w:p w14:paraId="022ADAEC" w14:textId="1AB11D50" w:rsidR="006E4D5A" w:rsidRDefault="006E4D5A" w:rsidP="00A92FFC">
      <w:pPr>
        <w:tabs>
          <w:tab w:val="left" w:pos="8080"/>
        </w:tabs>
        <w:jc w:val="both"/>
        <w:rPr>
          <w:rFonts w:asciiTheme="minorHAnsi" w:hAnsiTheme="minorHAnsi" w:cstheme="minorHAnsi"/>
          <w:color w:val="222222"/>
          <w:sz w:val="20"/>
          <w:szCs w:val="20"/>
        </w:rPr>
      </w:pPr>
    </w:p>
    <w:p w14:paraId="17BE35F2" w14:textId="77283B02" w:rsidR="00480BE9" w:rsidRDefault="00480BE9" w:rsidP="00A92FFC">
      <w:pPr>
        <w:tabs>
          <w:tab w:val="left" w:pos="8080"/>
        </w:tabs>
        <w:jc w:val="both"/>
        <w:rPr>
          <w:rFonts w:asciiTheme="minorHAnsi" w:hAnsiTheme="minorHAnsi" w:cstheme="minorHAnsi"/>
          <w:color w:val="222222"/>
          <w:sz w:val="20"/>
          <w:szCs w:val="20"/>
        </w:rPr>
      </w:pPr>
    </w:p>
    <w:p w14:paraId="5D6CC179" w14:textId="77777777" w:rsidR="00480BE9" w:rsidRPr="00C47A4A" w:rsidRDefault="00480BE9" w:rsidP="00A92FFC">
      <w:pPr>
        <w:tabs>
          <w:tab w:val="left" w:pos="8080"/>
        </w:tabs>
        <w:jc w:val="both"/>
        <w:rPr>
          <w:rFonts w:asciiTheme="minorHAnsi" w:hAnsiTheme="minorHAnsi" w:cstheme="minorHAnsi"/>
          <w:color w:val="222222"/>
          <w:sz w:val="20"/>
          <w:szCs w:val="20"/>
        </w:rPr>
      </w:pPr>
    </w:p>
    <w:p w14:paraId="72428DD5" w14:textId="77777777" w:rsidR="00A92FFC" w:rsidRPr="00C47A4A" w:rsidRDefault="00A92FFC" w:rsidP="00A92FFC">
      <w:pPr>
        <w:tabs>
          <w:tab w:val="left" w:pos="8080"/>
        </w:tabs>
        <w:jc w:val="both"/>
        <w:rPr>
          <w:rFonts w:asciiTheme="minorHAnsi" w:hAnsiTheme="minorHAnsi" w:cstheme="minorHAnsi"/>
          <w:b/>
          <w:color w:val="222222"/>
          <w:sz w:val="20"/>
          <w:szCs w:val="20"/>
        </w:rPr>
      </w:pPr>
      <w:r w:rsidRPr="00C47A4A">
        <w:rPr>
          <w:rFonts w:asciiTheme="minorHAnsi" w:hAnsiTheme="minorHAnsi" w:cstheme="minorHAnsi"/>
          <w:b/>
          <w:color w:val="222222"/>
          <w:sz w:val="20"/>
          <w:szCs w:val="20"/>
        </w:rPr>
        <w:lastRenderedPageBreak/>
        <w:t>Going concern</w:t>
      </w:r>
    </w:p>
    <w:p w14:paraId="7E480C14" w14:textId="77777777" w:rsidR="00A92FFC" w:rsidRPr="00C47A4A" w:rsidRDefault="00A92FFC" w:rsidP="00A92FFC">
      <w:pPr>
        <w:tabs>
          <w:tab w:val="left" w:pos="8080"/>
        </w:tabs>
        <w:jc w:val="both"/>
        <w:rPr>
          <w:rFonts w:asciiTheme="minorHAnsi" w:hAnsiTheme="minorHAnsi" w:cstheme="minorHAnsi"/>
          <w:b/>
          <w:color w:val="222222"/>
          <w:sz w:val="20"/>
          <w:szCs w:val="20"/>
        </w:rPr>
      </w:pPr>
    </w:p>
    <w:p w14:paraId="2D044417" w14:textId="77777777" w:rsidR="00A92FFC" w:rsidRPr="00C47A4A" w:rsidRDefault="00A92FFC" w:rsidP="00A92FFC">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The Board’s assessment of going concern and the key considerations thereto, are set out in our Corporate Governance Report.</w:t>
      </w:r>
    </w:p>
    <w:p w14:paraId="0AF5247F" w14:textId="77777777" w:rsidR="006E5247" w:rsidRPr="00C47A4A" w:rsidRDefault="006E5247" w:rsidP="004A5F5D">
      <w:pPr>
        <w:tabs>
          <w:tab w:val="left" w:pos="8080"/>
        </w:tabs>
        <w:jc w:val="both"/>
        <w:rPr>
          <w:rFonts w:asciiTheme="minorHAnsi" w:hAnsiTheme="minorHAnsi" w:cstheme="minorHAnsi"/>
          <w:b/>
          <w:color w:val="222222"/>
          <w:sz w:val="20"/>
          <w:szCs w:val="20"/>
        </w:rPr>
      </w:pPr>
    </w:p>
    <w:p w14:paraId="49CD910D" w14:textId="0F045D94" w:rsidR="004A5F5D" w:rsidRPr="00C47A4A" w:rsidRDefault="004A5F5D" w:rsidP="004A5F5D">
      <w:pPr>
        <w:tabs>
          <w:tab w:val="left" w:pos="8080"/>
        </w:tabs>
        <w:jc w:val="both"/>
        <w:rPr>
          <w:rFonts w:asciiTheme="minorHAnsi" w:hAnsiTheme="minorHAnsi" w:cstheme="minorHAnsi"/>
          <w:b/>
          <w:color w:val="222222"/>
          <w:sz w:val="20"/>
          <w:szCs w:val="20"/>
        </w:rPr>
      </w:pPr>
      <w:r w:rsidRPr="00C47A4A">
        <w:rPr>
          <w:rFonts w:asciiTheme="minorHAnsi" w:hAnsiTheme="minorHAnsi" w:cstheme="minorHAnsi"/>
          <w:b/>
          <w:color w:val="222222"/>
          <w:sz w:val="20"/>
          <w:szCs w:val="20"/>
        </w:rPr>
        <w:t>Capital Structure</w:t>
      </w:r>
    </w:p>
    <w:p w14:paraId="6E4288B2" w14:textId="77777777" w:rsidR="004A5F5D" w:rsidRPr="00C47A4A" w:rsidRDefault="004A5F5D" w:rsidP="004A5F5D">
      <w:pPr>
        <w:tabs>
          <w:tab w:val="left" w:pos="8080"/>
        </w:tabs>
        <w:jc w:val="both"/>
        <w:rPr>
          <w:rFonts w:asciiTheme="minorHAnsi" w:hAnsiTheme="minorHAnsi" w:cstheme="minorHAnsi"/>
          <w:b/>
          <w:color w:val="222222"/>
          <w:sz w:val="20"/>
          <w:szCs w:val="20"/>
        </w:rPr>
      </w:pPr>
    </w:p>
    <w:p w14:paraId="098300DD" w14:textId="50DC92B2" w:rsidR="004A5F5D" w:rsidRPr="00C47A4A" w:rsidRDefault="004A5F5D" w:rsidP="004A5F5D">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Details of the ordinary shares of the Company are shown in note 1</w:t>
      </w:r>
      <w:r w:rsidR="004A0A87">
        <w:rPr>
          <w:rFonts w:asciiTheme="minorHAnsi" w:hAnsiTheme="minorHAnsi" w:cstheme="minorHAnsi"/>
          <w:color w:val="222222"/>
          <w:sz w:val="20"/>
          <w:szCs w:val="20"/>
        </w:rPr>
        <w:t>3</w:t>
      </w:r>
      <w:r w:rsidRPr="00C47A4A">
        <w:rPr>
          <w:rFonts w:asciiTheme="minorHAnsi" w:hAnsiTheme="minorHAnsi" w:cstheme="minorHAnsi"/>
          <w:color w:val="222222"/>
          <w:sz w:val="20"/>
          <w:szCs w:val="20"/>
        </w:rPr>
        <w:t>. The Company has a class of ordinary shares with a nominal value of £0.00001 per share and a class of deferred shares of £0.00249 per share, both of which carry no fixed income. Each holder of ordinary shares is entitled to receive Iconic’s Annual Report and audited financial statements, to attend and speak or appoint proxies and to exercise voting rights at Iconic’s general meetings.</w:t>
      </w:r>
    </w:p>
    <w:p w14:paraId="01C4DCDB" w14:textId="77777777" w:rsidR="004A5F5D" w:rsidRPr="00C47A4A" w:rsidRDefault="004A5F5D" w:rsidP="004A5F5D">
      <w:pPr>
        <w:tabs>
          <w:tab w:val="left" w:pos="8080"/>
        </w:tabs>
        <w:jc w:val="both"/>
        <w:rPr>
          <w:rFonts w:asciiTheme="minorHAnsi" w:hAnsiTheme="minorHAnsi" w:cstheme="minorHAnsi"/>
          <w:color w:val="222222"/>
          <w:sz w:val="20"/>
          <w:szCs w:val="20"/>
        </w:rPr>
      </w:pPr>
    </w:p>
    <w:p w14:paraId="7859645E" w14:textId="77777777" w:rsidR="004A5F5D" w:rsidRPr="00C47A4A" w:rsidRDefault="004A5F5D" w:rsidP="004A5F5D">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The Company’s Articles of Association (the “</w:t>
      </w:r>
      <w:r w:rsidRPr="00C47A4A">
        <w:rPr>
          <w:rFonts w:asciiTheme="minorHAnsi" w:hAnsiTheme="minorHAnsi" w:cstheme="minorHAnsi"/>
          <w:b/>
          <w:bCs/>
          <w:i/>
          <w:iCs/>
          <w:color w:val="222222"/>
          <w:sz w:val="20"/>
          <w:szCs w:val="20"/>
        </w:rPr>
        <w:t>Articles</w:t>
      </w:r>
      <w:r w:rsidRPr="00C47A4A">
        <w:rPr>
          <w:rFonts w:asciiTheme="minorHAnsi" w:hAnsiTheme="minorHAnsi" w:cstheme="minorHAnsi"/>
          <w:color w:val="222222"/>
          <w:sz w:val="20"/>
          <w:szCs w:val="20"/>
        </w:rPr>
        <w:t xml:space="preserve">”) do not have any specific restrictions on the transfer of shares or restrictions on voting rights, and there are no limitations on holding such shares. Other than the obligations contained in the Financing Facility with EHGOSF and the CVA, the Directors are not aware of any agreement between Iconic shareholders that may result in restrictions on the transfer of securities or on voting rights. </w:t>
      </w:r>
    </w:p>
    <w:p w14:paraId="186C6DCD" w14:textId="77777777" w:rsidR="004A5F5D" w:rsidRPr="00C47A4A" w:rsidRDefault="004A5F5D" w:rsidP="004A5F5D">
      <w:pPr>
        <w:tabs>
          <w:tab w:val="left" w:pos="8080"/>
        </w:tabs>
        <w:jc w:val="both"/>
        <w:rPr>
          <w:rFonts w:asciiTheme="minorHAnsi" w:hAnsiTheme="minorHAnsi" w:cstheme="minorHAnsi"/>
          <w:color w:val="222222"/>
          <w:sz w:val="20"/>
          <w:szCs w:val="20"/>
        </w:rPr>
      </w:pPr>
    </w:p>
    <w:p w14:paraId="12BD216D" w14:textId="77777777" w:rsidR="004A5F5D" w:rsidRPr="00C47A4A" w:rsidRDefault="004A5F5D" w:rsidP="004A5F5D">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No person has any special rights of control over Iconic’s share capital and all issued shares are fully paid.</w:t>
      </w:r>
    </w:p>
    <w:p w14:paraId="7CB7FECD" w14:textId="77777777" w:rsidR="004A5F5D" w:rsidRPr="00C47A4A" w:rsidRDefault="004A5F5D" w:rsidP="004A5F5D">
      <w:pPr>
        <w:tabs>
          <w:tab w:val="left" w:pos="8080"/>
        </w:tabs>
        <w:jc w:val="both"/>
        <w:rPr>
          <w:rFonts w:asciiTheme="minorHAnsi" w:hAnsiTheme="minorHAnsi" w:cstheme="minorHAnsi"/>
          <w:color w:val="222222"/>
          <w:sz w:val="20"/>
          <w:szCs w:val="20"/>
        </w:rPr>
      </w:pPr>
    </w:p>
    <w:p w14:paraId="39B7051F" w14:textId="135F2A0E" w:rsidR="004A5F5D" w:rsidRPr="00C47A4A" w:rsidRDefault="004A5F5D" w:rsidP="004A5F5D">
      <w:pPr>
        <w:tabs>
          <w:tab w:val="left" w:pos="8080"/>
        </w:tabs>
        <w:jc w:val="both"/>
        <w:rPr>
          <w:rFonts w:asciiTheme="minorHAnsi" w:hAnsiTheme="minorHAnsi" w:cstheme="minorHAnsi"/>
          <w:color w:val="222222"/>
          <w:sz w:val="20"/>
          <w:szCs w:val="20"/>
        </w:rPr>
      </w:pPr>
      <w:r w:rsidRPr="00C47A4A">
        <w:rPr>
          <w:rFonts w:asciiTheme="minorHAnsi" w:hAnsiTheme="minorHAnsi" w:cstheme="minorHAnsi"/>
          <w:color w:val="222222"/>
          <w:sz w:val="20"/>
          <w:szCs w:val="20"/>
        </w:rPr>
        <w:t>The appointment and replacement of Directors and the powers of the Directors are governed by the Articles, the Quoted Companies Alliance Corporate Governance Code, the Companies Act 2006 and related legislation. The powers of the Directors are described in the Corporate Governance Report on pages 12-1</w:t>
      </w:r>
      <w:r w:rsidR="00804FE4">
        <w:rPr>
          <w:rFonts w:asciiTheme="minorHAnsi" w:hAnsiTheme="minorHAnsi" w:cstheme="minorHAnsi"/>
          <w:color w:val="222222"/>
          <w:sz w:val="20"/>
          <w:szCs w:val="20"/>
        </w:rPr>
        <w:t>7</w:t>
      </w:r>
      <w:r w:rsidRPr="00C47A4A">
        <w:rPr>
          <w:rFonts w:asciiTheme="minorHAnsi" w:hAnsiTheme="minorHAnsi" w:cstheme="minorHAnsi"/>
          <w:color w:val="222222"/>
          <w:sz w:val="20"/>
          <w:szCs w:val="20"/>
        </w:rPr>
        <w:t>.</w:t>
      </w:r>
    </w:p>
    <w:p w14:paraId="3D4C3979" w14:textId="77777777" w:rsidR="004A5F5D" w:rsidRPr="00C47A4A" w:rsidRDefault="004A5F5D" w:rsidP="004A5F5D">
      <w:pPr>
        <w:tabs>
          <w:tab w:val="left" w:pos="8080"/>
        </w:tabs>
        <w:jc w:val="both"/>
        <w:rPr>
          <w:rFonts w:asciiTheme="minorHAnsi" w:hAnsiTheme="minorHAnsi" w:cstheme="minorHAnsi"/>
          <w:color w:val="222222"/>
          <w:sz w:val="20"/>
          <w:szCs w:val="20"/>
        </w:rPr>
      </w:pPr>
    </w:p>
    <w:p w14:paraId="3045AE2D" w14:textId="77777777" w:rsidR="004A5F5D" w:rsidRPr="00C47A4A" w:rsidRDefault="004A5F5D" w:rsidP="004A5F5D">
      <w:pPr>
        <w:jc w:val="both"/>
        <w:rPr>
          <w:rFonts w:asciiTheme="minorHAnsi" w:hAnsiTheme="minorHAnsi" w:cstheme="minorHAnsi"/>
          <w:b/>
          <w:bCs/>
          <w:sz w:val="20"/>
          <w:szCs w:val="20"/>
        </w:rPr>
      </w:pPr>
      <w:r w:rsidRPr="00C47A4A">
        <w:rPr>
          <w:rFonts w:asciiTheme="minorHAnsi" w:hAnsiTheme="minorHAnsi" w:cstheme="minorHAnsi"/>
          <w:b/>
          <w:bCs/>
          <w:sz w:val="20"/>
          <w:szCs w:val="20"/>
        </w:rPr>
        <w:t>Environmental Issues</w:t>
      </w:r>
    </w:p>
    <w:p w14:paraId="7C37B84E" w14:textId="77777777" w:rsidR="004A5F5D" w:rsidRPr="00C47A4A" w:rsidRDefault="004A5F5D" w:rsidP="004A5F5D">
      <w:pPr>
        <w:jc w:val="both"/>
        <w:rPr>
          <w:rFonts w:asciiTheme="minorHAnsi" w:hAnsiTheme="minorHAnsi" w:cstheme="minorHAnsi"/>
          <w:b/>
          <w:bCs/>
          <w:sz w:val="20"/>
          <w:szCs w:val="20"/>
        </w:rPr>
      </w:pPr>
    </w:p>
    <w:p w14:paraId="00A67EE0" w14:textId="77777777" w:rsidR="004A5F5D" w:rsidRPr="00C47A4A" w:rsidRDefault="004A5F5D" w:rsidP="004A5F5D">
      <w:pPr>
        <w:jc w:val="both"/>
        <w:rPr>
          <w:rFonts w:asciiTheme="minorHAnsi" w:hAnsiTheme="minorHAnsi" w:cstheme="minorHAnsi"/>
          <w:sz w:val="20"/>
          <w:szCs w:val="20"/>
        </w:rPr>
      </w:pPr>
      <w:r w:rsidRPr="00C47A4A">
        <w:rPr>
          <w:rFonts w:asciiTheme="minorHAnsi" w:hAnsiTheme="minorHAnsi" w:cstheme="minorHAnsi"/>
          <w:sz w:val="20"/>
          <w:szCs w:val="20"/>
        </w:rPr>
        <w:t xml:space="preserve">As far as the Directors are aware, Iconic’s business activities do not cause a direct and disproportionate adverse effect on the environment. </w:t>
      </w:r>
    </w:p>
    <w:p w14:paraId="0E5E18A4" w14:textId="77777777" w:rsidR="004A5F5D" w:rsidRPr="00C47A4A" w:rsidRDefault="004A5F5D" w:rsidP="004A5F5D">
      <w:pPr>
        <w:jc w:val="both"/>
        <w:rPr>
          <w:rFonts w:asciiTheme="minorHAnsi" w:hAnsiTheme="minorHAnsi" w:cstheme="minorHAnsi"/>
          <w:b/>
          <w:bCs/>
          <w:sz w:val="20"/>
          <w:szCs w:val="20"/>
        </w:rPr>
      </w:pPr>
    </w:p>
    <w:p w14:paraId="4AE40712" w14:textId="77777777" w:rsidR="004A5F5D" w:rsidRPr="00C47A4A" w:rsidRDefault="004A5F5D" w:rsidP="004A5F5D">
      <w:pPr>
        <w:jc w:val="both"/>
        <w:rPr>
          <w:rFonts w:asciiTheme="minorHAnsi" w:hAnsiTheme="minorHAnsi" w:cstheme="minorHAnsi"/>
          <w:b/>
          <w:bCs/>
          <w:sz w:val="20"/>
          <w:szCs w:val="20"/>
        </w:rPr>
      </w:pPr>
      <w:r w:rsidRPr="00C47A4A">
        <w:rPr>
          <w:rFonts w:asciiTheme="minorHAnsi" w:hAnsiTheme="minorHAnsi" w:cstheme="minorHAnsi"/>
          <w:b/>
          <w:bCs/>
          <w:sz w:val="20"/>
          <w:szCs w:val="20"/>
        </w:rPr>
        <w:t>Employee Matters</w:t>
      </w:r>
    </w:p>
    <w:p w14:paraId="28F02B6C" w14:textId="77777777" w:rsidR="004A5F5D" w:rsidRPr="00C47A4A" w:rsidRDefault="004A5F5D" w:rsidP="004A5F5D">
      <w:pPr>
        <w:jc w:val="both"/>
        <w:rPr>
          <w:rFonts w:asciiTheme="minorHAnsi" w:hAnsiTheme="minorHAnsi" w:cstheme="minorHAnsi"/>
          <w:b/>
          <w:bCs/>
          <w:sz w:val="20"/>
          <w:szCs w:val="20"/>
        </w:rPr>
      </w:pPr>
    </w:p>
    <w:p w14:paraId="20BEA35B" w14:textId="0B9E7026" w:rsidR="004A5F5D" w:rsidRPr="00C47A4A" w:rsidRDefault="004A5F5D" w:rsidP="004A5F5D">
      <w:pPr>
        <w:jc w:val="both"/>
        <w:rPr>
          <w:rFonts w:asciiTheme="minorHAnsi" w:hAnsiTheme="minorHAnsi" w:cstheme="minorHAnsi"/>
          <w:sz w:val="20"/>
          <w:szCs w:val="20"/>
        </w:rPr>
      </w:pPr>
      <w:r w:rsidRPr="00C47A4A">
        <w:rPr>
          <w:rFonts w:asciiTheme="minorHAnsi" w:hAnsiTheme="minorHAnsi" w:cstheme="minorHAnsi"/>
          <w:sz w:val="20"/>
          <w:szCs w:val="20"/>
        </w:rPr>
        <w:t>As of 30 June 202</w:t>
      </w:r>
      <w:r w:rsidR="00C47A4A">
        <w:rPr>
          <w:rFonts w:asciiTheme="minorHAnsi" w:hAnsiTheme="minorHAnsi" w:cstheme="minorHAnsi"/>
          <w:sz w:val="20"/>
          <w:szCs w:val="20"/>
        </w:rPr>
        <w:t>2</w:t>
      </w:r>
      <w:r w:rsidRPr="00C47A4A">
        <w:rPr>
          <w:rFonts w:asciiTheme="minorHAnsi" w:hAnsiTheme="minorHAnsi" w:cstheme="minorHAnsi"/>
          <w:sz w:val="20"/>
          <w:szCs w:val="20"/>
        </w:rPr>
        <w:t xml:space="preserve">, and continuing through the fourth quarter of 2022, Iconic does not have any employees and its management is being conducted primarily by Brad Taylor and David Štýbr who have worked with the Joint Administrators and creditors to restructure the company and exit administration, resolve all outstanding disputes, and get the trading suspension on Iconic’ shares lifted.  </w:t>
      </w:r>
    </w:p>
    <w:p w14:paraId="4C8D9AB9" w14:textId="77777777" w:rsidR="004A5F5D" w:rsidRPr="00C47A4A" w:rsidRDefault="004A5F5D" w:rsidP="004A5F5D">
      <w:pPr>
        <w:jc w:val="both"/>
        <w:rPr>
          <w:rFonts w:asciiTheme="minorHAnsi" w:hAnsiTheme="minorHAnsi" w:cstheme="minorHAnsi"/>
          <w:b/>
          <w:bCs/>
          <w:sz w:val="20"/>
          <w:szCs w:val="20"/>
        </w:rPr>
      </w:pPr>
    </w:p>
    <w:p w14:paraId="6F757BAD" w14:textId="77777777" w:rsidR="004A5F5D" w:rsidRPr="00C47A4A" w:rsidRDefault="004A5F5D" w:rsidP="004A5F5D">
      <w:pPr>
        <w:jc w:val="both"/>
        <w:rPr>
          <w:rFonts w:asciiTheme="minorHAnsi" w:hAnsiTheme="minorHAnsi" w:cstheme="minorHAnsi"/>
          <w:b/>
          <w:iCs/>
          <w:sz w:val="20"/>
          <w:szCs w:val="20"/>
        </w:rPr>
      </w:pPr>
      <w:r w:rsidRPr="00C47A4A">
        <w:rPr>
          <w:rFonts w:asciiTheme="minorHAnsi" w:hAnsiTheme="minorHAnsi" w:cstheme="minorHAnsi"/>
          <w:b/>
          <w:iCs/>
          <w:sz w:val="20"/>
          <w:szCs w:val="20"/>
        </w:rPr>
        <w:t>Social, community and human rights issues</w:t>
      </w:r>
    </w:p>
    <w:p w14:paraId="09169F33" w14:textId="77777777" w:rsidR="004A5F5D" w:rsidRPr="00C47A4A" w:rsidRDefault="004A5F5D" w:rsidP="004A5F5D">
      <w:pPr>
        <w:jc w:val="both"/>
        <w:rPr>
          <w:rFonts w:asciiTheme="minorHAnsi" w:hAnsiTheme="minorHAnsi" w:cstheme="minorHAnsi"/>
          <w:b/>
          <w:iCs/>
          <w:sz w:val="20"/>
          <w:szCs w:val="20"/>
        </w:rPr>
      </w:pPr>
    </w:p>
    <w:p w14:paraId="43E62B0A" w14:textId="77777777" w:rsidR="004A5F5D" w:rsidRPr="00C47A4A" w:rsidRDefault="004A5F5D" w:rsidP="004A5F5D">
      <w:pPr>
        <w:jc w:val="both"/>
        <w:rPr>
          <w:rFonts w:asciiTheme="minorHAnsi" w:hAnsiTheme="minorHAnsi" w:cstheme="minorHAnsi"/>
          <w:sz w:val="20"/>
          <w:szCs w:val="20"/>
        </w:rPr>
      </w:pPr>
      <w:r w:rsidRPr="00C47A4A">
        <w:rPr>
          <w:rFonts w:asciiTheme="minorHAnsi" w:hAnsiTheme="minorHAnsi" w:cstheme="minorHAnsi"/>
          <w:sz w:val="20"/>
          <w:szCs w:val="20"/>
        </w:rPr>
        <w:t>Iconic seeks to achieve the highest ethical standards and behaviours in conducting its business, with integrity, openness, diversity and inclusiveness being a priority.</w:t>
      </w:r>
    </w:p>
    <w:p w14:paraId="700DEB5B" w14:textId="77777777" w:rsidR="004A5F5D" w:rsidRPr="00C47A4A" w:rsidRDefault="004A5F5D" w:rsidP="004A5F5D">
      <w:pPr>
        <w:jc w:val="both"/>
        <w:rPr>
          <w:rFonts w:asciiTheme="minorHAnsi" w:hAnsiTheme="minorHAnsi" w:cstheme="minorHAnsi"/>
          <w:sz w:val="20"/>
          <w:szCs w:val="20"/>
        </w:rPr>
      </w:pPr>
    </w:p>
    <w:p w14:paraId="610B0242" w14:textId="77777777" w:rsidR="004A5F5D" w:rsidRPr="00C47A4A" w:rsidRDefault="004A5F5D" w:rsidP="004A5F5D">
      <w:pPr>
        <w:jc w:val="both"/>
        <w:rPr>
          <w:rFonts w:asciiTheme="minorHAnsi" w:hAnsiTheme="minorHAnsi" w:cstheme="minorHAnsi"/>
          <w:sz w:val="20"/>
          <w:szCs w:val="20"/>
        </w:rPr>
      </w:pPr>
      <w:r w:rsidRPr="00C47A4A">
        <w:rPr>
          <w:rFonts w:asciiTheme="minorHAnsi" w:hAnsiTheme="minorHAnsi" w:cstheme="minorHAnsi"/>
          <w:sz w:val="20"/>
          <w:szCs w:val="20"/>
        </w:rPr>
        <w:t>We have adopted a formal equal opportunities policy which is contained in our employee handbook. The aim of the policy is to ensure no job applicant, employee or worker is discriminated against either directly or indirectly on the grounds of race, sex, disability, sexual orientation, gender reassignment; marriage or civil partnership; pregnancy or maternity; religion or belief or age.</w:t>
      </w:r>
    </w:p>
    <w:p w14:paraId="7E629615" w14:textId="77777777" w:rsidR="004A5F5D" w:rsidRPr="00C47A4A" w:rsidRDefault="004A5F5D" w:rsidP="004A5F5D">
      <w:pPr>
        <w:jc w:val="both"/>
        <w:rPr>
          <w:rFonts w:asciiTheme="minorHAnsi" w:hAnsiTheme="minorHAnsi" w:cstheme="minorHAnsi"/>
          <w:sz w:val="20"/>
          <w:szCs w:val="20"/>
        </w:rPr>
      </w:pPr>
    </w:p>
    <w:p w14:paraId="2724AA5A" w14:textId="77777777" w:rsidR="004A5F5D" w:rsidRPr="00C47A4A" w:rsidRDefault="004A5F5D" w:rsidP="004A5F5D">
      <w:pPr>
        <w:jc w:val="both"/>
        <w:rPr>
          <w:rFonts w:asciiTheme="minorHAnsi" w:hAnsiTheme="minorHAnsi" w:cstheme="minorHAnsi"/>
          <w:b/>
          <w:bCs/>
          <w:sz w:val="20"/>
          <w:szCs w:val="20"/>
        </w:rPr>
      </w:pPr>
      <w:r w:rsidRPr="00C47A4A">
        <w:rPr>
          <w:rFonts w:asciiTheme="minorHAnsi" w:hAnsiTheme="minorHAnsi" w:cstheme="minorHAnsi"/>
          <w:b/>
          <w:bCs/>
          <w:sz w:val="20"/>
          <w:szCs w:val="20"/>
        </w:rPr>
        <w:t>SECTION 172 STATEMENT</w:t>
      </w:r>
    </w:p>
    <w:p w14:paraId="44A808F3" w14:textId="77777777" w:rsidR="004A5F5D" w:rsidRPr="00C47A4A" w:rsidRDefault="004A5F5D" w:rsidP="004A5F5D">
      <w:pPr>
        <w:jc w:val="both"/>
        <w:rPr>
          <w:rFonts w:asciiTheme="minorHAnsi" w:hAnsiTheme="minorHAnsi" w:cstheme="minorHAnsi"/>
          <w:b/>
          <w:bCs/>
          <w:sz w:val="20"/>
          <w:szCs w:val="20"/>
        </w:rPr>
      </w:pPr>
    </w:p>
    <w:p w14:paraId="7D6C2C56" w14:textId="77777777" w:rsidR="004A5F5D" w:rsidRPr="00C47A4A" w:rsidRDefault="004A5F5D" w:rsidP="004A5F5D">
      <w:pPr>
        <w:jc w:val="both"/>
        <w:rPr>
          <w:rFonts w:asciiTheme="minorHAnsi" w:hAnsiTheme="minorHAnsi" w:cstheme="minorHAnsi"/>
          <w:sz w:val="20"/>
          <w:szCs w:val="20"/>
        </w:rPr>
      </w:pPr>
      <w:r w:rsidRPr="00C47A4A">
        <w:rPr>
          <w:rFonts w:asciiTheme="minorHAnsi" w:hAnsiTheme="minorHAnsi" w:cstheme="minorHAnsi"/>
          <w:sz w:val="20"/>
          <w:szCs w:val="20"/>
        </w:rPr>
        <w:t>Section 172 of the Companies Act 2006 requires directors to take into consideration the interests of stakeholders and other matters in their decision making. The Directors continue to have regard to the interests of Iconic’s personnel and other stakeholders, the impact of its activities on the community, the environment and its reputation for good business conduct, when making decisions. In this context, acting in good faith and fairly, the Directors consider what is most likely to promote the success of Iconic for its members in the long term. We explain in this annual report, and below, how the Board engages with stakeholders.</w:t>
      </w:r>
    </w:p>
    <w:p w14:paraId="39EDEC2F" w14:textId="77777777" w:rsidR="004A5F5D" w:rsidRPr="00C47A4A" w:rsidRDefault="004A5F5D" w:rsidP="004A5F5D">
      <w:pPr>
        <w:jc w:val="both"/>
        <w:rPr>
          <w:rFonts w:asciiTheme="minorHAnsi" w:hAnsiTheme="minorHAnsi" w:cstheme="minorHAnsi"/>
          <w:sz w:val="20"/>
          <w:szCs w:val="20"/>
        </w:rPr>
      </w:pPr>
      <w:r w:rsidRPr="00C47A4A">
        <w:rPr>
          <w:rFonts w:asciiTheme="minorHAnsi" w:hAnsiTheme="minorHAnsi" w:cstheme="minorHAnsi"/>
          <w:sz w:val="20"/>
          <w:szCs w:val="20"/>
        </w:rPr>
        <w:lastRenderedPageBreak/>
        <w:t xml:space="preserve"> </w:t>
      </w:r>
    </w:p>
    <w:p w14:paraId="778A942C" w14:textId="3C415D67" w:rsidR="004A5F5D" w:rsidRPr="00C47A4A" w:rsidRDefault="004A5F5D" w:rsidP="004A5F5D">
      <w:pPr>
        <w:jc w:val="both"/>
        <w:rPr>
          <w:rFonts w:asciiTheme="minorHAnsi" w:hAnsiTheme="minorHAnsi" w:cstheme="minorHAnsi"/>
          <w:sz w:val="20"/>
          <w:szCs w:val="20"/>
        </w:rPr>
      </w:pPr>
      <w:r w:rsidRPr="00C47A4A">
        <w:rPr>
          <w:rFonts w:asciiTheme="minorHAnsi" w:hAnsiTheme="minorHAnsi" w:cstheme="minorHAnsi"/>
          <w:sz w:val="20"/>
          <w:szCs w:val="20"/>
        </w:rPr>
        <w:t>Relations with key stakeholders such as employees, shareholders and suppliers are considered in more detail on page</w:t>
      </w:r>
      <w:r w:rsidR="004A0A87">
        <w:rPr>
          <w:rFonts w:asciiTheme="minorHAnsi" w:hAnsiTheme="minorHAnsi" w:cstheme="minorHAnsi"/>
          <w:sz w:val="20"/>
          <w:szCs w:val="20"/>
        </w:rPr>
        <w:t xml:space="preserve">s 12 to </w:t>
      </w:r>
      <w:r w:rsidRPr="00C47A4A">
        <w:rPr>
          <w:rFonts w:asciiTheme="minorHAnsi" w:hAnsiTheme="minorHAnsi" w:cstheme="minorHAnsi"/>
          <w:sz w:val="20"/>
          <w:szCs w:val="20"/>
        </w:rPr>
        <w:t>1</w:t>
      </w:r>
      <w:r w:rsidR="00804FE4">
        <w:rPr>
          <w:rFonts w:asciiTheme="minorHAnsi" w:hAnsiTheme="minorHAnsi" w:cstheme="minorHAnsi"/>
          <w:sz w:val="20"/>
          <w:szCs w:val="20"/>
        </w:rPr>
        <w:t>7</w:t>
      </w:r>
      <w:r w:rsidRPr="00C47A4A">
        <w:rPr>
          <w:rFonts w:asciiTheme="minorHAnsi" w:hAnsiTheme="minorHAnsi" w:cstheme="minorHAnsi"/>
          <w:sz w:val="20"/>
          <w:szCs w:val="20"/>
        </w:rPr>
        <w:t>.</w:t>
      </w:r>
    </w:p>
    <w:p w14:paraId="251AC500" w14:textId="77777777" w:rsidR="008A2E9F" w:rsidRPr="00C47A4A" w:rsidRDefault="008A2E9F" w:rsidP="00E80E35">
      <w:pPr>
        <w:jc w:val="both"/>
        <w:rPr>
          <w:rFonts w:asciiTheme="minorHAnsi" w:hAnsiTheme="minorHAnsi" w:cstheme="minorHAnsi"/>
          <w:sz w:val="20"/>
          <w:szCs w:val="20"/>
        </w:rPr>
      </w:pPr>
    </w:p>
    <w:p w14:paraId="2430D83F" w14:textId="463973C2" w:rsidR="00E80E35" w:rsidRPr="00C47A4A" w:rsidRDefault="00E80E35" w:rsidP="00E80E35">
      <w:pPr>
        <w:jc w:val="both"/>
        <w:rPr>
          <w:rFonts w:asciiTheme="minorHAnsi" w:hAnsiTheme="minorHAnsi" w:cstheme="minorHAnsi"/>
          <w:sz w:val="20"/>
          <w:szCs w:val="20"/>
        </w:rPr>
      </w:pPr>
      <w:r w:rsidRPr="00C47A4A">
        <w:rPr>
          <w:rFonts w:asciiTheme="minorHAnsi" w:hAnsiTheme="minorHAnsi" w:cstheme="minorHAnsi"/>
          <w:sz w:val="20"/>
          <w:szCs w:val="20"/>
        </w:rPr>
        <w:t>The Directors are aware of their responsibilities to promote the success of Iconic in accordance with section 172 of the Companies Act 2006. To ensure Iconic was operating in line with good corporate practice, all Directors received refresher training on the scope and application of section 172 in writing. This encouraged the Board to reflect on how Iconic engages with its stakeholders and opportunities for enhancement in the future.   A section 172 notice has been included with the Board papers since this date. As required, Iconic’s Company Secretary will provide support to the Board to help ensure that sufficient consideration is given to issues relating to the matters set out in s172(1)(a)-(f).</w:t>
      </w:r>
    </w:p>
    <w:p w14:paraId="00E4ABCD" w14:textId="77777777" w:rsidR="00E80E35" w:rsidRPr="00C47A4A" w:rsidRDefault="00E80E35" w:rsidP="00E80E35">
      <w:pPr>
        <w:jc w:val="both"/>
        <w:rPr>
          <w:rFonts w:asciiTheme="minorHAnsi" w:hAnsiTheme="minorHAnsi" w:cstheme="minorHAnsi"/>
          <w:sz w:val="20"/>
          <w:szCs w:val="20"/>
        </w:rPr>
      </w:pPr>
    </w:p>
    <w:p w14:paraId="5F9F92D0" w14:textId="5A28DA7E" w:rsidR="00E80E35" w:rsidRDefault="00E80E35" w:rsidP="00E80E35">
      <w:pPr>
        <w:jc w:val="both"/>
        <w:rPr>
          <w:rFonts w:asciiTheme="minorHAnsi" w:hAnsiTheme="minorHAnsi" w:cstheme="minorHAnsi"/>
          <w:sz w:val="20"/>
          <w:szCs w:val="20"/>
        </w:rPr>
      </w:pPr>
      <w:r w:rsidRPr="00C47A4A">
        <w:rPr>
          <w:rFonts w:asciiTheme="minorHAnsi" w:hAnsiTheme="minorHAnsi" w:cstheme="minorHAnsi"/>
          <w:sz w:val="20"/>
          <w:szCs w:val="20"/>
        </w:rPr>
        <w:t>The Board regularly reviews Iconic’s principal stakeholders and how It engages with them. This is achieved through information provided by management and by direct engagement with stakeholders themselves. We aim to work responsibly with our stakeholders, including suppliers. The Board has recently reviewed its anti-corruption and anti-bribery, equal opportunities and whistleblowing policies.</w:t>
      </w:r>
    </w:p>
    <w:p w14:paraId="6C52F015" w14:textId="77777777" w:rsidR="000348E3" w:rsidRPr="00C47A4A" w:rsidRDefault="000348E3" w:rsidP="00E80E35">
      <w:pPr>
        <w:jc w:val="both"/>
        <w:rPr>
          <w:rFonts w:asciiTheme="minorHAnsi" w:hAnsiTheme="minorHAnsi" w:cstheme="minorHAnsi"/>
          <w:sz w:val="20"/>
          <w:szCs w:val="20"/>
        </w:rPr>
      </w:pPr>
    </w:p>
    <w:p w14:paraId="07D03060" w14:textId="4498D81C" w:rsidR="00E80E35" w:rsidRDefault="00C47A4A" w:rsidP="000348E3">
      <w:pPr>
        <w:jc w:val="both"/>
        <w:rPr>
          <w:rFonts w:asciiTheme="minorHAnsi" w:hAnsiTheme="minorHAnsi" w:cstheme="minorHAnsi"/>
          <w:sz w:val="20"/>
          <w:szCs w:val="20"/>
        </w:rPr>
      </w:pPr>
      <w:r>
        <w:rPr>
          <w:rFonts w:asciiTheme="minorHAnsi" w:hAnsiTheme="minorHAnsi" w:cstheme="minorHAnsi"/>
          <w:sz w:val="20"/>
          <w:szCs w:val="20"/>
        </w:rPr>
        <w:t xml:space="preserve">Given that Iconic was still in administration from 1 July 2021 through 30 June 2022, Iconic did not have, and was not permitted to have, any Board meetings during this period.  </w:t>
      </w:r>
    </w:p>
    <w:p w14:paraId="52010EF1" w14:textId="58410F83" w:rsidR="000348E3" w:rsidRDefault="000348E3" w:rsidP="000348E3">
      <w:pPr>
        <w:jc w:val="both"/>
        <w:rPr>
          <w:rFonts w:asciiTheme="minorHAnsi" w:hAnsiTheme="minorHAnsi" w:cstheme="minorHAnsi"/>
          <w:b/>
          <w:bCs/>
          <w:i/>
          <w:iCs/>
          <w:sz w:val="20"/>
          <w:szCs w:val="20"/>
        </w:rPr>
      </w:pPr>
    </w:p>
    <w:p w14:paraId="52FCE6C9" w14:textId="4B2E90D3" w:rsidR="00480BE9" w:rsidRDefault="00480BE9" w:rsidP="000348E3">
      <w:pPr>
        <w:jc w:val="both"/>
        <w:rPr>
          <w:rFonts w:asciiTheme="minorHAnsi" w:hAnsiTheme="minorHAnsi" w:cstheme="minorHAnsi"/>
          <w:b/>
          <w:bCs/>
          <w:i/>
          <w:iCs/>
          <w:sz w:val="20"/>
          <w:szCs w:val="20"/>
        </w:rPr>
      </w:pPr>
    </w:p>
    <w:p w14:paraId="5476C664" w14:textId="6BA5DF10" w:rsidR="00480BE9" w:rsidRDefault="00480BE9" w:rsidP="000348E3">
      <w:pPr>
        <w:jc w:val="both"/>
        <w:rPr>
          <w:rFonts w:asciiTheme="minorHAnsi" w:hAnsiTheme="minorHAnsi" w:cstheme="minorHAnsi"/>
          <w:b/>
          <w:bCs/>
          <w:i/>
          <w:iCs/>
          <w:sz w:val="20"/>
          <w:szCs w:val="20"/>
        </w:rPr>
      </w:pPr>
    </w:p>
    <w:p w14:paraId="556B68DD" w14:textId="419B5B69" w:rsidR="00480BE9" w:rsidRDefault="00480BE9" w:rsidP="000348E3">
      <w:pPr>
        <w:jc w:val="both"/>
        <w:rPr>
          <w:rFonts w:asciiTheme="minorHAnsi" w:hAnsiTheme="minorHAnsi" w:cstheme="minorHAnsi"/>
          <w:b/>
          <w:bCs/>
          <w:i/>
          <w:iCs/>
          <w:sz w:val="20"/>
          <w:szCs w:val="20"/>
        </w:rPr>
      </w:pPr>
    </w:p>
    <w:p w14:paraId="4524011B" w14:textId="48A239BD" w:rsidR="00480BE9" w:rsidRDefault="00480BE9" w:rsidP="000348E3">
      <w:pPr>
        <w:jc w:val="both"/>
        <w:rPr>
          <w:rFonts w:asciiTheme="minorHAnsi" w:hAnsiTheme="minorHAnsi" w:cstheme="minorHAnsi"/>
          <w:b/>
          <w:bCs/>
          <w:i/>
          <w:iCs/>
          <w:sz w:val="20"/>
          <w:szCs w:val="20"/>
        </w:rPr>
      </w:pPr>
    </w:p>
    <w:p w14:paraId="0CD0486F" w14:textId="41335B7E" w:rsidR="00480BE9" w:rsidRDefault="00480BE9" w:rsidP="000348E3">
      <w:pPr>
        <w:jc w:val="both"/>
        <w:rPr>
          <w:rFonts w:asciiTheme="minorHAnsi" w:hAnsiTheme="minorHAnsi" w:cstheme="minorHAnsi"/>
          <w:b/>
          <w:bCs/>
          <w:i/>
          <w:iCs/>
          <w:sz w:val="20"/>
          <w:szCs w:val="20"/>
        </w:rPr>
      </w:pPr>
    </w:p>
    <w:p w14:paraId="59F44C3C" w14:textId="4B04BE6E" w:rsidR="00480BE9" w:rsidRPr="00C47A4A" w:rsidRDefault="00480BE9" w:rsidP="000348E3">
      <w:pPr>
        <w:jc w:val="both"/>
        <w:rPr>
          <w:rFonts w:asciiTheme="minorHAnsi" w:hAnsiTheme="minorHAnsi" w:cstheme="minorHAnsi"/>
          <w:b/>
          <w:bCs/>
          <w:i/>
          <w:iCs/>
          <w:sz w:val="20"/>
          <w:szCs w:val="20"/>
        </w:rPr>
      </w:pPr>
    </w:p>
    <w:p w14:paraId="55724BB7" w14:textId="1932B04D" w:rsidR="00C47A4A" w:rsidRPr="00C47A4A" w:rsidRDefault="00C47A4A" w:rsidP="00C35D79">
      <w:pPr>
        <w:spacing w:line="340" w:lineRule="exact"/>
        <w:jc w:val="both"/>
        <w:rPr>
          <w:rFonts w:asciiTheme="minorHAnsi" w:hAnsiTheme="minorHAnsi" w:cstheme="minorHAnsi"/>
          <w:b/>
          <w:bCs/>
          <w:sz w:val="20"/>
          <w:szCs w:val="20"/>
        </w:rPr>
      </w:pPr>
    </w:p>
    <w:p w14:paraId="7379A573" w14:textId="60A35ACE" w:rsidR="00C35D79" w:rsidRPr="00C47A4A" w:rsidRDefault="00C35D79" w:rsidP="00C47A4A">
      <w:pPr>
        <w:ind w:right="868"/>
        <w:jc w:val="both"/>
        <w:rPr>
          <w:rFonts w:asciiTheme="minorHAnsi" w:hAnsiTheme="minorHAnsi" w:cstheme="minorHAnsi"/>
          <w:b/>
          <w:bCs/>
          <w:sz w:val="20"/>
          <w:szCs w:val="20"/>
        </w:rPr>
      </w:pPr>
      <w:r w:rsidRPr="00C47A4A">
        <w:rPr>
          <w:rFonts w:asciiTheme="minorHAnsi" w:hAnsiTheme="minorHAnsi" w:cstheme="minorHAnsi"/>
          <w:b/>
          <w:bCs/>
          <w:sz w:val="20"/>
          <w:szCs w:val="20"/>
        </w:rPr>
        <w:t>Brad Taylor</w:t>
      </w:r>
    </w:p>
    <w:p w14:paraId="613A8278" w14:textId="43566D12" w:rsidR="00A13028" w:rsidRPr="00C47A4A" w:rsidRDefault="00A13028" w:rsidP="00C47A4A">
      <w:pPr>
        <w:ind w:right="868"/>
        <w:jc w:val="both"/>
        <w:rPr>
          <w:rFonts w:asciiTheme="minorHAnsi" w:hAnsiTheme="minorHAnsi" w:cstheme="minorHAnsi"/>
          <w:b/>
          <w:bCs/>
          <w:sz w:val="20"/>
          <w:szCs w:val="20"/>
        </w:rPr>
      </w:pPr>
      <w:r w:rsidRPr="00C47A4A">
        <w:rPr>
          <w:rFonts w:asciiTheme="minorHAnsi" w:hAnsiTheme="minorHAnsi" w:cstheme="minorHAnsi"/>
          <w:b/>
          <w:bCs/>
          <w:sz w:val="20"/>
          <w:szCs w:val="20"/>
        </w:rPr>
        <w:t>Director</w:t>
      </w:r>
    </w:p>
    <w:p w14:paraId="1CCD1827" w14:textId="0634254B" w:rsidR="00C35D79" w:rsidRPr="00C47A4A" w:rsidRDefault="00C35D79" w:rsidP="00C47A4A">
      <w:pPr>
        <w:jc w:val="both"/>
        <w:rPr>
          <w:rFonts w:asciiTheme="minorHAnsi" w:hAnsiTheme="minorHAnsi" w:cstheme="minorHAnsi"/>
          <w:iCs/>
          <w:color w:val="222222"/>
          <w:sz w:val="20"/>
          <w:szCs w:val="20"/>
        </w:rPr>
      </w:pPr>
      <w:r w:rsidRPr="00C47A4A">
        <w:rPr>
          <w:rFonts w:asciiTheme="minorHAnsi" w:hAnsiTheme="minorHAnsi" w:cstheme="minorHAnsi"/>
          <w:b/>
          <w:bCs/>
          <w:iCs/>
          <w:sz w:val="20"/>
          <w:szCs w:val="20"/>
        </w:rPr>
        <w:t>Date:</w:t>
      </w:r>
      <w:r w:rsidR="00480BE9">
        <w:rPr>
          <w:rFonts w:asciiTheme="minorHAnsi" w:hAnsiTheme="minorHAnsi" w:cstheme="minorHAnsi"/>
          <w:b/>
          <w:bCs/>
          <w:iCs/>
          <w:sz w:val="20"/>
          <w:szCs w:val="20"/>
        </w:rPr>
        <w:t xml:space="preserve">  27 </w:t>
      </w:r>
      <w:r w:rsidR="00C47A4A">
        <w:rPr>
          <w:rFonts w:asciiTheme="minorHAnsi" w:hAnsiTheme="minorHAnsi" w:cstheme="minorHAnsi"/>
          <w:b/>
          <w:bCs/>
          <w:iCs/>
          <w:sz w:val="20"/>
          <w:szCs w:val="20"/>
        </w:rPr>
        <w:t>December 2022</w:t>
      </w:r>
    </w:p>
    <w:p w14:paraId="5DA8AEC1" w14:textId="77777777" w:rsidR="00F5440E" w:rsidRPr="0012333C" w:rsidRDefault="00F5440E" w:rsidP="00FF32CD">
      <w:pPr>
        <w:rPr>
          <w:rFonts w:asciiTheme="minorHAnsi" w:hAnsiTheme="minorHAnsi" w:cstheme="minorHAnsi"/>
          <w:sz w:val="20"/>
          <w:szCs w:val="20"/>
          <w:highlight w:val="yellow"/>
          <w:lang w:val="en-US"/>
        </w:rPr>
        <w:sectPr w:rsidR="00F5440E" w:rsidRPr="0012333C" w:rsidSect="00717F28">
          <w:headerReference w:type="even" r:id="rId25"/>
          <w:headerReference w:type="default" r:id="rId26"/>
          <w:headerReference w:type="first" r:id="rId27"/>
          <w:type w:val="continuous"/>
          <w:pgSz w:w="11906" w:h="16838"/>
          <w:pgMar w:top="1440" w:right="1440" w:bottom="1440" w:left="1440" w:header="708" w:footer="708" w:gutter="0"/>
          <w:cols w:space="708"/>
          <w:docGrid w:linePitch="360"/>
        </w:sectPr>
      </w:pPr>
    </w:p>
    <w:p w14:paraId="1B51BE48" w14:textId="18373313" w:rsidR="00504CD0" w:rsidRPr="00C47A4A" w:rsidRDefault="00504CD0" w:rsidP="00504CD0">
      <w:pPr>
        <w:ind w:left="567"/>
        <w:jc w:val="both"/>
        <w:rPr>
          <w:rFonts w:asciiTheme="minorHAnsi" w:hAnsiTheme="minorHAnsi" w:cstheme="minorHAnsi"/>
          <w:sz w:val="20"/>
          <w:szCs w:val="20"/>
          <w:lang w:val="en-US"/>
        </w:rPr>
      </w:pPr>
      <w:r w:rsidRPr="00C47A4A">
        <w:rPr>
          <w:rFonts w:asciiTheme="minorHAnsi" w:hAnsiTheme="minorHAnsi" w:cstheme="minorHAnsi"/>
          <w:sz w:val="20"/>
          <w:szCs w:val="20"/>
          <w:lang w:val="en-US"/>
        </w:rPr>
        <w:lastRenderedPageBreak/>
        <w:t xml:space="preserve">As Chairman of the Company, it is my responsibility to work with my fellow Board members to ensure that the Company embraces the highest standards of corporate governance and to manage the Board in the best interests of our many stakeholders. The Board shares my belief that practicing solid corporate governance is essential for building a successful and sustainable business, and our commitment to good corporate governance has allowed us to build a healthy corporate culture throughout the </w:t>
      </w:r>
      <w:r w:rsidR="00D34EF5" w:rsidRPr="00C47A4A">
        <w:rPr>
          <w:rFonts w:asciiTheme="minorHAnsi" w:hAnsiTheme="minorHAnsi" w:cstheme="minorHAnsi"/>
          <w:sz w:val="20"/>
          <w:szCs w:val="20"/>
          <w:lang w:val="en-US"/>
        </w:rPr>
        <w:t>organization</w:t>
      </w:r>
      <w:r w:rsidRPr="00C47A4A">
        <w:rPr>
          <w:rFonts w:asciiTheme="minorHAnsi" w:hAnsiTheme="minorHAnsi" w:cstheme="minorHAnsi"/>
          <w:sz w:val="20"/>
          <w:szCs w:val="20"/>
          <w:lang w:val="en-US"/>
        </w:rPr>
        <w:t>.</w:t>
      </w:r>
    </w:p>
    <w:p w14:paraId="29FD9B03" w14:textId="77777777" w:rsidR="00504CD0" w:rsidRPr="00C47A4A" w:rsidRDefault="00504CD0" w:rsidP="00504CD0">
      <w:pPr>
        <w:ind w:left="567"/>
        <w:jc w:val="both"/>
        <w:rPr>
          <w:rFonts w:asciiTheme="minorHAnsi" w:hAnsiTheme="minorHAnsi" w:cstheme="minorHAnsi"/>
          <w:sz w:val="20"/>
          <w:szCs w:val="20"/>
          <w:lang w:val="en-US"/>
        </w:rPr>
      </w:pPr>
    </w:p>
    <w:p w14:paraId="0130872E" w14:textId="77777777" w:rsidR="00504CD0" w:rsidRPr="00C47A4A" w:rsidRDefault="00504CD0" w:rsidP="00504CD0">
      <w:pPr>
        <w:ind w:left="567"/>
        <w:jc w:val="both"/>
        <w:rPr>
          <w:rFonts w:asciiTheme="minorHAnsi" w:hAnsiTheme="minorHAnsi" w:cstheme="minorHAnsi"/>
          <w:sz w:val="20"/>
          <w:szCs w:val="20"/>
          <w:lang w:val="en-US"/>
        </w:rPr>
      </w:pPr>
      <w:r w:rsidRPr="00C47A4A">
        <w:rPr>
          <w:rFonts w:asciiTheme="minorHAnsi" w:hAnsiTheme="minorHAnsi" w:cstheme="minorHAnsi"/>
          <w:sz w:val="20"/>
          <w:szCs w:val="20"/>
          <w:lang w:val="en-US"/>
        </w:rPr>
        <w:t>The Company has adopted the Quoted Companies Alliance Corporate Governance Code (2018) (the “QCA Code”), which it believes to be the most appropriate governance code for Iconic. We report our compliance with the QCA Code in this Annual Report.</w:t>
      </w:r>
    </w:p>
    <w:p w14:paraId="3DBE8EF5" w14:textId="77777777" w:rsidR="00504CD0" w:rsidRPr="00C47A4A" w:rsidRDefault="00504CD0" w:rsidP="00504CD0">
      <w:pPr>
        <w:ind w:left="567"/>
        <w:jc w:val="both"/>
        <w:rPr>
          <w:rFonts w:asciiTheme="minorHAnsi" w:hAnsiTheme="minorHAnsi" w:cstheme="minorHAnsi"/>
          <w:sz w:val="20"/>
          <w:szCs w:val="20"/>
          <w:lang w:val="en-US"/>
        </w:rPr>
      </w:pPr>
    </w:p>
    <w:p w14:paraId="527F1D07" w14:textId="77777777" w:rsidR="00504CD0" w:rsidRPr="00C47A4A" w:rsidRDefault="00504CD0" w:rsidP="00504CD0">
      <w:pPr>
        <w:ind w:left="567"/>
        <w:jc w:val="both"/>
        <w:rPr>
          <w:rFonts w:asciiTheme="minorHAnsi" w:hAnsiTheme="minorHAnsi" w:cstheme="minorHAnsi"/>
          <w:sz w:val="20"/>
          <w:szCs w:val="20"/>
          <w:lang w:val="en-US"/>
        </w:rPr>
      </w:pPr>
      <w:r w:rsidRPr="00C47A4A">
        <w:rPr>
          <w:rFonts w:asciiTheme="minorHAnsi" w:hAnsiTheme="minorHAnsi" w:cstheme="minorHAnsi"/>
          <w:sz w:val="20"/>
          <w:szCs w:val="20"/>
          <w:lang w:val="en-US"/>
        </w:rPr>
        <w:t>The Directors closely follow the trends and developments in the online media and publishing, technology, artificial intelligence, and big data gathering, processing, and analytics sectors. Iconic has a corporate strategy to identify and develop leaner online companies that can scale rapidly, operate internationally with an inexpensive footprint, and provide a broad array of services across various sectors through the effective use of information and video gathering, data mining, just in time processing, and online collaboration technology.  Iconic delivers its business strategy with tightly controlled overheads, supplementing its financial resources through corporate transactions, JVs and partnerships as well as trading and disposals or exchanges of non-core assets.</w:t>
      </w:r>
    </w:p>
    <w:p w14:paraId="71897A8B" w14:textId="77777777" w:rsidR="00504CD0" w:rsidRPr="00C47A4A" w:rsidRDefault="00504CD0" w:rsidP="00504CD0">
      <w:pPr>
        <w:ind w:left="567"/>
        <w:jc w:val="both"/>
        <w:rPr>
          <w:rFonts w:asciiTheme="minorHAnsi" w:hAnsiTheme="minorHAnsi" w:cstheme="minorHAnsi"/>
          <w:sz w:val="20"/>
          <w:szCs w:val="20"/>
          <w:lang w:val="en-US"/>
        </w:rPr>
      </w:pPr>
    </w:p>
    <w:p w14:paraId="422F2101" w14:textId="77777777" w:rsidR="00504CD0" w:rsidRPr="00C47A4A" w:rsidRDefault="00504CD0" w:rsidP="00504CD0">
      <w:pPr>
        <w:ind w:left="567"/>
        <w:jc w:val="both"/>
        <w:rPr>
          <w:rFonts w:asciiTheme="minorHAnsi" w:hAnsiTheme="minorHAnsi" w:cstheme="minorHAnsi"/>
          <w:sz w:val="20"/>
          <w:szCs w:val="20"/>
          <w:lang w:val="en-US"/>
        </w:rPr>
      </w:pPr>
      <w:r w:rsidRPr="00C47A4A">
        <w:rPr>
          <w:rFonts w:asciiTheme="minorHAnsi" w:hAnsiTheme="minorHAnsi" w:cstheme="minorHAnsi"/>
          <w:sz w:val="20"/>
          <w:szCs w:val="20"/>
          <w:lang w:val="en-US"/>
        </w:rPr>
        <w:t xml:space="preserve">The Board upholds its responsibility to govern the Company in the best interests of all its stakeholders. The Board takes charge of formulating, reviewing and approving the Company’s strategy, financial activities and operational performance.  There are Audit and Remuneration Committees established to provide additional review and scrutiny in their respective areas. The Committees report back to the Board, following each committee meeting and make appropriate recommendations with regard to the matters under their purview. </w:t>
      </w:r>
    </w:p>
    <w:p w14:paraId="2511FC9B" w14:textId="77777777" w:rsidR="00504CD0" w:rsidRPr="00C47A4A" w:rsidRDefault="00504CD0" w:rsidP="00504CD0">
      <w:pPr>
        <w:ind w:left="567"/>
        <w:jc w:val="both"/>
        <w:rPr>
          <w:rFonts w:asciiTheme="minorHAnsi" w:hAnsiTheme="minorHAnsi" w:cstheme="minorHAnsi"/>
          <w:sz w:val="20"/>
          <w:szCs w:val="20"/>
          <w:lang w:val="en-US"/>
        </w:rPr>
      </w:pPr>
    </w:p>
    <w:p w14:paraId="3E148699" w14:textId="77777777" w:rsidR="00504CD0" w:rsidRPr="00C47A4A" w:rsidRDefault="00504CD0" w:rsidP="00504CD0">
      <w:pPr>
        <w:ind w:left="567"/>
        <w:jc w:val="both"/>
        <w:rPr>
          <w:rFonts w:asciiTheme="minorHAnsi" w:hAnsiTheme="minorHAnsi" w:cstheme="minorHAnsi"/>
          <w:sz w:val="20"/>
          <w:szCs w:val="20"/>
          <w:lang w:val="en-US"/>
        </w:rPr>
      </w:pPr>
      <w:r w:rsidRPr="00C47A4A">
        <w:rPr>
          <w:rFonts w:asciiTheme="minorHAnsi" w:hAnsiTheme="minorHAnsi" w:cstheme="minorHAnsi"/>
          <w:sz w:val="20"/>
          <w:szCs w:val="20"/>
          <w:lang w:val="en-US"/>
        </w:rPr>
        <w:t xml:space="preserve">The Board, as a whole, is committed to instill a culture across the Company, delivering strong values and behaviours. </w:t>
      </w:r>
    </w:p>
    <w:p w14:paraId="347C6F94" w14:textId="77777777" w:rsidR="00504CD0" w:rsidRPr="00C47A4A" w:rsidRDefault="00504CD0" w:rsidP="00504CD0">
      <w:pPr>
        <w:ind w:left="567"/>
        <w:jc w:val="both"/>
        <w:rPr>
          <w:rFonts w:asciiTheme="minorHAnsi" w:hAnsiTheme="minorHAnsi" w:cstheme="minorHAnsi"/>
          <w:sz w:val="20"/>
          <w:szCs w:val="20"/>
          <w:lang w:val="en-US"/>
        </w:rPr>
      </w:pPr>
    </w:p>
    <w:p w14:paraId="24D14BFF" w14:textId="77777777" w:rsidR="00504CD0" w:rsidRPr="00C47A4A" w:rsidRDefault="00504CD0" w:rsidP="00504CD0">
      <w:pPr>
        <w:ind w:left="567"/>
        <w:jc w:val="both"/>
        <w:rPr>
          <w:rFonts w:asciiTheme="minorHAnsi" w:hAnsiTheme="minorHAnsi" w:cstheme="minorHAnsi"/>
          <w:sz w:val="20"/>
          <w:szCs w:val="20"/>
          <w:lang w:val="en-US"/>
        </w:rPr>
      </w:pPr>
      <w:r w:rsidRPr="00C47A4A">
        <w:rPr>
          <w:rFonts w:asciiTheme="minorHAnsi" w:hAnsiTheme="minorHAnsi" w:cstheme="minorHAnsi"/>
          <w:sz w:val="20"/>
          <w:szCs w:val="20"/>
          <w:lang w:val="en-US"/>
        </w:rPr>
        <w:t>Iconic recognizes all sectors of stakeholders in delivering our strategy and we are mindful of our responsibilities and duties to our stakeholders. The importance of engaging with our shareholders continues, and the Board strives to ensure that there are opportunities for investors to engage with the Board.</w:t>
      </w:r>
    </w:p>
    <w:p w14:paraId="0C5D3734" w14:textId="77777777" w:rsidR="00504CD0" w:rsidRPr="00C47A4A" w:rsidRDefault="00504CD0" w:rsidP="00504CD0">
      <w:pPr>
        <w:ind w:left="567"/>
        <w:jc w:val="both"/>
        <w:rPr>
          <w:rFonts w:asciiTheme="minorHAnsi" w:hAnsiTheme="minorHAnsi" w:cstheme="minorHAnsi"/>
          <w:b/>
          <w:bCs/>
          <w:sz w:val="20"/>
          <w:szCs w:val="20"/>
        </w:rPr>
      </w:pPr>
    </w:p>
    <w:p w14:paraId="6F1B76E4" w14:textId="77777777" w:rsidR="00504CD0" w:rsidRPr="00C47A4A" w:rsidRDefault="00504CD0" w:rsidP="00504CD0">
      <w:pPr>
        <w:ind w:left="567"/>
        <w:jc w:val="both"/>
        <w:rPr>
          <w:rFonts w:asciiTheme="minorHAnsi" w:hAnsiTheme="minorHAnsi" w:cstheme="minorHAnsi"/>
          <w:b/>
          <w:bCs/>
          <w:sz w:val="20"/>
          <w:szCs w:val="20"/>
        </w:rPr>
      </w:pPr>
      <w:r w:rsidRPr="00C47A4A">
        <w:rPr>
          <w:rFonts w:asciiTheme="minorHAnsi" w:hAnsiTheme="minorHAnsi" w:cstheme="minorHAnsi"/>
          <w:b/>
          <w:bCs/>
          <w:sz w:val="20"/>
          <w:szCs w:val="20"/>
        </w:rPr>
        <w:t>QCA CODE – APPLICATION, PRINCIPLES AND DISCLOSURE REQUIREMENTS</w:t>
      </w:r>
    </w:p>
    <w:p w14:paraId="0BAD0117" w14:textId="77777777" w:rsidR="00504CD0" w:rsidRPr="00C47A4A" w:rsidRDefault="00504CD0" w:rsidP="00504CD0">
      <w:pPr>
        <w:jc w:val="both"/>
        <w:rPr>
          <w:rFonts w:asciiTheme="minorHAnsi" w:hAnsiTheme="minorHAnsi" w:cstheme="minorHAnsi"/>
          <w:b/>
          <w:bCs/>
          <w:sz w:val="20"/>
          <w:szCs w:val="20"/>
        </w:rPr>
      </w:pPr>
    </w:p>
    <w:p w14:paraId="070F975E" w14:textId="77777777"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Until October 2019, Iconic gave due regard to the principles set out in the UK Corporate Governance Code published in April 2016 by the Financial Reporting Council and the Quoted Companies Alliance published Corporate Governance Guidelines.  In October 2019, Iconic formally adopted the QCA Code which is an enabling, principles-based, corporate governance code for companies focused on growth. Iconic is committed to maintaining and promoting robust corporate governance structures and processes to support its long-term success.</w:t>
      </w:r>
    </w:p>
    <w:p w14:paraId="7C2E939D" w14:textId="77777777" w:rsidR="00504CD0" w:rsidRPr="00C47A4A" w:rsidRDefault="00504CD0" w:rsidP="00504CD0">
      <w:pPr>
        <w:ind w:left="567"/>
        <w:jc w:val="both"/>
        <w:rPr>
          <w:rFonts w:asciiTheme="minorHAnsi" w:hAnsiTheme="minorHAnsi" w:cstheme="minorHAnsi"/>
          <w:sz w:val="20"/>
          <w:szCs w:val="20"/>
        </w:rPr>
      </w:pPr>
    </w:p>
    <w:p w14:paraId="21E1DD28" w14:textId="77777777"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The QCA Code sets out ten principles that are listed below together with a short explanation of how the Company applies each of the principles and reasons for any non-compliance.</w:t>
      </w:r>
    </w:p>
    <w:p w14:paraId="70EE0964" w14:textId="77777777" w:rsidR="00504CD0" w:rsidRPr="00C47A4A" w:rsidRDefault="00504CD0" w:rsidP="00504CD0">
      <w:pPr>
        <w:ind w:left="567"/>
        <w:jc w:val="both"/>
        <w:rPr>
          <w:rFonts w:asciiTheme="minorHAnsi" w:hAnsiTheme="minorHAnsi" w:cstheme="minorHAnsi"/>
          <w:sz w:val="20"/>
          <w:szCs w:val="20"/>
        </w:rPr>
      </w:pPr>
    </w:p>
    <w:p w14:paraId="76EB3491" w14:textId="36B563D6" w:rsidR="00504CD0" w:rsidRDefault="00504CD0" w:rsidP="00504CD0">
      <w:pPr>
        <w:ind w:left="851" w:hanging="284"/>
        <w:jc w:val="both"/>
        <w:rPr>
          <w:rFonts w:asciiTheme="minorHAnsi" w:hAnsiTheme="minorHAnsi" w:cstheme="minorHAnsi"/>
          <w:b/>
          <w:sz w:val="20"/>
          <w:szCs w:val="20"/>
        </w:rPr>
      </w:pPr>
      <w:r w:rsidRPr="00C47A4A">
        <w:rPr>
          <w:rFonts w:asciiTheme="minorHAnsi" w:hAnsiTheme="minorHAnsi" w:cstheme="minorHAnsi"/>
          <w:b/>
          <w:sz w:val="20"/>
          <w:szCs w:val="20"/>
        </w:rPr>
        <w:t>Principle 1: Establish a strategy and business model which promote long-term value for shareholders</w:t>
      </w:r>
    </w:p>
    <w:p w14:paraId="67C3E19B" w14:textId="77777777" w:rsidR="00C47A4A" w:rsidRPr="00C47A4A" w:rsidRDefault="00C47A4A" w:rsidP="00504CD0">
      <w:pPr>
        <w:ind w:left="851" w:hanging="284"/>
        <w:jc w:val="both"/>
        <w:rPr>
          <w:rFonts w:asciiTheme="minorHAnsi" w:hAnsiTheme="minorHAnsi" w:cstheme="minorHAnsi"/>
          <w:b/>
          <w:sz w:val="20"/>
          <w:szCs w:val="20"/>
        </w:rPr>
      </w:pPr>
    </w:p>
    <w:p w14:paraId="384C869A" w14:textId="18AF0C7D" w:rsidR="00504CD0" w:rsidRPr="00C47A4A" w:rsidRDefault="00504CD0" w:rsidP="00504CD0">
      <w:pPr>
        <w:ind w:left="851" w:hanging="284"/>
        <w:jc w:val="both"/>
        <w:rPr>
          <w:rFonts w:asciiTheme="minorHAnsi" w:hAnsiTheme="minorHAnsi" w:cstheme="minorHAnsi"/>
          <w:bCs/>
          <w:sz w:val="20"/>
          <w:szCs w:val="20"/>
        </w:rPr>
      </w:pPr>
      <w:r w:rsidRPr="00C47A4A">
        <w:rPr>
          <w:rFonts w:asciiTheme="minorHAnsi" w:hAnsiTheme="minorHAnsi" w:cstheme="minorHAnsi"/>
          <w:bCs/>
          <w:sz w:val="20"/>
          <w:szCs w:val="20"/>
        </w:rPr>
        <w:t>Details on the strategy and business model are included in the strategic report.</w:t>
      </w:r>
    </w:p>
    <w:p w14:paraId="6AD49962" w14:textId="77777777" w:rsidR="00504CD0" w:rsidRPr="00C47A4A" w:rsidRDefault="00504CD0" w:rsidP="00504CD0">
      <w:pPr>
        <w:ind w:left="851" w:hanging="284"/>
        <w:jc w:val="both"/>
        <w:rPr>
          <w:rFonts w:asciiTheme="minorHAnsi" w:hAnsiTheme="minorHAnsi" w:cstheme="minorHAnsi"/>
          <w:bCs/>
          <w:sz w:val="20"/>
          <w:szCs w:val="20"/>
        </w:rPr>
      </w:pPr>
    </w:p>
    <w:p w14:paraId="790D43D4" w14:textId="77777777" w:rsidR="00504CD0" w:rsidRPr="00C47A4A" w:rsidRDefault="00504CD0" w:rsidP="00504CD0">
      <w:pPr>
        <w:ind w:left="851" w:hanging="284"/>
        <w:jc w:val="both"/>
        <w:rPr>
          <w:rFonts w:asciiTheme="minorHAnsi" w:hAnsiTheme="minorHAnsi" w:cstheme="minorHAnsi"/>
          <w:b/>
          <w:sz w:val="20"/>
          <w:szCs w:val="20"/>
        </w:rPr>
      </w:pPr>
      <w:r w:rsidRPr="00C47A4A">
        <w:rPr>
          <w:rFonts w:asciiTheme="minorHAnsi" w:hAnsiTheme="minorHAnsi" w:cstheme="minorHAnsi"/>
          <w:b/>
          <w:sz w:val="20"/>
          <w:szCs w:val="20"/>
        </w:rPr>
        <w:t>Principle 2: Seek to understand and meet shareholder needs and expectations</w:t>
      </w:r>
    </w:p>
    <w:p w14:paraId="0CF00658" w14:textId="77777777" w:rsidR="00504CD0" w:rsidRPr="00C47A4A" w:rsidRDefault="00504CD0" w:rsidP="00504CD0">
      <w:pPr>
        <w:ind w:left="851" w:hanging="284"/>
        <w:jc w:val="both"/>
        <w:rPr>
          <w:rFonts w:asciiTheme="minorHAnsi" w:hAnsiTheme="minorHAnsi" w:cstheme="minorHAnsi"/>
          <w:b/>
          <w:sz w:val="20"/>
          <w:szCs w:val="20"/>
        </w:rPr>
      </w:pPr>
    </w:p>
    <w:p w14:paraId="6F3007DA" w14:textId="77777777" w:rsidR="00504CD0" w:rsidRPr="00C47A4A" w:rsidRDefault="00504CD0" w:rsidP="00504CD0">
      <w:pPr>
        <w:ind w:left="567"/>
        <w:jc w:val="both"/>
        <w:rPr>
          <w:rFonts w:asciiTheme="minorHAnsi" w:hAnsiTheme="minorHAnsi" w:cstheme="minorHAnsi"/>
          <w:bCs/>
          <w:iCs/>
          <w:sz w:val="20"/>
          <w:szCs w:val="20"/>
          <w:u w:val="single"/>
        </w:rPr>
      </w:pPr>
      <w:r w:rsidRPr="00C47A4A">
        <w:rPr>
          <w:rFonts w:asciiTheme="minorHAnsi" w:hAnsiTheme="minorHAnsi" w:cstheme="minorHAnsi"/>
          <w:bCs/>
          <w:iCs/>
          <w:sz w:val="20"/>
          <w:szCs w:val="20"/>
          <w:u w:val="single"/>
        </w:rPr>
        <w:t>Relationship with shareholders</w:t>
      </w:r>
    </w:p>
    <w:p w14:paraId="20AA24A4" w14:textId="77777777" w:rsidR="00504CD0" w:rsidRPr="00C47A4A" w:rsidRDefault="00504CD0" w:rsidP="00504CD0">
      <w:pPr>
        <w:ind w:left="567"/>
        <w:jc w:val="both"/>
        <w:rPr>
          <w:rFonts w:asciiTheme="minorHAnsi" w:hAnsiTheme="minorHAnsi" w:cstheme="minorHAnsi"/>
          <w:bCs/>
          <w:iCs/>
          <w:sz w:val="20"/>
          <w:szCs w:val="20"/>
          <w:u w:val="single"/>
        </w:rPr>
      </w:pPr>
    </w:p>
    <w:p w14:paraId="2292489E" w14:textId="0E7ECDD0" w:rsidR="00504CD0" w:rsidRPr="00C47A4A" w:rsidRDefault="00504CD0" w:rsidP="00504CD0">
      <w:pPr>
        <w:ind w:left="567"/>
        <w:jc w:val="both"/>
        <w:rPr>
          <w:rFonts w:asciiTheme="minorHAnsi" w:hAnsiTheme="minorHAnsi" w:cstheme="minorHAnsi"/>
          <w:sz w:val="20"/>
          <w:szCs w:val="20"/>
        </w:rPr>
        <w:sectPr w:rsidR="00504CD0" w:rsidRPr="00C47A4A" w:rsidSect="000C2829">
          <w:headerReference w:type="even" r:id="rId28"/>
          <w:headerReference w:type="default" r:id="rId29"/>
          <w:headerReference w:type="first" r:id="rId30"/>
          <w:pgSz w:w="11906" w:h="16838"/>
          <w:pgMar w:top="720" w:right="1558" w:bottom="720" w:left="720" w:header="708" w:footer="708" w:gutter="0"/>
          <w:cols w:space="708"/>
          <w:docGrid w:linePitch="360"/>
        </w:sectPr>
      </w:pPr>
      <w:r w:rsidRPr="00C47A4A">
        <w:rPr>
          <w:rFonts w:asciiTheme="minorHAnsi" w:hAnsiTheme="minorHAnsi" w:cstheme="minorHAnsi"/>
          <w:sz w:val="20"/>
          <w:szCs w:val="20"/>
        </w:rPr>
        <w:t>Primary responsibility for effective communication with shareholders lies with the Chairman and Chief Executive Officer, Brad Taylor, but all Directors are available to meet with shareholders throughout the year. Mr. Taylor has been active in meeting with and preparing presentations for investors. Iconic endeavours to answer all queries raised by shareholders promptly.</w:t>
      </w:r>
    </w:p>
    <w:p w14:paraId="59BE8EC3" w14:textId="77777777" w:rsidR="00504CD0" w:rsidRPr="00C47A4A" w:rsidRDefault="00504CD0" w:rsidP="00504CD0">
      <w:pPr>
        <w:ind w:left="567"/>
        <w:jc w:val="both"/>
        <w:rPr>
          <w:rFonts w:asciiTheme="minorHAnsi" w:hAnsiTheme="minorHAnsi" w:cstheme="minorHAnsi"/>
          <w:b/>
          <w:sz w:val="20"/>
          <w:szCs w:val="20"/>
        </w:rPr>
      </w:pPr>
      <w:r w:rsidRPr="00C47A4A">
        <w:rPr>
          <w:rFonts w:asciiTheme="minorHAnsi" w:hAnsiTheme="minorHAnsi" w:cstheme="minorHAnsi"/>
          <w:b/>
          <w:sz w:val="20"/>
          <w:szCs w:val="20"/>
        </w:rPr>
        <w:lastRenderedPageBreak/>
        <w:t>Principle 3: Take into account wider stakeholder and social responsibilities and their implication for long-term success</w:t>
      </w:r>
    </w:p>
    <w:p w14:paraId="7E77B14B" w14:textId="77777777" w:rsidR="00504CD0" w:rsidRPr="00C47A4A" w:rsidRDefault="00504CD0" w:rsidP="00504CD0">
      <w:pPr>
        <w:ind w:left="567"/>
        <w:jc w:val="both"/>
        <w:rPr>
          <w:rFonts w:asciiTheme="minorHAnsi" w:hAnsiTheme="minorHAnsi" w:cstheme="minorHAnsi"/>
          <w:b/>
          <w:sz w:val="20"/>
          <w:szCs w:val="20"/>
        </w:rPr>
      </w:pPr>
    </w:p>
    <w:p w14:paraId="50D97E02" w14:textId="77777777" w:rsidR="00504CD0" w:rsidRPr="00C47A4A" w:rsidRDefault="00504CD0" w:rsidP="00504CD0">
      <w:pPr>
        <w:ind w:left="567"/>
        <w:jc w:val="both"/>
        <w:rPr>
          <w:rFonts w:asciiTheme="minorHAnsi" w:hAnsiTheme="minorHAnsi" w:cstheme="minorHAnsi"/>
          <w:sz w:val="20"/>
          <w:szCs w:val="20"/>
          <w:u w:val="single"/>
        </w:rPr>
      </w:pPr>
      <w:r w:rsidRPr="00C47A4A">
        <w:rPr>
          <w:rFonts w:asciiTheme="minorHAnsi" w:hAnsiTheme="minorHAnsi" w:cstheme="minorHAnsi"/>
          <w:sz w:val="20"/>
          <w:szCs w:val="20"/>
          <w:u w:val="single"/>
        </w:rPr>
        <w:t>Environmental Issues</w:t>
      </w:r>
    </w:p>
    <w:p w14:paraId="42C404FE" w14:textId="77777777" w:rsidR="00504CD0" w:rsidRPr="00C47A4A" w:rsidRDefault="00504CD0" w:rsidP="00504CD0">
      <w:pPr>
        <w:ind w:left="567"/>
        <w:jc w:val="both"/>
        <w:rPr>
          <w:rFonts w:asciiTheme="minorHAnsi" w:hAnsiTheme="minorHAnsi" w:cstheme="minorHAnsi"/>
          <w:sz w:val="20"/>
          <w:szCs w:val="20"/>
          <w:u w:val="single"/>
        </w:rPr>
      </w:pPr>
    </w:p>
    <w:p w14:paraId="75005E2F" w14:textId="77777777"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 xml:space="preserve">As far as the Directors are aware, Iconic’s business activities do not cause a direct and disproportionate adverse effect on the environment. </w:t>
      </w:r>
    </w:p>
    <w:p w14:paraId="2A2A3014" w14:textId="77777777" w:rsidR="00504CD0" w:rsidRPr="00C47A4A" w:rsidRDefault="00504CD0" w:rsidP="00504CD0">
      <w:pPr>
        <w:ind w:left="567"/>
        <w:jc w:val="both"/>
        <w:rPr>
          <w:rFonts w:asciiTheme="minorHAnsi" w:hAnsiTheme="minorHAnsi" w:cstheme="minorHAnsi"/>
          <w:b/>
          <w:bCs/>
          <w:sz w:val="20"/>
          <w:szCs w:val="20"/>
        </w:rPr>
      </w:pPr>
    </w:p>
    <w:p w14:paraId="2F83449C" w14:textId="77777777" w:rsidR="00504CD0" w:rsidRPr="00C47A4A" w:rsidRDefault="00504CD0" w:rsidP="00504CD0">
      <w:pPr>
        <w:ind w:left="567"/>
        <w:jc w:val="both"/>
        <w:rPr>
          <w:rFonts w:asciiTheme="minorHAnsi" w:hAnsiTheme="minorHAnsi" w:cstheme="minorHAnsi"/>
          <w:sz w:val="20"/>
          <w:szCs w:val="20"/>
          <w:u w:val="single"/>
        </w:rPr>
      </w:pPr>
      <w:r w:rsidRPr="00C47A4A">
        <w:rPr>
          <w:rFonts w:asciiTheme="minorHAnsi" w:hAnsiTheme="minorHAnsi" w:cstheme="minorHAnsi"/>
          <w:sz w:val="20"/>
          <w:szCs w:val="20"/>
          <w:u w:val="single"/>
        </w:rPr>
        <w:t>Employee Matters</w:t>
      </w:r>
    </w:p>
    <w:p w14:paraId="59EBEA3D" w14:textId="77777777" w:rsidR="00504CD0" w:rsidRPr="00C47A4A" w:rsidRDefault="00504CD0" w:rsidP="00504CD0">
      <w:pPr>
        <w:ind w:left="567"/>
        <w:jc w:val="both"/>
        <w:rPr>
          <w:rFonts w:asciiTheme="minorHAnsi" w:hAnsiTheme="minorHAnsi" w:cstheme="minorHAnsi"/>
          <w:sz w:val="20"/>
          <w:szCs w:val="20"/>
          <w:u w:val="single"/>
        </w:rPr>
      </w:pPr>
    </w:p>
    <w:p w14:paraId="4A8610A2" w14:textId="31AA5318"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As of 30 June 202</w:t>
      </w:r>
      <w:r w:rsidR="00C47A4A">
        <w:rPr>
          <w:rFonts w:asciiTheme="minorHAnsi" w:hAnsiTheme="minorHAnsi" w:cstheme="minorHAnsi"/>
          <w:sz w:val="20"/>
          <w:szCs w:val="20"/>
        </w:rPr>
        <w:t>2</w:t>
      </w:r>
      <w:r w:rsidRPr="00C47A4A">
        <w:rPr>
          <w:rFonts w:asciiTheme="minorHAnsi" w:hAnsiTheme="minorHAnsi" w:cstheme="minorHAnsi"/>
          <w:sz w:val="20"/>
          <w:szCs w:val="20"/>
        </w:rPr>
        <w:t xml:space="preserve">, Iconic does not have any employees and its management is solely being conducted by the executive officers and non-executive Directors who are working with the Joint Administrators and creditors to restructure the company and exit administration, resolve all outstanding disputes, and get the trading suspension on Iconic’ shares lifted.  </w:t>
      </w:r>
    </w:p>
    <w:p w14:paraId="1438F4F7" w14:textId="77777777" w:rsidR="00504CD0" w:rsidRPr="00C47A4A" w:rsidRDefault="00504CD0" w:rsidP="00504CD0">
      <w:pPr>
        <w:ind w:left="567"/>
        <w:jc w:val="both"/>
        <w:rPr>
          <w:rFonts w:asciiTheme="minorHAnsi" w:hAnsiTheme="minorHAnsi" w:cstheme="minorHAnsi"/>
          <w:b/>
          <w:bCs/>
          <w:sz w:val="20"/>
          <w:szCs w:val="20"/>
        </w:rPr>
      </w:pPr>
    </w:p>
    <w:p w14:paraId="681A6099" w14:textId="77777777" w:rsidR="00504CD0" w:rsidRPr="00C47A4A" w:rsidRDefault="00504CD0" w:rsidP="00504CD0">
      <w:pPr>
        <w:ind w:left="567"/>
        <w:jc w:val="both"/>
        <w:rPr>
          <w:rFonts w:asciiTheme="minorHAnsi" w:hAnsiTheme="minorHAnsi" w:cstheme="minorHAnsi"/>
          <w:bCs/>
          <w:iCs/>
          <w:sz w:val="20"/>
          <w:szCs w:val="20"/>
          <w:u w:val="single"/>
        </w:rPr>
      </w:pPr>
      <w:r w:rsidRPr="00C47A4A">
        <w:rPr>
          <w:rFonts w:asciiTheme="minorHAnsi" w:hAnsiTheme="minorHAnsi" w:cstheme="minorHAnsi"/>
          <w:bCs/>
          <w:iCs/>
          <w:sz w:val="20"/>
          <w:szCs w:val="20"/>
          <w:u w:val="single"/>
        </w:rPr>
        <w:t>Social, community and human rights issues</w:t>
      </w:r>
    </w:p>
    <w:p w14:paraId="56F8C89D" w14:textId="77777777" w:rsidR="00504CD0" w:rsidRPr="00C47A4A" w:rsidRDefault="00504CD0" w:rsidP="00504CD0">
      <w:pPr>
        <w:ind w:left="567"/>
        <w:jc w:val="both"/>
        <w:rPr>
          <w:rFonts w:asciiTheme="minorHAnsi" w:hAnsiTheme="minorHAnsi" w:cstheme="minorHAnsi"/>
          <w:bCs/>
          <w:iCs/>
          <w:sz w:val="20"/>
          <w:szCs w:val="20"/>
          <w:u w:val="single"/>
        </w:rPr>
      </w:pPr>
    </w:p>
    <w:p w14:paraId="2135129E" w14:textId="77777777"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Iconic seeks to achieve the highest ethical standards and behaviours in conducting its business, with integrity, openness, diversity and inclusiveness being a priority.</w:t>
      </w:r>
    </w:p>
    <w:p w14:paraId="0C17FA3D" w14:textId="77777777" w:rsidR="00504CD0" w:rsidRPr="00C47A4A" w:rsidRDefault="00504CD0" w:rsidP="00504CD0">
      <w:pPr>
        <w:jc w:val="both"/>
        <w:rPr>
          <w:rFonts w:asciiTheme="minorHAnsi" w:hAnsiTheme="minorHAnsi" w:cstheme="minorHAnsi"/>
          <w:sz w:val="20"/>
          <w:szCs w:val="20"/>
        </w:rPr>
      </w:pPr>
    </w:p>
    <w:p w14:paraId="0EE7AA8A" w14:textId="77777777"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We have adopted a formal equal opportunities policy which is contained in our employee handbook. The aim of the policy is to ensure no job applicant, employee or worker is discriminated against either directly or indirectly on the grounds of race, sex, disability, sexual orientation, gender reassignment; marriage or civil partnership; pregnancy or maternity; religion or belief or age.</w:t>
      </w:r>
    </w:p>
    <w:p w14:paraId="68862255" w14:textId="77777777" w:rsidR="00504CD0" w:rsidRPr="00C47A4A" w:rsidRDefault="00504CD0" w:rsidP="00504CD0">
      <w:pPr>
        <w:ind w:left="567"/>
        <w:jc w:val="both"/>
        <w:rPr>
          <w:rFonts w:asciiTheme="minorHAnsi" w:hAnsiTheme="minorHAnsi" w:cstheme="minorHAnsi"/>
          <w:sz w:val="20"/>
          <w:szCs w:val="20"/>
        </w:rPr>
      </w:pPr>
    </w:p>
    <w:p w14:paraId="7CE00B8A" w14:textId="77777777" w:rsidR="00504CD0" w:rsidRPr="00C47A4A" w:rsidRDefault="00504CD0" w:rsidP="00504CD0">
      <w:pPr>
        <w:ind w:left="567"/>
        <w:jc w:val="both"/>
        <w:rPr>
          <w:rFonts w:asciiTheme="minorHAnsi" w:hAnsiTheme="minorHAnsi" w:cstheme="minorHAnsi"/>
          <w:b/>
          <w:sz w:val="20"/>
          <w:szCs w:val="20"/>
        </w:rPr>
      </w:pPr>
      <w:r w:rsidRPr="00C47A4A">
        <w:rPr>
          <w:rFonts w:asciiTheme="minorHAnsi" w:hAnsiTheme="minorHAnsi" w:cstheme="minorHAnsi"/>
          <w:b/>
          <w:sz w:val="20"/>
          <w:szCs w:val="20"/>
        </w:rPr>
        <w:t>Principle 4: Embed effective risk management, considering both opportunities and threats, throughout the organisation</w:t>
      </w:r>
    </w:p>
    <w:p w14:paraId="3A27A638" w14:textId="77777777" w:rsidR="00504CD0" w:rsidRPr="00C47A4A" w:rsidRDefault="00504CD0" w:rsidP="00504CD0">
      <w:pPr>
        <w:ind w:left="567"/>
        <w:jc w:val="both"/>
        <w:rPr>
          <w:rFonts w:asciiTheme="minorHAnsi" w:hAnsiTheme="minorHAnsi" w:cstheme="minorHAnsi"/>
          <w:b/>
          <w:sz w:val="20"/>
          <w:szCs w:val="20"/>
        </w:rPr>
      </w:pPr>
    </w:p>
    <w:p w14:paraId="4C3BC064" w14:textId="6E4291D6" w:rsidR="00504CD0" w:rsidRPr="00C47A4A" w:rsidRDefault="00504CD0" w:rsidP="00504CD0">
      <w:pPr>
        <w:ind w:left="851" w:hanging="284"/>
        <w:jc w:val="both"/>
        <w:rPr>
          <w:rFonts w:asciiTheme="minorHAnsi" w:hAnsiTheme="minorHAnsi" w:cstheme="minorHAnsi"/>
          <w:bCs/>
          <w:sz w:val="20"/>
          <w:szCs w:val="20"/>
        </w:rPr>
      </w:pPr>
      <w:r w:rsidRPr="00C47A4A">
        <w:rPr>
          <w:rFonts w:asciiTheme="minorHAnsi" w:hAnsiTheme="minorHAnsi" w:cstheme="minorHAnsi"/>
          <w:bCs/>
          <w:sz w:val="20"/>
          <w:szCs w:val="20"/>
        </w:rPr>
        <w:t>Details on the strategy and business model are included in the strategic report.</w:t>
      </w:r>
    </w:p>
    <w:p w14:paraId="4D7B42D8" w14:textId="0B44266B" w:rsidR="00504CD0" w:rsidRPr="00C47A4A" w:rsidRDefault="00504CD0" w:rsidP="00504CD0">
      <w:pPr>
        <w:ind w:left="851" w:hanging="284"/>
        <w:jc w:val="both"/>
        <w:rPr>
          <w:rFonts w:asciiTheme="minorHAnsi" w:hAnsiTheme="minorHAnsi" w:cstheme="minorHAnsi"/>
          <w:bCs/>
          <w:sz w:val="20"/>
          <w:szCs w:val="20"/>
        </w:rPr>
      </w:pPr>
    </w:p>
    <w:p w14:paraId="0CC03CF3" w14:textId="381A77CF" w:rsidR="00504CD0" w:rsidRPr="00C47A4A" w:rsidRDefault="00504CD0" w:rsidP="00504CD0">
      <w:pPr>
        <w:ind w:left="567"/>
        <w:jc w:val="both"/>
        <w:rPr>
          <w:rFonts w:asciiTheme="minorHAnsi" w:hAnsiTheme="minorHAnsi" w:cstheme="minorHAnsi"/>
          <w:b/>
          <w:sz w:val="20"/>
          <w:szCs w:val="20"/>
        </w:rPr>
      </w:pPr>
      <w:r w:rsidRPr="00C47A4A">
        <w:rPr>
          <w:rFonts w:asciiTheme="minorHAnsi" w:hAnsiTheme="minorHAnsi" w:cstheme="minorHAnsi"/>
          <w:b/>
          <w:sz w:val="20"/>
          <w:szCs w:val="20"/>
        </w:rPr>
        <w:t>Principle 5: Maintain the board as a well-functioning, balanced team led by the chair</w:t>
      </w:r>
    </w:p>
    <w:p w14:paraId="3CAD6BF0" w14:textId="77777777" w:rsidR="00504CD0" w:rsidRPr="00C47A4A" w:rsidRDefault="00504CD0" w:rsidP="00C47A4A">
      <w:pPr>
        <w:jc w:val="both"/>
        <w:rPr>
          <w:rFonts w:asciiTheme="minorHAnsi" w:hAnsiTheme="minorHAnsi" w:cstheme="minorHAnsi"/>
          <w:sz w:val="20"/>
          <w:szCs w:val="20"/>
        </w:rPr>
      </w:pPr>
    </w:p>
    <w:p w14:paraId="6412A0BD" w14:textId="11DA167E"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As of 30 June 202</w:t>
      </w:r>
      <w:r w:rsidR="00C47A4A">
        <w:rPr>
          <w:rFonts w:asciiTheme="minorHAnsi" w:hAnsiTheme="minorHAnsi" w:cstheme="minorHAnsi"/>
          <w:sz w:val="20"/>
          <w:szCs w:val="20"/>
        </w:rPr>
        <w:t>2</w:t>
      </w:r>
      <w:r w:rsidRPr="00C47A4A">
        <w:rPr>
          <w:rFonts w:asciiTheme="minorHAnsi" w:hAnsiTheme="minorHAnsi" w:cstheme="minorHAnsi"/>
          <w:sz w:val="20"/>
          <w:szCs w:val="20"/>
        </w:rPr>
        <w:t xml:space="preserve">, the Board comprised the following: </w:t>
      </w:r>
    </w:p>
    <w:p w14:paraId="39AD6899" w14:textId="77777777" w:rsidR="00504CD0" w:rsidRPr="00C47A4A" w:rsidRDefault="00504CD0" w:rsidP="00B2796D">
      <w:pPr>
        <w:pStyle w:val="ListParagraph"/>
        <w:numPr>
          <w:ilvl w:val="0"/>
          <w:numId w:val="13"/>
        </w:numPr>
        <w:tabs>
          <w:tab w:val="left" w:pos="1134"/>
        </w:tabs>
        <w:ind w:firstLine="131"/>
        <w:jc w:val="both"/>
        <w:rPr>
          <w:rFonts w:asciiTheme="minorHAnsi" w:hAnsiTheme="minorHAnsi" w:cstheme="minorHAnsi"/>
          <w:sz w:val="20"/>
          <w:szCs w:val="20"/>
        </w:rPr>
      </w:pPr>
    </w:p>
    <w:p w14:paraId="4C928BAD" w14:textId="1623823B" w:rsidR="00504CD0" w:rsidRPr="00C47A4A" w:rsidRDefault="00504CD0" w:rsidP="00B2796D">
      <w:pPr>
        <w:pStyle w:val="ListParagraph"/>
        <w:numPr>
          <w:ilvl w:val="0"/>
          <w:numId w:val="13"/>
        </w:numPr>
        <w:tabs>
          <w:tab w:val="left" w:pos="1134"/>
        </w:tabs>
        <w:ind w:firstLine="131"/>
        <w:jc w:val="both"/>
        <w:rPr>
          <w:rFonts w:asciiTheme="minorHAnsi" w:hAnsiTheme="minorHAnsi" w:cstheme="minorHAnsi"/>
          <w:sz w:val="20"/>
          <w:szCs w:val="20"/>
        </w:rPr>
      </w:pPr>
      <w:r w:rsidRPr="00C47A4A">
        <w:rPr>
          <w:rFonts w:asciiTheme="minorHAnsi" w:hAnsiTheme="minorHAnsi" w:cstheme="minorHAnsi"/>
          <w:sz w:val="20"/>
          <w:szCs w:val="20"/>
        </w:rPr>
        <w:t>Brad Taylor: Chief Operating Officer &amp; Chairman</w:t>
      </w:r>
    </w:p>
    <w:p w14:paraId="2D053A60" w14:textId="77777777" w:rsidR="00504CD0" w:rsidRPr="00C47A4A" w:rsidRDefault="00504CD0" w:rsidP="00B2796D">
      <w:pPr>
        <w:pStyle w:val="ListParagraph"/>
        <w:numPr>
          <w:ilvl w:val="0"/>
          <w:numId w:val="13"/>
        </w:numPr>
        <w:tabs>
          <w:tab w:val="left" w:pos="1134"/>
        </w:tabs>
        <w:ind w:firstLine="131"/>
        <w:jc w:val="both"/>
        <w:rPr>
          <w:rFonts w:asciiTheme="minorHAnsi" w:hAnsiTheme="minorHAnsi" w:cstheme="minorHAnsi"/>
          <w:sz w:val="20"/>
          <w:szCs w:val="20"/>
        </w:rPr>
      </w:pPr>
      <w:r w:rsidRPr="00C47A4A">
        <w:rPr>
          <w:rFonts w:asciiTheme="minorHAnsi" w:hAnsiTheme="minorHAnsi" w:cstheme="minorHAnsi"/>
          <w:sz w:val="20"/>
          <w:szCs w:val="20"/>
        </w:rPr>
        <w:t>David Štýbr: Non-Executive Director</w:t>
      </w:r>
    </w:p>
    <w:p w14:paraId="3C9D3623" w14:textId="77777777" w:rsidR="00504CD0" w:rsidRPr="00C47A4A" w:rsidRDefault="00504CD0" w:rsidP="00B2796D">
      <w:pPr>
        <w:pStyle w:val="ListParagraph"/>
        <w:numPr>
          <w:ilvl w:val="0"/>
          <w:numId w:val="13"/>
        </w:numPr>
        <w:tabs>
          <w:tab w:val="left" w:pos="1134"/>
        </w:tabs>
        <w:ind w:firstLine="131"/>
        <w:jc w:val="both"/>
        <w:rPr>
          <w:rFonts w:asciiTheme="minorHAnsi" w:hAnsiTheme="minorHAnsi" w:cstheme="minorHAnsi"/>
          <w:sz w:val="20"/>
          <w:szCs w:val="20"/>
          <w:lang w:val="es-ES"/>
        </w:rPr>
      </w:pPr>
      <w:r w:rsidRPr="00C47A4A">
        <w:rPr>
          <w:rFonts w:asciiTheme="minorHAnsi" w:hAnsiTheme="minorHAnsi" w:cstheme="minorHAnsi"/>
          <w:sz w:val="20"/>
          <w:szCs w:val="20"/>
          <w:lang w:val="es-ES"/>
        </w:rPr>
        <w:t>Wilhelmus van der Meer: Non-Executive Director</w:t>
      </w:r>
    </w:p>
    <w:p w14:paraId="7632BE91" w14:textId="77777777" w:rsidR="00504CD0" w:rsidRPr="00C47A4A" w:rsidRDefault="00504CD0" w:rsidP="00B2796D">
      <w:pPr>
        <w:pStyle w:val="ListParagraph"/>
        <w:numPr>
          <w:ilvl w:val="0"/>
          <w:numId w:val="13"/>
        </w:numPr>
        <w:tabs>
          <w:tab w:val="left" w:pos="1134"/>
        </w:tabs>
        <w:ind w:firstLine="131"/>
        <w:jc w:val="both"/>
        <w:rPr>
          <w:rFonts w:asciiTheme="minorHAnsi" w:hAnsiTheme="minorHAnsi" w:cstheme="minorHAnsi"/>
          <w:sz w:val="20"/>
          <w:szCs w:val="20"/>
          <w:lang w:val="es-ES"/>
        </w:rPr>
      </w:pPr>
      <w:r w:rsidRPr="00C47A4A">
        <w:rPr>
          <w:rFonts w:asciiTheme="minorHAnsi" w:hAnsiTheme="minorHAnsi" w:cstheme="minorHAnsi"/>
          <w:sz w:val="20"/>
          <w:szCs w:val="20"/>
          <w:lang w:val="es-ES"/>
        </w:rPr>
        <w:t>Marija Hrebac, Non-Executive Director</w:t>
      </w:r>
    </w:p>
    <w:p w14:paraId="13C5C96C" w14:textId="77777777" w:rsidR="00504CD0" w:rsidRPr="00C47A4A" w:rsidRDefault="00504CD0" w:rsidP="00504CD0">
      <w:pPr>
        <w:ind w:left="567"/>
        <w:jc w:val="both"/>
        <w:rPr>
          <w:rFonts w:asciiTheme="minorHAnsi" w:hAnsiTheme="minorHAnsi" w:cstheme="minorHAnsi"/>
          <w:sz w:val="20"/>
          <w:szCs w:val="20"/>
        </w:rPr>
      </w:pPr>
    </w:p>
    <w:p w14:paraId="25CCFABE" w14:textId="77777777" w:rsidR="00504CD0" w:rsidRPr="00C47A4A" w:rsidRDefault="00504CD0" w:rsidP="00504CD0">
      <w:pPr>
        <w:ind w:left="567"/>
        <w:jc w:val="both"/>
        <w:rPr>
          <w:rFonts w:asciiTheme="minorHAnsi" w:hAnsiTheme="minorHAnsi" w:cstheme="minorHAnsi"/>
          <w:bCs/>
          <w:iCs/>
          <w:sz w:val="20"/>
          <w:szCs w:val="20"/>
          <w:u w:val="single"/>
        </w:rPr>
      </w:pPr>
      <w:r w:rsidRPr="00C47A4A">
        <w:rPr>
          <w:rFonts w:asciiTheme="minorHAnsi" w:hAnsiTheme="minorHAnsi" w:cstheme="minorHAnsi"/>
          <w:bCs/>
          <w:iCs/>
          <w:sz w:val="20"/>
          <w:szCs w:val="20"/>
          <w:u w:val="single"/>
        </w:rPr>
        <w:t>How the Board functions</w:t>
      </w:r>
    </w:p>
    <w:p w14:paraId="43BC21F1" w14:textId="77777777" w:rsidR="00504CD0" w:rsidRPr="00C47A4A" w:rsidRDefault="00504CD0" w:rsidP="00504CD0">
      <w:pPr>
        <w:ind w:left="567"/>
        <w:jc w:val="both"/>
        <w:rPr>
          <w:rFonts w:asciiTheme="minorHAnsi" w:hAnsiTheme="minorHAnsi" w:cstheme="minorHAnsi"/>
          <w:bCs/>
          <w:iCs/>
          <w:sz w:val="20"/>
          <w:szCs w:val="20"/>
          <w:u w:val="single"/>
        </w:rPr>
      </w:pPr>
    </w:p>
    <w:p w14:paraId="236EE901" w14:textId="77777777" w:rsidR="00504CD0" w:rsidRPr="00C47A4A" w:rsidRDefault="00504CD0" w:rsidP="00504CD0">
      <w:pPr>
        <w:ind w:left="567"/>
        <w:jc w:val="both"/>
        <w:rPr>
          <w:rFonts w:asciiTheme="minorHAnsi" w:hAnsiTheme="minorHAnsi" w:cstheme="minorHAnsi"/>
          <w:sz w:val="20"/>
          <w:szCs w:val="20"/>
        </w:rPr>
      </w:pPr>
      <w:r w:rsidRPr="00C47A4A">
        <w:rPr>
          <w:rFonts w:asciiTheme="minorHAnsi" w:hAnsiTheme="minorHAnsi" w:cstheme="minorHAnsi"/>
          <w:sz w:val="20"/>
          <w:szCs w:val="20"/>
        </w:rPr>
        <w:t>The Board is collectively responsible for Iconic’s long-term success. The Board provides entrepreneurial leadership for Iconic within a framework of prudent and effective controls which enables risk to be assessed and managed. The Board considers the management team’s proposals for strategy and, following a consideration of those proposals, determines Iconic’s strategy and ensures that the necessary resources are in place for management to execute that strategy. Further details on Iconic’s business model and strategy can be found in the Strategic Report.</w:t>
      </w:r>
    </w:p>
    <w:p w14:paraId="70ED85A8" w14:textId="77777777" w:rsidR="00504CD0" w:rsidRPr="00C47A4A" w:rsidRDefault="00504CD0" w:rsidP="00504CD0">
      <w:pPr>
        <w:ind w:left="567"/>
        <w:jc w:val="both"/>
        <w:rPr>
          <w:rFonts w:asciiTheme="minorHAnsi" w:hAnsiTheme="minorHAnsi" w:cstheme="minorHAnsi"/>
          <w:sz w:val="20"/>
          <w:szCs w:val="20"/>
        </w:rPr>
      </w:pPr>
    </w:p>
    <w:p w14:paraId="5EFCD7C8" w14:textId="46DAC404" w:rsidR="00504CD0" w:rsidRPr="00C47A4A" w:rsidRDefault="00504CD0" w:rsidP="002560B8">
      <w:pPr>
        <w:ind w:left="567"/>
        <w:jc w:val="both"/>
        <w:rPr>
          <w:rFonts w:asciiTheme="minorHAnsi" w:hAnsiTheme="minorHAnsi" w:cstheme="minorHAnsi"/>
          <w:sz w:val="20"/>
          <w:szCs w:val="20"/>
        </w:rPr>
        <w:sectPr w:rsidR="00504CD0" w:rsidRPr="00C47A4A" w:rsidSect="00504CD0">
          <w:headerReference w:type="default" r:id="rId31"/>
          <w:pgSz w:w="11906" w:h="16838"/>
          <w:pgMar w:top="720" w:right="1558" w:bottom="720" w:left="720" w:header="708" w:footer="708" w:gutter="0"/>
          <w:cols w:space="708"/>
          <w:docGrid w:linePitch="360"/>
        </w:sectPr>
      </w:pPr>
      <w:r w:rsidRPr="00C47A4A">
        <w:rPr>
          <w:rFonts w:asciiTheme="minorHAnsi" w:hAnsiTheme="minorHAnsi" w:cstheme="minorHAnsi"/>
          <w:sz w:val="20"/>
          <w:szCs w:val="20"/>
        </w:rPr>
        <w:t>An important part of the Board’s role is the review of management performance. Iconic’s process for evaluating the effectiveness of the Board and Directors’ performance will comprise an annual internal review of executive and non-executive Directors’ performance and a triennial review of Board performance by external providers. The results of such reviews will be used to determine whether any alterations are needed or whether any additional training would be beneficial.</w:t>
      </w:r>
    </w:p>
    <w:p w14:paraId="41F31501" w14:textId="5224E824" w:rsidR="004C7FD9" w:rsidRPr="00C47A4A" w:rsidRDefault="002560B8" w:rsidP="002560B8">
      <w:pPr>
        <w:jc w:val="both"/>
        <w:rPr>
          <w:rFonts w:asciiTheme="minorHAnsi" w:hAnsiTheme="minorHAnsi" w:cstheme="minorHAnsi"/>
          <w:bCs/>
          <w:iCs/>
          <w:sz w:val="20"/>
          <w:szCs w:val="20"/>
          <w:u w:val="single"/>
        </w:rPr>
      </w:pPr>
      <w:r w:rsidRPr="00C47A4A">
        <w:rPr>
          <w:rFonts w:asciiTheme="minorHAnsi" w:hAnsiTheme="minorHAnsi" w:cstheme="minorHAnsi"/>
          <w:bCs/>
          <w:iCs/>
          <w:sz w:val="20"/>
          <w:szCs w:val="20"/>
        </w:rPr>
        <w:lastRenderedPageBreak/>
        <w:t xml:space="preserve">            </w:t>
      </w:r>
      <w:r w:rsidR="004C7FD9" w:rsidRPr="00C47A4A">
        <w:rPr>
          <w:rFonts w:asciiTheme="minorHAnsi" w:hAnsiTheme="minorHAnsi" w:cstheme="minorHAnsi"/>
          <w:bCs/>
          <w:iCs/>
          <w:sz w:val="20"/>
          <w:szCs w:val="20"/>
          <w:u w:val="single"/>
        </w:rPr>
        <w:t>Responsibility and delegation</w:t>
      </w:r>
    </w:p>
    <w:p w14:paraId="2579A8D9" w14:textId="77777777" w:rsidR="004C7FD9" w:rsidRPr="00C47A4A" w:rsidRDefault="004C7FD9" w:rsidP="004C7FD9">
      <w:pPr>
        <w:ind w:left="567"/>
        <w:jc w:val="both"/>
        <w:rPr>
          <w:rFonts w:asciiTheme="minorHAnsi" w:hAnsiTheme="minorHAnsi" w:cstheme="minorHAnsi"/>
          <w:bCs/>
          <w:iCs/>
          <w:sz w:val="20"/>
          <w:szCs w:val="20"/>
          <w:u w:val="single"/>
        </w:rPr>
      </w:pPr>
    </w:p>
    <w:p w14:paraId="474F4C5F" w14:textId="77777777" w:rsidR="004C7FD9" w:rsidRPr="00C47A4A" w:rsidRDefault="004C7FD9" w:rsidP="004C7FD9">
      <w:pPr>
        <w:pStyle w:val="ListParagraph"/>
        <w:ind w:left="567"/>
        <w:jc w:val="both"/>
        <w:rPr>
          <w:rFonts w:asciiTheme="minorHAnsi" w:hAnsiTheme="minorHAnsi" w:cstheme="minorHAnsi"/>
          <w:sz w:val="20"/>
          <w:szCs w:val="20"/>
        </w:rPr>
      </w:pPr>
      <w:r w:rsidRPr="00C47A4A">
        <w:rPr>
          <w:rFonts w:asciiTheme="minorHAnsi" w:hAnsiTheme="minorHAnsi" w:cstheme="minorHAnsi"/>
          <w:sz w:val="20"/>
          <w:szCs w:val="20"/>
        </w:rPr>
        <w:t>The Board has specifically reserved a number of matters for its consideration and approval. These include:</w:t>
      </w:r>
    </w:p>
    <w:p w14:paraId="4831B38D"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Overall leadership of Iconic and setting Iconic’s values and standards</w:t>
      </w:r>
    </w:p>
    <w:p w14:paraId="35C1F64D"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Approval of Iconic’s long-term objectives and commercial strategy</w:t>
      </w:r>
    </w:p>
    <w:p w14:paraId="6D12A5C9"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Approval of the annual operating and capital expenditure budgets and any changes to them</w:t>
      </w:r>
    </w:p>
    <w:p w14:paraId="7F6F0A99"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Major investments or capital projects</w:t>
      </w:r>
    </w:p>
    <w:p w14:paraId="61F69614"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The extension of Iconic’s activities into any new business or geographic areas</w:t>
      </w:r>
    </w:p>
    <w:p w14:paraId="4BE858E7"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Any decision to cease any material operations</w:t>
      </w:r>
    </w:p>
    <w:p w14:paraId="2BA77561"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Changes in Iconic’s capital structure or management and control structure</w:t>
      </w:r>
    </w:p>
    <w:p w14:paraId="524ECD73"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Approval of the annual report and accounts and preliminary and half-yearly financial statements</w:t>
      </w:r>
    </w:p>
    <w:p w14:paraId="342C8BFF"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Approval of treasury policies, including foreign currency exposures and use of financial derivatives</w:t>
      </w:r>
    </w:p>
    <w:p w14:paraId="2C037999"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 xml:space="preserve">Ensuring the maintenance of a sound system of internal control and risk management </w:t>
      </w:r>
    </w:p>
    <w:p w14:paraId="1C5CB2C2"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The entering into of agreements that are not in the ordinary course of business or material strategically or by reason of their size</w:t>
      </w:r>
    </w:p>
    <w:p w14:paraId="2B427D97" w14:textId="77777777" w:rsidR="004C7FD9" w:rsidRPr="00C47A4A" w:rsidRDefault="004C7FD9" w:rsidP="00B2796D">
      <w:pPr>
        <w:pStyle w:val="ListParagraph"/>
        <w:numPr>
          <w:ilvl w:val="0"/>
          <w:numId w:val="16"/>
        </w:numPr>
        <w:jc w:val="both"/>
        <w:rPr>
          <w:rFonts w:asciiTheme="minorHAnsi" w:hAnsiTheme="minorHAnsi" w:cstheme="minorHAnsi"/>
          <w:sz w:val="20"/>
          <w:szCs w:val="20"/>
        </w:rPr>
      </w:pPr>
      <w:r w:rsidRPr="00C47A4A">
        <w:rPr>
          <w:rFonts w:asciiTheme="minorHAnsi" w:hAnsiTheme="minorHAnsi" w:cstheme="minorHAnsi"/>
          <w:sz w:val="20"/>
          <w:szCs w:val="20"/>
        </w:rPr>
        <w:t>Changes to the size, composition or structure of the Board and its committees</w:t>
      </w:r>
    </w:p>
    <w:p w14:paraId="30D8DDC7" w14:textId="77777777" w:rsidR="004C7FD9" w:rsidRPr="00C47A4A" w:rsidRDefault="004C7FD9" w:rsidP="004C7FD9">
      <w:pPr>
        <w:pStyle w:val="ListParagraph"/>
        <w:spacing w:before="120" w:line="340" w:lineRule="exact"/>
        <w:ind w:left="927"/>
        <w:jc w:val="both"/>
        <w:rPr>
          <w:rFonts w:asciiTheme="minorHAnsi" w:hAnsiTheme="minorHAnsi" w:cstheme="minorHAnsi"/>
          <w:bCs/>
          <w:iCs/>
          <w:sz w:val="20"/>
          <w:szCs w:val="20"/>
          <w:u w:val="single"/>
        </w:rPr>
      </w:pPr>
    </w:p>
    <w:p w14:paraId="0AC0DF8E" w14:textId="77777777" w:rsidR="004C7FD9" w:rsidRPr="00C47A4A" w:rsidRDefault="004C7FD9" w:rsidP="004C7FD9">
      <w:pPr>
        <w:pStyle w:val="ListParagraph"/>
        <w:ind w:left="927" w:hanging="360"/>
        <w:jc w:val="both"/>
        <w:rPr>
          <w:rFonts w:asciiTheme="minorHAnsi" w:hAnsiTheme="minorHAnsi" w:cstheme="minorHAnsi"/>
          <w:bCs/>
          <w:iCs/>
          <w:sz w:val="20"/>
          <w:szCs w:val="20"/>
          <w:u w:val="single"/>
        </w:rPr>
      </w:pPr>
      <w:r w:rsidRPr="00C47A4A">
        <w:rPr>
          <w:rFonts w:asciiTheme="minorHAnsi" w:hAnsiTheme="minorHAnsi" w:cstheme="minorHAnsi"/>
          <w:bCs/>
          <w:iCs/>
          <w:sz w:val="20"/>
          <w:szCs w:val="20"/>
          <w:u w:val="single"/>
        </w:rPr>
        <w:t>Board balance</w:t>
      </w:r>
    </w:p>
    <w:p w14:paraId="244D1045" w14:textId="77777777" w:rsidR="004C7FD9" w:rsidRPr="00C47A4A" w:rsidRDefault="004C7FD9" w:rsidP="004C7FD9">
      <w:pPr>
        <w:pStyle w:val="ListParagraph"/>
        <w:ind w:left="927" w:hanging="360"/>
        <w:jc w:val="both"/>
        <w:rPr>
          <w:rFonts w:asciiTheme="minorHAnsi" w:hAnsiTheme="minorHAnsi" w:cstheme="minorHAnsi"/>
          <w:bCs/>
          <w:iCs/>
          <w:sz w:val="20"/>
          <w:szCs w:val="20"/>
          <w:u w:val="single"/>
        </w:rPr>
      </w:pPr>
    </w:p>
    <w:p w14:paraId="3B75FE0F" w14:textId="77777777" w:rsidR="004C7FD9" w:rsidRPr="00C47A4A" w:rsidRDefault="004C7FD9" w:rsidP="004C7FD9">
      <w:pPr>
        <w:pStyle w:val="ListParagraph"/>
        <w:ind w:left="567"/>
        <w:jc w:val="both"/>
        <w:rPr>
          <w:rFonts w:asciiTheme="minorHAnsi" w:hAnsiTheme="minorHAnsi" w:cstheme="minorHAnsi"/>
          <w:sz w:val="20"/>
          <w:szCs w:val="20"/>
        </w:rPr>
      </w:pPr>
      <w:r w:rsidRPr="00C47A4A">
        <w:rPr>
          <w:rFonts w:asciiTheme="minorHAnsi" w:hAnsiTheme="minorHAnsi" w:cstheme="minorHAnsi"/>
          <w:sz w:val="20"/>
          <w:szCs w:val="20"/>
        </w:rPr>
        <w:t xml:space="preserve">The Board comprises individuals with wide business experience gained in various industry sectors related to Iconic’s business and it is the intention of the Board to ensure that the balance of the Directors reflects the changing needs of that business. The Board considers that it is of a size and has the balance of skills, knowledge, experience and independence that is appropriate for Iconic’s business. While not having a specific policy regarding the constitution and balance of the Board, potential new Directors are considered on their own merits with regards to their skills, knowledge, experience and credentials, regardless of gender, race, ethnic, or national background.  </w:t>
      </w:r>
    </w:p>
    <w:p w14:paraId="38A05ADE" w14:textId="77777777" w:rsidR="004C7FD9" w:rsidRPr="00C47A4A" w:rsidRDefault="004C7FD9" w:rsidP="004C7FD9">
      <w:pPr>
        <w:pStyle w:val="ListParagraph"/>
        <w:ind w:left="567"/>
        <w:jc w:val="both"/>
        <w:rPr>
          <w:rFonts w:asciiTheme="minorHAnsi" w:hAnsiTheme="minorHAnsi" w:cstheme="minorHAnsi"/>
          <w:sz w:val="20"/>
          <w:szCs w:val="20"/>
        </w:rPr>
      </w:pPr>
    </w:p>
    <w:p w14:paraId="7ACAD32E" w14:textId="77777777" w:rsidR="004C7FD9" w:rsidRPr="00C47A4A" w:rsidRDefault="004C7FD9" w:rsidP="004C7FD9">
      <w:pPr>
        <w:pStyle w:val="ListParagraph"/>
        <w:ind w:left="567"/>
        <w:jc w:val="both"/>
        <w:rPr>
          <w:rFonts w:asciiTheme="minorHAnsi" w:hAnsiTheme="minorHAnsi" w:cstheme="minorHAnsi"/>
          <w:sz w:val="20"/>
          <w:szCs w:val="20"/>
        </w:rPr>
      </w:pPr>
      <w:r w:rsidRPr="00C47A4A">
        <w:rPr>
          <w:rFonts w:asciiTheme="minorHAnsi" w:hAnsiTheme="minorHAnsi" w:cstheme="minorHAnsi"/>
          <w:sz w:val="20"/>
          <w:szCs w:val="20"/>
        </w:rPr>
        <w:t xml:space="preserve">The QCA Code requires that the boards of companies have an appropriate balance between Executive and Non-Executive Directors. Given the Board comprises one Executive Director and three Non-Executive Directors it is felt that given the current size of the Board and the Company there is a strong enough presence of independent judgement.  </w:t>
      </w:r>
    </w:p>
    <w:p w14:paraId="5214986D" w14:textId="77777777" w:rsidR="004C7FD9" w:rsidRPr="00C47A4A" w:rsidRDefault="004C7FD9" w:rsidP="004C7FD9"/>
    <w:p w14:paraId="7B286C3B" w14:textId="77777777" w:rsidR="004C7FD9" w:rsidRPr="00C47A4A" w:rsidRDefault="004C7FD9" w:rsidP="004C7FD9">
      <w:pPr>
        <w:ind w:left="562"/>
        <w:jc w:val="both"/>
        <w:rPr>
          <w:rFonts w:asciiTheme="minorHAnsi" w:hAnsiTheme="minorHAnsi" w:cstheme="minorHAnsi"/>
          <w:b/>
          <w:sz w:val="20"/>
          <w:szCs w:val="20"/>
        </w:rPr>
      </w:pPr>
      <w:r w:rsidRPr="00C47A4A">
        <w:rPr>
          <w:rFonts w:asciiTheme="minorHAnsi" w:hAnsiTheme="minorHAnsi" w:cstheme="minorHAnsi"/>
          <w:b/>
          <w:sz w:val="20"/>
          <w:szCs w:val="20"/>
        </w:rPr>
        <w:t>Principle 6: Ensure that between them the Directors have the necessary up-to-date experience, skills and capabilities</w:t>
      </w:r>
    </w:p>
    <w:p w14:paraId="58CCFD15" w14:textId="77777777" w:rsidR="004C7FD9" w:rsidRPr="00C47A4A" w:rsidRDefault="004C7FD9" w:rsidP="004C7FD9">
      <w:pPr>
        <w:ind w:left="562"/>
        <w:jc w:val="both"/>
        <w:rPr>
          <w:rFonts w:asciiTheme="minorHAnsi" w:hAnsiTheme="minorHAnsi" w:cstheme="minorHAnsi"/>
          <w:b/>
          <w:sz w:val="20"/>
          <w:szCs w:val="20"/>
        </w:rPr>
      </w:pPr>
    </w:p>
    <w:p w14:paraId="4B15ECF7" w14:textId="77777777" w:rsidR="004C7FD9" w:rsidRPr="00C47A4A" w:rsidRDefault="004C7FD9" w:rsidP="004C7FD9">
      <w:pPr>
        <w:ind w:left="562"/>
        <w:jc w:val="both"/>
        <w:rPr>
          <w:rFonts w:asciiTheme="minorHAnsi" w:hAnsiTheme="minorHAnsi" w:cstheme="minorHAnsi"/>
          <w:bCs/>
          <w:i/>
          <w:iCs/>
          <w:sz w:val="20"/>
          <w:szCs w:val="20"/>
          <w:u w:val="single"/>
        </w:rPr>
      </w:pPr>
      <w:r w:rsidRPr="00C47A4A">
        <w:rPr>
          <w:rFonts w:asciiTheme="minorHAnsi" w:hAnsiTheme="minorHAnsi" w:cstheme="minorHAnsi"/>
          <w:bCs/>
          <w:i/>
          <w:iCs/>
          <w:sz w:val="20"/>
          <w:szCs w:val="20"/>
          <w:u w:val="single"/>
        </w:rPr>
        <w:t>Board Member Biographies</w:t>
      </w:r>
    </w:p>
    <w:p w14:paraId="23308D82" w14:textId="77777777" w:rsidR="004C7FD9" w:rsidRPr="00C47A4A" w:rsidRDefault="004C7FD9" w:rsidP="004C7FD9">
      <w:pPr>
        <w:ind w:left="562"/>
        <w:jc w:val="both"/>
        <w:rPr>
          <w:rFonts w:asciiTheme="minorHAnsi" w:hAnsiTheme="minorHAnsi" w:cstheme="minorHAnsi"/>
          <w:b/>
          <w:bCs/>
          <w:sz w:val="20"/>
          <w:szCs w:val="20"/>
        </w:rPr>
      </w:pPr>
    </w:p>
    <w:p w14:paraId="18B17C89" w14:textId="769D8E60" w:rsidR="004C7FD9" w:rsidRDefault="004C7FD9" w:rsidP="004C7FD9">
      <w:pPr>
        <w:ind w:firstLine="562"/>
        <w:jc w:val="both"/>
        <w:rPr>
          <w:rFonts w:asciiTheme="minorHAnsi" w:hAnsiTheme="minorHAnsi" w:cstheme="minorHAnsi"/>
          <w:b/>
          <w:bCs/>
          <w:sz w:val="20"/>
          <w:szCs w:val="20"/>
          <w:u w:val="single"/>
        </w:rPr>
      </w:pPr>
      <w:r w:rsidRPr="00C47A4A">
        <w:rPr>
          <w:rFonts w:asciiTheme="minorHAnsi" w:hAnsiTheme="minorHAnsi" w:cstheme="minorHAnsi"/>
          <w:b/>
          <w:bCs/>
          <w:sz w:val="20"/>
          <w:szCs w:val="20"/>
          <w:u w:val="single"/>
        </w:rPr>
        <w:t>Brad Taylor</w:t>
      </w:r>
    </w:p>
    <w:p w14:paraId="3457AC7F" w14:textId="77777777" w:rsidR="00C47A4A" w:rsidRPr="00C47A4A" w:rsidRDefault="00C47A4A" w:rsidP="004C7FD9">
      <w:pPr>
        <w:ind w:firstLine="562"/>
        <w:jc w:val="both"/>
        <w:rPr>
          <w:rFonts w:asciiTheme="minorHAnsi" w:hAnsiTheme="minorHAnsi" w:cstheme="minorHAnsi"/>
          <w:b/>
          <w:bCs/>
          <w:sz w:val="20"/>
          <w:szCs w:val="20"/>
          <w:u w:val="single"/>
        </w:rPr>
      </w:pPr>
    </w:p>
    <w:p w14:paraId="6C03521C" w14:textId="156BF855" w:rsidR="004C7FD9" w:rsidRPr="00C47A4A" w:rsidRDefault="00C47A4A" w:rsidP="004C7FD9">
      <w:pPr>
        <w:ind w:left="562"/>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Mr. Taylor </w:t>
      </w:r>
      <w:r w:rsidR="004C7FD9" w:rsidRPr="00C47A4A">
        <w:rPr>
          <w:rFonts w:asciiTheme="minorHAnsi" w:hAnsiTheme="minorHAnsi" w:cstheme="minorHAnsi"/>
          <w:color w:val="000000"/>
          <w:sz w:val="20"/>
          <w:szCs w:val="20"/>
        </w:rPr>
        <w:t>began his career as an attorney with law firms Akin Gump Strauss Hauer &amp; Feld in Houston, and Greenberg Traurig in Dallas before switching to private equity as a director with Holland Park Capital in Austin.  From there, he worked in Paris as the General Counsel and member of the Executive Committee of Orco Property Group.  While at Orco, he served on the board of Orco Germany in Berlin, and the board of Suncani Hvar Hotels, a public private partnership with the Republic of Croatia.  Now based in Washington DC, he is the CEO of Ott Ventures USA and of Iconic Labs, an LSE listed company.  A Canadian citizen, he has a Bachelor of Commerce degree from McGill University, a Juris Doctorate from Baylor University School of Law, an MBA from INSEAD, and studied International Law at Cambridge University.  </w:t>
      </w:r>
    </w:p>
    <w:p w14:paraId="5671DACE" w14:textId="77777777" w:rsidR="004C7FD9" w:rsidRPr="00C47A4A" w:rsidRDefault="004C7FD9" w:rsidP="004C7FD9">
      <w:pPr>
        <w:ind w:left="562"/>
        <w:jc w:val="both"/>
        <w:rPr>
          <w:rFonts w:asciiTheme="minorHAnsi" w:hAnsiTheme="minorHAnsi" w:cstheme="minorHAnsi"/>
          <w:color w:val="000000"/>
          <w:sz w:val="20"/>
          <w:szCs w:val="20"/>
        </w:rPr>
      </w:pPr>
    </w:p>
    <w:p w14:paraId="68E3FA8F" w14:textId="11C4F494" w:rsidR="004C7FD9" w:rsidRDefault="004C7FD9" w:rsidP="004C7FD9">
      <w:pPr>
        <w:ind w:firstLine="562"/>
        <w:jc w:val="both"/>
        <w:rPr>
          <w:rFonts w:asciiTheme="minorHAnsi" w:hAnsiTheme="minorHAnsi" w:cstheme="minorHAnsi"/>
          <w:b/>
          <w:bCs/>
          <w:sz w:val="20"/>
          <w:szCs w:val="20"/>
          <w:u w:val="single"/>
        </w:rPr>
      </w:pPr>
      <w:r w:rsidRPr="00C47A4A">
        <w:rPr>
          <w:rFonts w:asciiTheme="minorHAnsi" w:hAnsiTheme="minorHAnsi" w:cstheme="minorHAnsi"/>
          <w:b/>
          <w:bCs/>
          <w:sz w:val="20"/>
          <w:szCs w:val="20"/>
          <w:u w:val="single"/>
        </w:rPr>
        <w:t>David Štýbr</w:t>
      </w:r>
    </w:p>
    <w:p w14:paraId="4BE7907B" w14:textId="77777777" w:rsidR="00C47A4A" w:rsidRPr="00C47A4A" w:rsidRDefault="00C47A4A" w:rsidP="004C7FD9">
      <w:pPr>
        <w:ind w:firstLine="562"/>
        <w:jc w:val="both"/>
        <w:rPr>
          <w:rFonts w:asciiTheme="minorHAnsi" w:hAnsiTheme="minorHAnsi" w:cstheme="minorHAnsi"/>
          <w:b/>
          <w:bCs/>
          <w:sz w:val="20"/>
          <w:szCs w:val="20"/>
          <w:u w:val="single"/>
        </w:rPr>
      </w:pPr>
    </w:p>
    <w:p w14:paraId="0D10251B" w14:textId="77777777" w:rsidR="004C7FD9" w:rsidRPr="00C47A4A" w:rsidRDefault="004C7FD9" w:rsidP="004C7FD9">
      <w:pPr>
        <w:ind w:left="567"/>
        <w:jc w:val="both"/>
        <w:rPr>
          <w:rFonts w:asciiTheme="minorHAnsi" w:hAnsiTheme="minorHAnsi" w:cstheme="minorHAnsi"/>
          <w:b/>
          <w:bCs/>
          <w:i/>
          <w:iCs/>
          <w:sz w:val="20"/>
          <w:szCs w:val="20"/>
          <w:u w:val="single"/>
        </w:rPr>
      </w:pPr>
      <w:r w:rsidRPr="00D95EA8">
        <w:rPr>
          <w:rFonts w:asciiTheme="minorHAnsi" w:hAnsiTheme="minorHAnsi" w:cstheme="minorHAnsi"/>
          <w:sz w:val="20"/>
          <w:szCs w:val="20"/>
        </w:rPr>
        <w:t>Mr. Štýbr’s</w:t>
      </w:r>
      <w:r w:rsidRPr="00C47A4A">
        <w:rPr>
          <w:rFonts w:asciiTheme="minorHAnsi" w:hAnsiTheme="minorHAnsi" w:cstheme="minorHAnsi"/>
          <w:sz w:val="20"/>
          <w:szCs w:val="20"/>
        </w:rPr>
        <w:t xml:space="preserve"> </w:t>
      </w:r>
      <w:r w:rsidRPr="00C47A4A">
        <w:rPr>
          <w:rFonts w:asciiTheme="minorHAnsi" w:hAnsiTheme="minorHAnsi" w:cstheme="minorHAnsi"/>
          <w:color w:val="000000"/>
          <w:sz w:val="20"/>
          <w:szCs w:val="20"/>
        </w:rPr>
        <w:t xml:space="preserve">career has been oriented on business activities, project leadership and asset management. His main focuses have been in finance, investments, private equity, venture capital and real estate, with significant experience working for investment companies operating on US futures markets, management positions in a leading CEE real estate company, and leading a family office. He also has expertise in strategic planning and preparing measurable targets to be achieved by corporations, as well as financial oversight. </w:t>
      </w:r>
      <w:r w:rsidRPr="00C47A4A" w:rsidDel="00ED13F8">
        <w:rPr>
          <w:rFonts w:asciiTheme="minorHAnsi" w:hAnsiTheme="minorHAnsi" w:cstheme="minorHAnsi"/>
          <w:b/>
          <w:bCs/>
          <w:i/>
          <w:iCs/>
          <w:sz w:val="20"/>
          <w:szCs w:val="20"/>
          <w:u w:val="single"/>
        </w:rPr>
        <w:t xml:space="preserve"> </w:t>
      </w:r>
    </w:p>
    <w:p w14:paraId="15AF5A51" w14:textId="77777777" w:rsidR="002560B8" w:rsidRPr="00C47A4A" w:rsidRDefault="002560B8" w:rsidP="00504CD0">
      <w:pPr>
        <w:spacing w:before="120" w:line="340" w:lineRule="exact"/>
        <w:jc w:val="both"/>
        <w:rPr>
          <w:rFonts w:asciiTheme="minorHAnsi" w:hAnsiTheme="minorHAnsi" w:cstheme="minorHAnsi"/>
          <w:b/>
          <w:sz w:val="20"/>
          <w:szCs w:val="20"/>
        </w:rPr>
      </w:pPr>
    </w:p>
    <w:p w14:paraId="0D10541F" w14:textId="445BED67" w:rsidR="00587474" w:rsidRPr="00C47A4A" w:rsidRDefault="00587474" w:rsidP="00504CD0">
      <w:pPr>
        <w:spacing w:before="120" w:line="340" w:lineRule="exact"/>
        <w:jc w:val="both"/>
        <w:rPr>
          <w:rFonts w:asciiTheme="minorHAnsi" w:hAnsiTheme="minorHAnsi" w:cstheme="minorHAnsi"/>
          <w:b/>
          <w:sz w:val="20"/>
          <w:szCs w:val="20"/>
        </w:rPr>
        <w:sectPr w:rsidR="00587474" w:rsidRPr="00C47A4A" w:rsidSect="00637514">
          <w:headerReference w:type="even" r:id="rId32"/>
          <w:headerReference w:type="default" r:id="rId33"/>
          <w:headerReference w:type="first" r:id="rId34"/>
          <w:pgSz w:w="11906" w:h="16838"/>
          <w:pgMar w:top="720" w:right="1558" w:bottom="720" w:left="720" w:header="708" w:footer="708" w:gutter="0"/>
          <w:cols w:space="708"/>
          <w:docGrid w:linePitch="360"/>
        </w:sectPr>
      </w:pPr>
    </w:p>
    <w:p w14:paraId="5DC9FABF" w14:textId="77777777" w:rsidR="00F251DE" w:rsidRPr="00C47A4A" w:rsidRDefault="00F251DE" w:rsidP="00F251DE">
      <w:pPr>
        <w:ind w:firstLine="562"/>
        <w:jc w:val="both"/>
        <w:rPr>
          <w:rFonts w:asciiTheme="minorHAnsi" w:hAnsiTheme="minorHAnsi" w:cstheme="minorHAnsi"/>
          <w:b/>
          <w:bCs/>
          <w:sz w:val="20"/>
          <w:szCs w:val="20"/>
          <w:u w:val="single"/>
        </w:rPr>
      </w:pPr>
      <w:r w:rsidRPr="00C47A4A">
        <w:rPr>
          <w:rFonts w:asciiTheme="minorHAnsi" w:hAnsiTheme="minorHAnsi" w:cstheme="minorHAnsi"/>
          <w:b/>
          <w:bCs/>
          <w:sz w:val="20"/>
          <w:szCs w:val="20"/>
          <w:u w:val="single"/>
        </w:rPr>
        <w:t>Wilhelmus van der Meer</w:t>
      </w:r>
    </w:p>
    <w:p w14:paraId="28A54A7A" w14:textId="77777777" w:rsidR="00F251DE" w:rsidRPr="00C47A4A" w:rsidRDefault="00F251DE" w:rsidP="00F251DE">
      <w:pPr>
        <w:ind w:firstLine="562"/>
        <w:jc w:val="both"/>
        <w:rPr>
          <w:rFonts w:asciiTheme="minorHAnsi" w:hAnsiTheme="minorHAnsi" w:cstheme="minorHAnsi"/>
          <w:sz w:val="20"/>
          <w:szCs w:val="20"/>
          <w:u w:val="single"/>
        </w:rPr>
      </w:pPr>
    </w:p>
    <w:p w14:paraId="68270309" w14:textId="77777777" w:rsidR="00F251DE" w:rsidRPr="00C47A4A" w:rsidRDefault="00F251DE" w:rsidP="00F251DE">
      <w:pPr>
        <w:ind w:left="567"/>
        <w:jc w:val="both"/>
        <w:rPr>
          <w:rFonts w:asciiTheme="minorHAnsi" w:hAnsiTheme="minorHAnsi" w:cstheme="minorHAnsi"/>
          <w:color w:val="000000"/>
          <w:sz w:val="20"/>
          <w:szCs w:val="20"/>
        </w:rPr>
      </w:pPr>
      <w:r w:rsidRPr="00C47A4A">
        <w:rPr>
          <w:rFonts w:asciiTheme="minorHAnsi" w:hAnsiTheme="minorHAnsi" w:cstheme="minorHAnsi"/>
          <w:color w:val="000000"/>
          <w:sz w:val="20"/>
          <w:szCs w:val="20"/>
        </w:rPr>
        <w:t>Mr. Van Der Meer has extensive experience in the equity, capital raising, and restructuring sectors throughout Europe. A Dutch native, he began his career in institutional equity sales with DW Brand NV before becoming the founder of one of the largest mid/small cap investment banks in the Netherlands, Amsterdam Effecten Kantoor. He has also served as the CEO of Greenstone Gold, the Founder and General Manager of Petite Fleur, and Senior Advisor to Global EcoPower, S.A. </w:t>
      </w:r>
    </w:p>
    <w:p w14:paraId="3BAC4C82" w14:textId="77777777" w:rsidR="00F251DE" w:rsidRPr="00C47A4A" w:rsidRDefault="00F251DE" w:rsidP="00F251DE">
      <w:pPr>
        <w:ind w:firstLine="562"/>
        <w:jc w:val="both"/>
        <w:rPr>
          <w:rFonts w:asciiTheme="minorHAnsi" w:hAnsiTheme="minorHAnsi" w:cstheme="minorHAnsi"/>
          <w:sz w:val="20"/>
          <w:szCs w:val="20"/>
          <w:u w:val="single"/>
        </w:rPr>
      </w:pPr>
    </w:p>
    <w:p w14:paraId="5BFFE1B4" w14:textId="77777777" w:rsidR="00F251DE" w:rsidRPr="00C47A4A" w:rsidRDefault="00F251DE" w:rsidP="00F251DE">
      <w:pPr>
        <w:ind w:firstLine="562"/>
        <w:jc w:val="both"/>
        <w:rPr>
          <w:rFonts w:asciiTheme="minorHAnsi" w:hAnsiTheme="minorHAnsi" w:cstheme="minorHAnsi"/>
          <w:b/>
          <w:bCs/>
          <w:sz w:val="20"/>
          <w:szCs w:val="20"/>
          <w:u w:val="single"/>
        </w:rPr>
      </w:pPr>
      <w:r w:rsidRPr="00C47A4A">
        <w:rPr>
          <w:rFonts w:asciiTheme="minorHAnsi" w:hAnsiTheme="minorHAnsi" w:cstheme="minorHAnsi"/>
          <w:b/>
          <w:bCs/>
          <w:sz w:val="20"/>
          <w:szCs w:val="20"/>
          <w:u w:val="single"/>
        </w:rPr>
        <w:t xml:space="preserve">Marija Hrebec </w:t>
      </w:r>
    </w:p>
    <w:p w14:paraId="0282A55D" w14:textId="77777777" w:rsidR="00F251DE" w:rsidRPr="00C47A4A" w:rsidRDefault="00F251DE" w:rsidP="00F251DE">
      <w:pPr>
        <w:ind w:firstLine="562"/>
        <w:jc w:val="both"/>
        <w:rPr>
          <w:rFonts w:asciiTheme="minorHAnsi" w:hAnsiTheme="minorHAnsi" w:cstheme="minorHAnsi"/>
          <w:sz w:val="20"/>
          <w:szCs w:val="20"/>
          <w:u w:val="single"/>
        </w:rPr>
      </w:pPr>
    </w:p>
    <w:p w14:paraId="690E94A2" w14:textId="77777777" w:rsidR="00F251DE" w:rsidRPr="00C47A4A" w:rsidRDefault="00F251DE" w:rsidP="00F251DE">
      <w:pPr>
        <w:ind w:left="562"/>
        <w:jc w:val="both"/>
        <w:rPr>
          <w:rFonts w:asciiTheme="minorHAnsi" w:hAnsiTheme="minorHAnsi" w:cstheme="minorHAnsi"/>
          <w:sz w:val="20"/>
          <w:szCs w:val="20"/>
          <w:u w:val="single"/>
        </w:rPr>
      </w:pPr>
      <w:r w:rsidRPr="00C47A4A">
        <w:rPr>
          <w:rFonts w:asciiTheme="minorHAnsi" w:hAnsiTheme="minorHAnsi" w:cstheme="minorHAnsi"/>
          <w:color w:val="3B4147"/>
          <w:sz w:val="20"/>
          <w:szCs w:val="20"/>
          <w:shd w:val="clear" w:color="auto" w:fill="FFFFFF"/>
        </w:rPr>
        <w:t>Marija has over 20 years of executive experience managing a variety of complex organizations. She has worked with international corporations including Schering-Plough, MSD, L’Oréal, and Alas International at both the national and international levels, and has also worked across various industries including pharmaceutical, construction, cosmetics, hospitality, and banking. Marija’s expertise revolves around the implementation of business processes, establishing organisational structures, turnarounds, crisis management, operational consolidations, and business integrations. Since 2012, Marija has been leading the Croatian Deposit Insurance Agency with a focus on implementing international standards and improving the national deposit guarantee system. In addition, she is a member of the Croatian Financial Stability Committee, a member of the Executive Council of the International Association of Deposit Insurers, and the vice-chair of the European Forum of Deposit Insurers. Marija holds a master’s degree in Organizations and Management from the Faculty of Economics and Business at the University of Zagreb.</w:t>
      </w:r>
    </w:p>
    <w:p w14:paraId="6F68FF5D" w14:textId="77777777" w:rsidR="00F251DE" w:rsidRPr="00C47A4A" w:rsidRDefault="00F251DE" w:rsidP="00F251DE">
      <w:pPr>
        <w:jc w:val="both"/>
        <w:rPr>
          <w:rFonts w:asciiTheme="minorHAnsi" w:hAnsiTheme="minorHAnsi" w:cstheme="minorHAnsi"/>
          <w:sz w:val="20"/>
          <w:szCs w:val="20"/>
          <w:u w:val="single"/>
        </w:rPr>
      </w:pPr>
    </w:p>
    <w:p w14:paraId="2A1994F0" w14:textId="77777777" w:rsidR="00F251DE" w:rsidRPr="00C47A4A" w:rsidRDefault="00F251DE" w:rsidP="00F251DE">
      <w:pPr>
        <w:ind w:left="562"/>
        <w:jc w:val="both"/>
        <w:rPr>
          <w:rFonts w:asciiTheme="minorHAnsi" w:hAnsiTheme="minorHAnsi" w:cstheme="minorHAnsi"/>
          <w:b/>
          <w:sz w:val="20"/>
          <w:szCs w:val="20"/>
        </w:rPr>
      </w:pPr>
      <w:r w:rsidRPr="00C47A4A">
        <w:rPr>
          <w:rFonts w:asciiTheme="minorHAnsi" w:hAnsiTheme="minorHAnsi" w:cstheme="minorHAnsi"/>
          <w:b/>
          <w:sz w:val="20"/>
          <w:szCs w:val="20"/>
        </w:rPr>
        <w:t>Principle 7: Evaluate Board performance based on clear and relevant objectives, seeking continuous improvement</w:t>
      </w:r>
    </w:p>
    <w:p w14:paraId="3273824C" w14:textId="77777777" w:rsidR="00F251DE" w:rsidRPr="00C47A4A" w:rsidRDefault="00F251DE" w:rsidP="00F251DE">
      <w:pPr>
        <w:ind w:left="562"/>
        <w:jc w:val="both"/>
        <w:rPr>
          <w:rFonts w:asciiTheme="minorHAnsi" w:hAnsiTheme="minorHAnsi" w:cstheme="minorHAnsi"/>
          <w:b/>
          <w:sz w:val="20"/>
          <w:szCs w:val="20"/>
        </w:rPr>
      </w:pPr>
    </w:p>
    <w:p w14:paraId="145A5F8D" w14:textId="77777777" w:rsidR="00F251DE" w:rsidRPr="00C47A4A" w:rsidRDefault="00F251DE" w:rsidP="00F251DE">
      <w:pPr>
        <w:ind w:left="562"/>
        <w:jc w:val="both"/>
        <w:rPr>
          <w:rFonts w:asciiTheme="minorHAnsi" w:hAnsiTheme="minorHAnsi" w:cstheme="minorHAnsi"/>
          <w:bCs/>
          <w:sz w:val="20"/>
          <w:szCs w:val="20"/>
        </w:rPr>
      </w:pPr>
      <w:r w:rsidRPr="00C47A4A">
        <w:rPr>
          <w:rFonts w:asciiTheme="minorHAnsi" w:hAnsiTheme="minorHAnsi" w:cstheme="minorHAnsi"/>
          <w:bCs/>
          <w:sz w:val="20"/>
          <w:szCs w:val="20"/>
        </w:rPr>
        <w:t xml:space="preserve">The Board hold regular meetings and on a quarterly basis conduct a review of Company performance based both on the quantitative metrics discussed in the strategic report and also longer-term strategic targets such as acquisitions or capital sourcing. </w:t>
      </w:r>
    </w:p>
    <w:p w14:paraId="6A1051B4" w14:textId="77777777" w:rsidR="00F251DE" w:rsidRPr="00C47A4A" w:rsidRDefault="00F251DE" w:rsidP="00F251DE">
      <w:pPr>
        <w:ind w:left="562"/>
        <w:jc w:val="both"/>
        <w:rPr>
          <w:rFonts w:asciiTheme="minorHAnsi" w:hAnsiTheme="minorHAnsi" w:cstheme="minorHAnsi"/>
          <w:bCs/>
          <w:sz w:val="20"/>
          <w:szCs w:val="20"/>
        </w:rPr>
      </w:pPr>
    </w:p>
    <w:p w14:paraId="0F1B4A0C" w14:textId="77777777" w:rsidR="00F251DE" w:rsidRPr="00C47A4A" w:rsidRDefault="00F251DE" w:rsidP="00F251DE">
      <w:pPr>
        <w:ind w:left="562"/>
        <w:jc w:val="both"/>
        <w:rPr>
          <w:rFonts w:asciiTheme="minorHAnsi" w:hAnsiTheme="minorHAnsi" w:cstheme="minorHAnsi"/>
          <w:bCs/>
          <w:sz w:val="20"/>
          <w:szCs w:val="20"/>
        </w:rPr>
      </w:pPr>
      <w:r w:rsidRPr="00C47A4A">
        <w:rPr>
          <w:rFonts w:asciiTheme="minorHAnsi" w:hAnsiTheme="minorHAnsi" w:cstheme="minorHAnsi"/>
          <w:bCs/>
          <w:sz w:val="20"/>
          <w:szCs w:val="20"/>
        </w:rPr>
        <w:t>Where there is an opportunity, the Board will add members who possess key experience and expertise in particular areas that align with the Company’s long-term ambitions.</w:t>
      </w:r>
    </w:p>
    <w:p w14:paraId="24F4782A" w14:textId="77777777" w:rsidR="00F251DE" w:rsidRPr="00C47A4A" w:rsidRDefault="00F251DE" w:rsidP="00F251DE">
      <w:pPr>
        <w:ind w:left="562"/>
        <w:jc w:val="both"/>
        <w:rPr>
          <w:rFonts w:asciiTheme="minorHAnsi" w:hAnsiTheme="minorHAnsi" w:cstheme="minorHAnsi"/>
          <w:b/>
          <w:sz w:val="20"/>
          <w:szCs w:val="20"/>
        </w:rPr>
      </w:pPr>
    </w:p>
    <w:p w14:paraId="51B2B9E0" w14:textId="77777777" w:rsidR="00F251DE" w:rsidRPr="00C47A4A" w:rsidRDefault="00F251DE" w:rsidP="00F251DE">
      <w:pPr>
        <w:ind w:left="562"/>
        <w:jc w:val="both"/>
        <w:rPr>
          <w:rFonts w:asciiTheme="minorHAnsi" w:hAnsiTheme="minorHAnsi" w:cstheme="minorHAnsi"/>
          <w:b/>
          <w:sz w:val="20"/>
          <w:szCs w:val="20"/>
        </w:rPr>
      </w:pPr>
      <w:r w:rsidRPr="00C47A4A">
        <w:rPr>
          <w:rFonts w:asciiTheme="minorHAnsi" w:hAnsiTheme="minorHAnsi" w:cstheme="minorHAnsi"/>
          <w:b/>
          <w:sz w:val="20"/>
          <w:szCs w:val="20"/>
        </w:rPr>
        <w:t>Principle 8: Promote a corporate structure that is based on ethical values and behaviours</w:t>
      </w:r>
    </w:p>
    <w:p w14:paraId="50919F50" w14:textId="77777777" w:rsidR="00F251DE" w:rsidRPr="00C47A4A" w:rsidRDefault="00F251DE" w:rsidP="00F251DE">
      <w:pPr>
        <w:ind w:left="562"/>
        <w:jc w:val="both"/>
        <w:rPr>
          <w:rFonts w:asciiTheme="minorHAnsi" w:hAnsiTheme="minorHAnsi" w:cstheme="minorHAnsi"/>
          <w:b/>
          <w:sz w:val="20"/>
          <w:szCs w:val="20"/>
        </w:rPr>
      </w:pPr>
    </w:p>
    <w:p w14:paraId="7D99B133" w14:textId="77777777" w:rsidR="00F251DE" w:rsidRPr="00C47A4A" w:rsidRDefault="00F251DE" w:rsidP="00F251DE">
      <w:pPr>
        <w:ind w:left="562"/>
        <w:jc w:val="both"/>
        <w:rPr>
          <w:rFonts w:asciiTheme="minorHAnsi" w:hAnsiTheme="minorHAnsi" w:cstheme="minorHAnsi"/>
          <w:bCs/>
          <w:iCs/>
          <w:sz w:val="20"/>
          <w:szCs w:val="20"/>
          <w:u w:val="single"/>
        </w:rPr>
      </w:pPr>
      <w:r w:rsidRPr="00C47A4A">
        <w:rPr>
          <w:rFonts w:asciiTheme="minorHAnsi" w:hAnsiTheme="minorHAnsi" w:cstheme="minorHAnsi"/>
          <w:bCs/>
          <w:iCs/>
          <w:sz w:val="20"/>
          <w:szCs w:val="20"/>
          <w:u w:val="single"/>
        </w:rPr>
        <w:t>Social, community and human rights issues</w:t>
      </w:r>
    </w:p>
    <w:p w14:paraId="0C2FFC5F" w14:textId="77777777" w:rsidR="00F251DE" w:rsidRPr="00C47A4A" w:rsidRDefault="00F251DE" w:rsidP="00F251DE">
      <w:pPr>
        <w:ind w:left="562"/>
        <w:jc w:val="both"/>
        <w:rPr>
          <w:rFonts w:asciiTheme="minorHAnsi" w:hAnsiTheme="minorHAnsi" w:cstheme="minorHAnsi"/>
          <w:bCs/>
          <w:iCs/>
          <w:sz w:val="20"/>
          <w:szCs w:val="20"/>
          <w:u w:val="single"/>
        </w:rPr>
      </w:pPr>
    </w:p>
    <w:p w14:paraId="6D38AC8F" w14:textId="77777777" w:rsidR="00587474" w:rsidRPr="00C47A4A" w:rsidRDefault="00587474" w:rsidP="00587474">
      <w:pPr>
        <w:ind w:left="562"/>
        <w:jc w:val="both"/>
        <w:rPr>
          <w:rFonts w:asciiTheme="minorHAnsi" w:hAnsiTheme="minorHAnsi" w:cstheme="minorHAnsi"/>
          <w:sz w:val="20"/>
          <w:szCs w:val="20"/>
        </w:rPr>
      </w:pPr>
      <w:r w:rsidRPr="00C47A4A">
        <w:rPr>
          <w:rFonts w:asciiTheme="minorHAnsi" w:hAnsiTheme="minorHAnsi" w:cstheme="minorHAnsi"/>
          <w:sz w:val="20"/>
          <w:szCs w:val="20"/>
        </w:rPr>
        <w:t>openness, diversity and inclusiveness being priorities from the Board to senior management and throughout the workforce.</w:t>
      </w:r>
    </w:p>
    <w:p w14:paraId="3240C8A9" w14:textId="77777777" w:rsidR="00587474" w:rsidRPr="00C47A4A" w:rsidRDefault="00587474" w:rsidP="00587474">
      <w:pPr>
        <w:ind w:left="562"/>
        <w:jc w:val="both"/>
        <w:rPr>
          <w:rFonts w:asciiTheme="minorHAnsi" w:hAnsiTheme="minorHAnsi" w:cstheme="minorHAnsi"/>
          <w:sz w:val="20"/>
          <w:szCs w:val="20"/>
        </w:rPr>
      </w:pPr>
    </w:p>
    <w:p w14:paraId="7A5EC5A5" w14:textId="77777777" w:rsidR="00587474" w:rsidRPr="00C47A4A" w:rsidRDefault="00587474" w:rsidP="00587474">
      <w:pPr>
        <w:ind w:left="562"/>
        <w:jc w:val="both"/>
        <w:rPr>
          <w:rFonts w:asciiTheme="minorHAnsi" w:hAnsiTheme="minorHAnsi" w:cstheme="minorHAnsi"/>
          <w:sz w:val="20"/>
          <w:szCs w:val="20"/>
        </w:rPr>
      </w:pPr>
      <w:r w:rsidRPr="00C47A4A">
        <w:rPr>
          <w:rFonts w:asciiTheme="minorHAnsi" w:hAnsiTheme="minorHAnsi" w:cstheme="minorHAnsi"/>
          <w:sz w:val="20"/>
          <w:szCs w:val="20"/>
        </w:rPr>
        <w:t>We have adopted a formal equal opportunities policy which is contained in our employee handbook. The aim of the policy is to ensure no job applicant, employee or worker is discriminated against either directly or indirectly on the grounds of race, sex, disability, sexual orientation, gender reassignment; marriage or civil partnership; pregnancy or maternity; religion or belief or age.</w:t>
      </w:r>
    </w:p>
    <w:p w14:paraId="20D14B5F" w14:textId="77777777" w:rsidR="00587474" w:rsidRPr="00C47A4A" w:rsidRDefault="00587474" w:rsidP="00587474">
      <w:pPr>
        <w:ind w:left="562"/>
        <w:jc w:val="both"/>
        <w:rPr>
          <w:rFonts w:asciiTheme="minorHAnsi" w:hAnsiTheme="minorHAnsi" w:cstheme="minorHAnsi"/>
          <w:sz w:val="20"/>
          <w:szCs w:val="20"/>
        </w:rPr>
      </w:pPr>
    </w:p>
    <w:p w14:paraId="18453BE1" w14:textId="77777777" w:rsidR="00587474" w:rsidRPr="00C47A4A" w:rsidRDefault="00587474" w:rsidP="00587474">
      <w:pPr>
        <w:ind w:left="562"/>
        <w:jc w:val="both"/>
        <w:rPr>
          <w:rFonts w:asciiTheme="minorHAnsi" w:hAnsiTheme="minorHAnsi" w:cstheme="minorHAnsi"/>
          <w:sz w:val="20"/>
          <w:szCs w:val="20"/>
        </w:rPr>
      </w:pPr>
      <w:r w:rsidRPr="00C47A4A">
        <w:rPr>
          <w:rFonts w:asciiTheme="minorHAnsi" w:hAnsiTheme="minorHAnsi" w:cstheme="minorHAnsi"/>
          <w:sz w:val="20"/>
          <w:szCs w:val="20"/>
        </w:rPr>
        <w:t xml:space="preserve">In presenting this report, and having monitored, reviewed or approved recent shareholder communications, the Board is confident that it has presented a balanced and understandable assessment of the Iconic’s position and prospects. </w:t>
      </w:r>
    </w:p>
    <w:p w14:paraId="7EA508ED" w14:textId="07A13815" w:rsidR="00F251DE" w:rsidRPr="00C47A4A" w:rsidRDefault="00F251DE" w:rsidP="00F251DE">
      <w:pPr>
        <w:spacing w:before="120" w:line="340" w:lineRule="exact"/>
        <w:ind w:left="567"/>
        <w:jc w:val="both"/>
        <w:rPr>
          <w:rFonts w:asciiTheme="minorHAnsi" w:hAnsiTheme="minorHAnsi" w:cstheme="minorHAnsi"/>
          <w:sz w:val="20"/>
          <w:szCs w:val="20"/>
        </w:rPr>
      </w:pPr>
    </w:p>
    <w:p w14:paraId="4EF124BE" w14:textId="141B5FD2" w:rsidR="00587474" w:rsidRPr="00C47A4A" w:rsidRDefault="00587474" w:rsidP="00F251DE">
      <w:pPr>
        <w:spacing w:before="120" w:line="340" w:lineRule="exact"/>
        <w:ind w:left="567"/>
        <w:jc w:val="both"/>
        <w:rPr>
          <w:rFonts w:asciiTheme="minorHAnsi" w:hAnsiTheme="minorHAnsi" w:cstheme="minorHAnsi"/>
          <w:sz w:val="20"/>
          <w:szCs w:val="20"/>
        </w:rPr>
      </w:pPr>
    </w:p>
    <w:p w14:paraId="7A4D67BD" w14:textId="209157FB" w:rsidR="004E635C" w:rsidRPr="00C47A4A" w:rsidRDefault="004E635C" w:rsidP="008F7721">
      <w:pPr>
        <w:ind w:left="562"/>
        <w:jc w:val="both"/>
        <w:rPr>
          <w:rFonts w:asciiTheme="minorHAnsi" w:hAnsiTheme="minorHAnsi" w:cstheme="minorHAnsi"/>
          <w:b/>
          <w:sz w:val="20"/>
          <w:szCs w:val="20"/>
        </w:rPr>
      </w:pPr>
      <w:r w:rsidRPr="00C47A4A">
        <w:rPr>
          <w:rFonts w:asciiTheme="minorHAnsi" w:hAnsiTheme="minorHAnsi" w:cstheme="minorHAnsi"/>
          <w:b/>
          <w:sz w:val="20"/>
          <w:szCs w:val="20"/>
        </w:rPr>
        <w:t>Principle 9: Maintain governance structures and processes that are fit for purpose and support good decision-making by the Board</w:t>
      </w:r>
    </w:p>
    <w:p w14:paraId="0691AC7C" w14:textId="77777777" w:rsidR="004E635C" w:rsidRPr="00C47A4A" w:rsidRDefault="004E635C" w:rsidP="004E635C">
      <w:pPr>
        <w:ind w:left="567"/>
        <w:jc w:val="both"/>
        <w:rPr>
          <w:rFonts w:asciiTheme="minorHAnsi" w:hAnsiTheme="minorHAnsi" w:cstheme="minorHAnsi"/>
          <w:b/>
          <w:sz w:val="20"/>
          <w:szCs w:val="20"/>
        </w:rPr>
      </w:pPr>
    </w:p>
    <w:p w14:paraId="1D92B70A" w14:textId="77777777" w:rsidR="004E635C" w:rsidRPr="00C47A4A" w:rsidRDefault="004E635C" w:rsidP="004E635C">
      <w:pPr>
        <w:ind w:left="567"/>
        <w:jc w:val="both"/>
        <w:rPr>
          <w:rFonts w:asciiTheme="minorHAnsi" w:hAnsiTheme="minorHAnsi" w:cstheme="minorHAnsi"/>
          <w:bCs/>
          <w:sz w:val="20"/>
          <w:szCs w:val="20"/>
          <w:u w:val="single"/>
        </w:rPr>
      </w:pPr>
      <w:r w:rsidRPr="00C47A4A">
        <w:rPr>
          <w:rFonts w:asciiTheme="minorHAnsi" w:hAnsiTheme="minorHAnsi" w:cstheme="minorHAnsi"/>
          <w:bCs/>
          <w:sz w:val="20"/>
          <w:szCs w:val="20"/>
          <w:u w:val="single"/>
        </w:rPr>
        <w:t>Remuneration Committee</w:t>
      </w:r>
    </w:p>
    <w:p w14:paraId="2084B1A2" w14:textId="77777777" w:rsidR="004E635C" w:rsidRPr="00C47A4A" w:rsidRDefault="004E635C" w:rsidP="004E635C">
      <w:pPr>
        <w:ind w:left="567"/>
        <w:jc w:val="both"/>
        <w:rPr>
          <w:rFonts w:asciiTheme="minorHAnsi" w:hAnsiTheme="minorHAnsi" w:cstheme="minorHAnsi"/>
          <w:bCs/>
          <w:sz w:val="20"/>
          <w:szCs w:val="20"/>
          <w:u w:val="single"/>
        </w:rPr>
      </w:pPr>
    </w:p>
    <w:p w14:paraId="1D9F53C5" w14:textId="49AD9E8A" w:rsidR="004E635C" w:rsidRPr="00C47A4A" w:rsidRDefault="004E635C" w:rsidP="004E635C">
      <w:pPr>
        <w:ind w:left="567"/>
        <w:jc w:val="both"/>
        <w:rPr>
          <w:rFonts w:asciiTheme="minorHAnsi" w:hAnsiTheme="minorHAnsi" w:cstheme="minorHAnsi"/>
          <w:sz w:val="20"/>
          <w:szCs w:val="20"/>
        </w:rPr>
      </w:pPr>
      <w:r w:rsidRPr="00C47A4A">
        <w:rPr>
          <w:rFonts w:asciiTheme="minorHAnsi" w:hAnsiTheme="minorHAnsi" w:cstheme="minorHAnsi"/>
          <w:sz w:val="20"/>
          <w:szCs w:val="20"/>
        </w:rPr>
        <w:t>At 30 June 202</w:t>
      </w:r>
      <w:r w:rsidR="00C47A4A">
        <w:rPr>
          <w:rFonts w:asciiTheme="minorHAnsi" w:hAnsiTheme="minorHAnsi" w:cstheme="minorHAnsi"/>
          <w:sz w:val="20"/>
          <w:szCs w:val="20"/>
        </w:rPr>
        <w:t>2</w:t>
      </w:r>
      <w:r w:rsidRPr="00C47A4A">
        <w:rPr>
          <w:rFonts w:asciiTheme="minorHAnsi" w:hAnsiTheme="minorHAnsi" w:cstheme="minorHAnsi"/>
          <w:sz w:val="20"/>
          <w:szCs w:val="20"/>
        </w:rPr>
        <w:t xml:space="preserve">, the Remuneration Committee is comprised of Brad Taylor and David Štýbr. There are no employees as of that date and continuing through the fourth quarter of 2022. Since the change of management in March 2021 until the fourth quarter of 2022, there have been no Remuneration Committee meetings as a result of the administration and restructuring of the Company.     </w:t>
      </w:r>
    </w:p>
    <w:p w14:paraId="045D5DB9" w14:textId="77777777" w:rsidR="004E635C" w:rsidRPr="00C47A4A" w:rsidRDefault="004E635C" w:rsidP="004E635C">
      <w:pPr>
        <w:ind w:left="567"/>
        <w:jc w:val="both"/>
        <w:rPr>
          <w:rFonts w:asciiTheme="minorHAnsi" w:hAnsiTheme="minorHAnsi" w:cstheme="minorHAnsi"/>
          <w:sz w:val="20"/>
          <w:szCs w:val="20"/>
        </w:rPr>
      </w:pPr>
    </w:p>
    <w:p w14:paraId="0CE13BAE" w14:textId="77777777" w:rsidR="004E635C" w:rsidRPr="00C47A4A" w:rsidRDefault="004E635C" w:rsidP="004E635C">
      <w:pPr>
        <w:ind w:left="567"/>
        <w:jc w:val="both"/>
        <w:rPr>
          <w:rFonts w:asciiTheme="minorHAnsi" w:hAnsiTheme="minorHAnsi" w:cstheme="minorHAnsi"/>
          <w:sz w:val="20"/>
          <w:szCs w:val="20"/>
        </w:rPr>
      </w:pPr>
      <w:r w:rsidRPr="00C47A4A">
        <w:rPr>
          <w:rFonts w:asciiTheme="minorHAnsi" w:hAnsiTheme="minorHAnsi" w:cstheme="minorHAnsi"/>
          <w:sz w:val="20"/>
          <w:szCs w:val="20"/>
        </w:rPr>
        <w:t>The Remuneration Committee’s role is to set Iconic’s remuneration policy, determine the remuneration packages of the executive Directors and set the targets for performance-related pay.</w:t>
      </w:r>
    </w:p>
    <w:p w14:paraId="37BB41E7" w14:textId="77777777" w:rsidR="004E635C" w:rsidRPr="00C47A4A" w:rsidRDefault="004E635C" w:rsidP="004E635C">
      <w:pPr>
        <w:ind w:left="567"/>
        <w:jc w:val="both"/>
        <w:rPr>
          <w:rFonts w:asciiTheme="minorHAnsi" w:hAnsiTheme="minorHAnsi" w:cstheme="minorHAnsi"/>
          <w:sz w:val="20"/>
          <w:szCs w:val="20"/>
        </w:rPr>
      </w:pPr>
    </w:p>
    <w:p w14:paraId="25DBFD88" w14:textId="77777777" w:rsidR="004E635C" w:rsidRPr="00C47A4A" w:rsidRDefault="004E635C" w:rsidP="004E635C">
      <w:pPr>
        <w:ind w:left="567"/>
        <w:jc w:val="both"/>
        <w:rPr>
          <w:rFonts w:asciiTheme="minorHAnsi" w:hAnsiTheme="minorHAnsi" w:cstheme="minorHAnsi"/>
          <w:sz w:val="20"/>
          <w:szCs w:val="20"/>
        </w:rPr>
      </w:pPr>
      <w:r w:rsidRPr="00C47A4A">
        <w:rPr>
          <w:rFonts w:asciiTheme="minorHAnsi" w:hAnsiTheme="minorHAnsi" w:cstheme="minorHAnsi"/>
          <w:sz w:val="20"/>
          <w:szCs w:val="20"/>
        </w:rPr>
        <w:t>The Remuneration Committee shall:</w:t>
      </w:r>
    </w:p>
    <w:p w14:paraId="039A103E" w14:textId="77777777" w:rsidR="004E635C" w:rsidRPr="00C47A4A" w:rsidRDefault="004E635C" w:rsidP="004E635C">
      <w:pPr>
        <w:ind w:left="567"/>
        <w:jc w:val="both"/>
        <w:rPr>
          <w:rFonts w:asciiTheme="minorHAnsi" w:hAnsiTheme="minorHAnsi" w:cstheme="minorHAnsi"/>
          <w:sz w:val="20"/>
          <w:szCs w:val="20"/>
        </w:rPr>
      </w:pPr>
    </w:p>
    <w:p w14:paraId="486DD917" w14:textId="77777777" w:rsidR="004E635C" w:rsidRPr="00C47A4A" w:rsidRDefault="004E635C" w:rsidP="00B2796D">
      <w:pPr>
        <w:pStyle w:val="ListParagraph"/>
        <w:numPr>
          <w:ilvl w:val="0"/>
          <w:numId w:val="17"/>
        </w:numPr>
        <w:jc w:val="both"/>
        <w:rPr>
          <w:rFonts w:asciiTheme="minorHAnsi" w:hAnsiTheme="minorHAnsi" w:cstheme="minorHAnsi"/>
          <w:sz w:val="20"/>
          <w:szCs w:val="20"/>
        </w:rPr>
      </w:pPr>
      <w:r w:rsidRPr="00C47A4A">
        <w:rPr>
          <w:rFonts w:asciiTheme="minorHAnsi" w:hAnsiTheme="minorHAnsi" w:cstheme="minorHAnsi"/>
          <w:sz w:val="20"/>
          <w:szCs w:val="20"/>
        </w:rPr>
        <w:t xml:space="preserve">Discuss and approve the salaries and benefits for the key employees and executives. </w:t>
      </w:r>
    </w:p>
    <w:p w14:paraId="392E1488" w14:textId="77777777" w:rsidR="004E635C" w:rsidRPr="00C47A4A" w:rsidRDefault="004E635C" w:rsidP="00B2796D">
      <w:pPr>
        <w:pStyle w:val="ListParagraph"/>
        <w:numPr>
          <w:ilvl w:val="0"/>
          <w:numId w:val="17"/>
        </w:numPr>
        <w:jc w:val="both"/>
        <w:rPr>
          <w:rFonts w:asciiTheme="minorHAnsi" w:hAnsiTheme="minorHAnsi" w:cstheme="minorHAnsi"/>
          <w:sz w:val="20"/>
          <w:szCs w:val="20"/>
        </w:rPr>
      </w:pPr>
      <w:r w:rsidRPr="00C47A4A">
        <w:rPr>
          <w:rFonts w:asciiTheme="minorHAnsi" w:hAnsiTheme="minorHAnsi" w:cstheme="minorHAnsi"/>
          <w:sz w:val="20"/>
          <w:szCs w:val="20"/>
        </w:rPr>
        <w:t>Discuss and agree deferral of certain parts of the salaries and benefits.</w:t>
      </w:r>
    </w:p>
    <w:p w14:paraId="37D682B1" w14:textId="77777777" w:rsidR="004E635C" w:rsidRPr="00C47A4A" w:rsidRDefault="004E635C" w:rsidP="00B2796D">
      <w:pPr>
        <w:pStyle w:val="ListParagraph"/>
        <w:numPr>
          <w:ilvl w:val="0"/>
          <w:numId w:val="17"/>
        </w:numPr>
        <w:jc w:val="both"/>
        <w:rPr>
          <w:rFonts w:asciiTheme="minorHAnsi" w:hAnsiTheme="minorHAnsi" w:cstheme="minorHAnsi"/>
          <w:sz w:val="20"/>
          <w:szCs w:val="20"/>
        </w:rPr>
      </w:pPr>
      <w:r w:rsidRPr="00C47A4A">
        <w:rPr>
          <w:rFonts w:asciiTheme="minorHAnsi" w:hAnsiTheme="minorHAnsi" w:cstheme="minorHAnsi"/>
          <w:sz w:val="20"/>
          <w:szCs w:val="20"/>
        </w:rPr>
        <w:t>Discuss a proposed employee option scheme which it intends to implement in the near future.</w:t>
      </w:r>
    </w:p>
    <w:p w14:paraId="3B609F9C" w14:textId="77777777" w:rsidR="004E635C" w:rsidRPr="00C47A4A" w:rsidRDefault="004E635C" w:rsidP="004E635C">
      <w:pPr>
        <w:pStyle w:val="ListParagraph"/>
        <w:ind w:left="927"/>
        <w:jc w:val="both"/>
        <w:rPr>
          <w:rFonts w:asciiTheme="minorHAnsi" w:hAnsiTheme="minorHAnsi" w:cstheme="minorHAnsi"/>
          <w:sz w:val="20"/>
          <w:szCs w:val="20"/>
        </w:rPr>
      </w:pPr>
    </w:p>
    <w:p w14:paraId="04D7FF50" w14:textId="77777777" w:rsidR="004E635C" w:rsidRPr="00C47A4A" w:rsidRDefault="004E635C" w:rsidP="004E635C">
      <w:pPr>
        <w:ind w:left="567"/>
        <w:jc w:val="both"/>
        <w:rPr>
          <w:rFonts w:asciiTheme="minorHAnsi" w:hAnsiTheme="minorHAnsi" w:cstheme="minorHAnsi"/>
          <w:bCs/>
          <w:sz w:val="20"/>
          <w:szCs w:val="20"/>
          <w:u w:val="single"/>
        </w:rPr>
      </w:pPr>
      <w:r w:rsidRPr="00C47A4A">
        <w:rPr>
          <w:rFonts w:asciiTheme="minorHAnsi" w:hAnsiTheme="minorHAnsi" w:cstheme="minorHAnsi"/>
          <w:bCs/>
          <w:sz w:val="20"/>
          <w:szCs w:val="20"/>
          <w:u w:val="single"/>
        </w:rPr>
        <w:t>Audit Committee</w:t>
      </w:r>
    </w:p>
    <w:p w14:paraId="6D6A5928" w14:textId="77777777" w:rsidR="004E635C" w:rsidRPr="00C47A4A" w:rsidRDefault="004E635C" w:rsidP="004E635C">
      <w:pPr>
        <w:ind w:left="567"/>
        <w:jc w:val="both"/>
        <w:rPr>
          <w:rFonts w:asciiTheme="minorHAnsi" w:hAnsiTheme="minorHAnsi" w:cstheme="minorHAnsi"/>
          <w:bCs/>
          <w:sz w:val="20"/>
          <w:szCs w:val="20"/>
          <w:u w:val="single"/>
        </w:rPr>
      </w:pPr>
    </w:p>
    <w:p w14:paraId="23EB3D1B" w14:textId="3820C6F8" w:rsidR="004E635C" w:rsidRPr="00C47A4A" w:rsidRDefault="004E635C" w:rsidP="004E635C">
      <w:pPr>
        <w:ind w:left="567"/>
        <w:jc w:val="both"/>
        <w:rPr>
          <w:rFonts w:asciiTheme="minorHAnsi" w:hAnsiTheme="minorHAnsi" w:cstheme="minorHAnsi"/>
          <w:sz w:val="20"/>
          <w:szCs w:val="20"/>
        </w:rPr>
      </w:pPr>
      <w:r w:rsidRPr="00C47A4A">
        <w:rPr>
          <w:rFonts w:asciiTheme="minorHAnsi" w:hAnsiTheme="minorHAnsi" w:cstheme="minorHAnsi"/>
          <w:sz w:val="20"/>
          <w:szCs w:val="20"/>
        </w:rPr>
        <w:t>At 30 June 202</w:t>
      </w:r>
      <w:r w:rsidR="00C47A4A">
        <w:rPr>
          <w:rFonts w:asciiTheme="minorHAnsi" w:hAnsiTheme="minorHAnsi" w:cstheme="minorHAnsi"/>
          <w:sz w:val="20"/>
          <w:szCs w:val="20"/>
        </w:rPr>
        <w:t>2</w:t>
      </w:r>
      <w:r w:rsidRPr="00C47A4A">
        <w:rPr>
          <w:rFonts w:asciiTheme="minorHAnsi" w:hAnsiTheme="minorHAnsi" w:cstheme="minorHAnsi"/>
          <w:sz w:val="20"/>
          <w:szCs w:val="20"/>
        </w:rPr>
        <w:t xml:space="preserve">, the Audit Committee is comprised of Brad Taylor and David Stybr. Iconic’s accounting is provided by Azets and its audits are conducted by Nordens Audit Limited. </w:t>
      </w:r>
      <w:r w:rsidR="00C47A4A">
        <w:rPr>
          <w:rFonts w:asciiTheme="minorHAnsi" w:hAnsiTheme="minorHAnsi" w:cstheme="minorHAnsi"/>
          <w:sz w:val="20"/>
          <w:szCs w:val="20"/>
        </w:rPr>
        <w:t xml:space="preserve">From 1 July 2021 through </w:t>
      </w:r>
      <w:r w:rsidRPr="00C47A4A">
        <w:rPr>
          <w:rFonts w:asciiTheme="minorHAnsi" w:hAnsiTheme="minorHAnsi" w:cstheme="minorHAnsi"/>
          <w:sz w:val="20"/>
          <w:szCs w:val="20"/>
        </w:rPr>
        <w:t>the fourth quarter of 2022, there has only been one Audit Committee meeting that was held to approve this 202</w:t>
      </w:r>
      <w:r w:rsidR="00C47A4A">
        <w:rPr>
          <w:rFonts w:asciiTheme="minorHAnsi" w:hAnsiTheme="minorHAnsi" w:cstheme="minorHAnsi"/>
          <w:sz w:val="20"/>
          <w:szCs w:val="20"/>
        </w:rPr>
        <w:t>2</w:t>
      </w:r>
      <w:r w:rsidRPr="00C47A4A">
        <w:rPr>
          <w:rFonts w:asciiTheme="minorHAnsi" w:hAnsiTheme="minorHAnsi" w:cstheme="minorHAnsi"/>
          <w:sz w:val="20"/>
          <w:szCs w:val="20"/>
        </w:rPr>
        <w:t xml:space="preserve"> Audited Annual Report &amp; Accounts. </w:t>
      </w:r>
    </w:p>
    <w:p w14:paraId="12940C1A" w14:textId="77777777" w:rsidR="004E635C" w:rsidRPr="00C47A4A" w:rsidRDefault="004E635C" w:rsidP="004E635C">
      <w:pPr>
        <w:ind w:left="567"/>
        <w:jc w:val="both"/>
        <w:rPr>
          <w:rFonts w:asciiTheme="minorHAnsi" w:hAnsiTheme="minorHAnsi" w:cstheme="minorHAnsi"/>
          <w:sz w:val="20"/>
          <w:szCs w:val="20"/>
        </w:rPr>
      </w:pPr>
    </w:p>
    <w:p w14:paraId="54A10C5F" w14:textId="77777777" w:rsidR="004E635C" w:rsidRPr="00C47A4A" w:rsidRDefault="004E635C" w:rsidP="004E635C">
      <w:pPr>
        <w:ind w:left="567"/>
        <w:jc w:val="both"/>
        <w:rPr>
          <w:rFonts w:asciiTheme="minorHAnsi" w:hAnsiTheme="minorHAnsi" w:cstheme="minorHAnsi"/>
          <w:sz w:val="20"/>
          <w:szCs w:val="20"/>
        </w:rPr>
      </w:pPr>
      <w:r w:rsidRPr="00C47A4A">
        <w:rPr>
          <w:rFonts w:asciiTheme="minorHAnsi" w:hAnsiTheme="minorHAnsi" w:cstheme="minorHAnsi"/>
          <w:sz w:val="20"/>
          <w:szCs w:val="20"/>
        </w:rPr>
        <w:t xml:space="preserve">The Audit Committee shall: </w:t>
      </w:r>
    </w:p>
    <w:p w14:paraId="41648AED" w14:textId="77777777" w:rsidR="004E635C" w:rsidRPr="00C47A4A" w:rsidRDefault="004E635C" w:rsidP="004E635C">
      <w:pPr>
        <w:ind w:left="567"/>
        <w:jc w:val="both"/>
        <w:rPr>
          <w:rFonts w:asciiTheme="minorHAnsi" w:hAnsiTheme="minorHAnsi" w:cstheme="minorHAnsi"/>
          <w:sz w:val="20"/>
          <w:szCs w:val="20"/>
        </w:rPr>
      </w:pPr>
    </w:p>
    <w:p w14:paraId="49328DF3" w14:textId="77777777" w:rsidR="004E635C" w:rsidRPr="00C47A4A" w:rsidRDefault="004E635C" w:rsidP="00B2796D">
      <w:pPr>
        <w:pStyle w:val="ListParagraph"/>
        <w:numPr>
          <w:ilvl w:val="0"/>
          <w:numId w:val="18"/>
        </w:numPr>
        <w:jc w:val="both"/>
        <w:rPr>
          <w:rFonts w:asciiTheme="minorHAnsi" w:hAnsiTheme="minorHAnsi" w:cstheme="minorHAnsi"/>
          <w:sz w:val="20"/>
          <w:szCs w:val="20"/>
        </w:rPr>
      </w:pPr>
      <w:r w:rsidRPr="00C47A4A">
        <w:rPr>
          <w:rFonts w:asciiTheme="minorHAnsi" w:hAnsiTheme="minorHAnsi" w:cstheme="minorHAnsi"/>
          <w:sz w:val="20"/>
          <w:szCs w:val="20"/>
        </w:rPr>
        <w:t xml:space="preserve">Monitor the integrity of the financial statements and any formal announcements relating to financial performance. </w:t>
      </w:r>
    </w:p>
    <w:p w14:paraId="337C73AD" w14:textId="77777777" w:rsidR="004E635C" w:rsidRPr="00C47A4A" w:rsidRDefault="004E635C" w:rsidP="00B2796D">
      <w:pPr>
        <w:pStyle w:val="ListParagraph"/>
        <w:numPr>
          <w:ilvl w:val="0"/>
          <w:numId w:val="18"/>
        </w:numPr>
        <w:jc w:val="both"/>
        <w:rPr>
          <w:rFonts w:asciiTheme="minorHAnsi" w:hAnsiTheme="minorHAnsi" w:cstheme="minorHAnsi"/>
          <w:sz w:val="20"/>
          <w:szCs w:val="20"/>
        </w:rPr>
      </w:pPr>
      <w:r w:rsidRPr="00C47A4A">
        <w:rPr>
          <w:rFonts w:asciiTheme="minorHAnsi" w:hAnsiTheme="minorHAnsi" w:cstheme="minorHAnsi"/>
          <w:sz w:val="20"/>
          <w:szCs w:val="20"/>
        </w:rPr>
        <w:t>Review internal financial controls and risk management systems.</w:t>
      </w:r>
    </w:p>
    <w:p w14:paraId="486E89DD" w14:textId="77777777" w:rsidR="004E635C" w:rsidRPr="00C47A4A" w:rsidRDefault="004E635C" w:rsidP="00B2796D">
      <w:pPr>
        <w:pStyle w:val="ListParagraph"/>
        <w:numPr>
          <w:ilvl w:val="0"/>
          <w:numId w:val="18"/>
        </w:numPr>
        <w:jc w:val="both"/>
        <w:rPr>
          <w:rFonts w:asciiTheme="minorHAnsi" w:hAnsiTheme="minorHAnsi" w:cstheme="minorHAnsi"/>
          <w:sz w:val="20"/>
          <w:szCs w:val="20"/>
        </w:rPr>
      </w:pPr>
      <w:r w:rsidRPr="00C47A4A">
        <w:rPr>
          <w:rFonts w:asciiTheme="minorHAnsi" w:hAnsiTheme="minorHAnsi" w:cstheme="minorHAnsi"/>
          <w:sz w:val="20"/>
          <w:szCs w:val="20"/>
        </w:rPr>
        <w:t>Make recommendations to the Board in relation to the appointment, re-appointment and removal of auditors, including approving the remuneration and terms of engagement of the auditor.</w:t>
      </w:r>
    </w:p>
    <w:p w14:paraId="53ABD134" w14:textId="77777777" w:rsidR="004E635C" w:rsidRPr="00C47A4A" w:rsidRDefault="004E635C" w:rsidP="00B2796D">
      <w:pPr>
        <w:pStyle w:val="ListParagraph"/>
        <w:numPr>
          <w:ilvl w:val="0"/>
          <w:numId w:val="18"/>
        </w:numPr>
        <w:jc w:val="both"/>
        <w:rPr>
          <w:rFonts w:asciiTheme="minorHAnsi" w:hAnsiTheme="minorHAnsi" w:cstheme="minorHAnsi"/>
          <w:sz w:val="20"/>
          <w:szCs w:val="20"/>
        </w:rPr>
      </w:pPr>
      <w:r w:rsidRPr="00C47A4A">
        <w:rPr>
          <w:rFonts w:asciiTheme="minorHAnsi" w:hAnsiTheme="minorHAnsi" w:cstheme="minorHAnsi"/>
          <w:sz w:val="20"/>
          <w:szCs w:val="20"/>
        </w:rPr>
        <w:t xml:space="preserve">Review the auditor’s independence and objectivity </w:t>
      </w:r>
    </w:p>
    <w:p w14:paraId="0185A3A4" w14:textId="77777777" w:rsidR="004E635C" w:rsidRPr="00C47A4A" w:rsidRDefault="004E635C" w:rsidP="00B2796D">
      <w:pPr>
        <w:pStyle w:val="ListParagraph"/>
        <w:numPr>
          <w:ilvl w:val="0"/>
          <w:numId w:val="18"/>
        </w:numPr>
        <w:jc w:val="both"/>
        <w:rPr>
          <w:rFonts w:asciiTheme="minorHAnsi" w:hAnsiTheme="minorHAnsi" w:cstheme="minorHAnsi"/>
          <w:sz w:val="20"/>
          <w:szCs w:val="20"/>
        </w:rPr>
      </w:pPr>
      <w:r w:rsidRPr="00C47A4A">
        <w:rPr>
          <w:rFonts w:asciiTheme="minorHAnsi" w:hAnsiTheme="minorHAnsi" w:cstheme="minorHAnsi"/>
          <w:sz w:val="20"/>
          <w:szCs w:val="20"/>
        </w:rPr>
        <w:t>Develop and implement the non-audit services policy.</w:t>
      </w:r>
    </w:p>
    <w:p w14:paraId="7EE385B1" w14:textId="77777777" w:rsidR="004E635C" w:rsidRPr="00C47A4A" w:rsidRDefault="004E635C" w:rsidP="004E635C">
      <w:pPr>
        <w:pStyle w:val="ListParagraph"/>
        <w:ind w:left="927"/>
        <w:jc w:val="both"/>
        <w:rPr>
          <w:rFonts w:asciiTheme="minorHAnsi" w:hAnsiTheme="minorHAnsi" w:cstheme="minorHAnsi"/>
          <w:sz w:val="20"/>
          <w:szCs w:val="20"/>
        </w:rPr>
      </w:pPr>
    </w:p>
    <w:p w14:paraId="798CE391" w14:textId="77777777" w:rsidR="004E635C" w:rsidRPr="00C47A4A" w:rsidRDefault="004E635C" w:rsidP="004E635C">
      <w:pPr>
        <w:ind w:left="567"/>
        <w:jc w:val="both"/>
        <w:rPr>
          <w:rFonts w:asciiTheme="minorHAnsi" w:hAnsiTheme="minorHAnsi" w:cstheme="minorHAnsi"/>
          <w:bCs/>
          <w:sz w:val="20"/>
          <w:szCs w:val="20"/>
          <w:u w:val="single"/>
        </w:rPr>
      </w:pPr>
      <w:r w:rsidRPr="00C47A4A">
        <w:rPr>
          <w:rFonts w:asciiTheme="minorHAnsi" w:hAnsiTheme="minorHAnsi" w:cstheme="minorHAnsi"/>
          <w:bCs/>
          <w:sz w:val="20"/>
          <w:szCs w:val="20"/>
          <w:u w:val="single"/>
        </w:rPr>
        <w:t>Board and Committee Responsibility and Activity</w:t>
      </w:r>
    </w:p>
    <w:p w14:paraId="2D031841" w14:textId="77777777" w:rsidR="004E635C" w:rsidRPr="00C47A4A" w:rsidRDefault="004E635C" w:rsidP="004E635C">
      <w:pPr>
        <w:ind w:left="567"/>
        <w:jc w:val="both"/>
        <w:rPr>
          <w:rFonts w:asciiTheme="minorHAnsi" w:hAnsiTheme="minorHAnsi" w:cstheme="minorHAnsi"/>
          <w:bCs/>
          <w:sz w:val="20"/>
          <w:szCs w:val="20"/>
          <w:u w:val="single"/>
        </w:rPr>
      </w:pPr>
    </w:p>
    <w:p w14:paraId="6AC642B6" w14:textId="77777777" w:rsidR="004E635C" w:rsidRPr="00C47A4A" w:rsidRDefault="004E635C" w:rsidP="004E635C">
      <w:pPr>
        <w:ind w:left="567"/>
        <w:jc w:val="both"/>
        <w:rPr>
          <w:rFonts w:asciiTheme="minorHAnsi" w:hAnsiTheme="minorHAnsi" w:cstheme="minorHAnsi"/>
          <w:sz w:val="20"/>
          <w:szCs w:val="20"/>
        </w:rPr>
      </w:pPr>
      <w:r w:rsidRPr="00C47A4A">
        <w:rPr>
          <w:rFonts w:asciiTheme="minorHAnsi" w:hAnsiTheme="minorHAnsi" w:cstheme="minorHAnsi"/>
          <w:bCs/>
          <w:sz w:val="20"/>
          <w:szCs w:val="20"/>
        </w:rPr>
        <w:t xml:space="preserve">The Terms of Reference for each of the committees shall be </w:t>
      </w:r>
      <w:r w:rsidRPr="00C47A4A">
        <w:rPr>
          <w:rFonts w:asciiTheme="minorHAnsi" w:hAnsiTheme="minorHAnsi" w:cstheme="minorHAnsi"/>
          <w:sz w:val="20"/>
          <w:szCs w:val="20"/>
        </w:rPr>
        <w:t xml:space="preserve">available to view on the Company’s website. </w:t>
      </w:r>
    </w:p>
    <w:p w14:paraId="52FA3CCC" w14:textId="77777777" w:rsidR="004E635C" w:rsidRPr="00C47A4A" w:rsidRDefault="004E635C" w:rsidP="004E635C">
      <w:pPr>
        <w:tabs>
          <w:tab w:val="left" w:pos="567"/>
          <w:tab w:val="left" w:pos="1134"/>
        </w:tabs>
        <w:jc w:val="both"/>
        <w:rPr>
          <w:rFonts w:asciiTheme="minorHAnsi" w:hAnsiTheme="minorHAnsi" w:cstheme="minorHAnsi"/>
          <w:sz w:val="20"/>
          <w:szCs w:val="20"/>
        </w:rPr>
      </w:pPr>
      <w:r w:rsidRPr="00C47A4A">
        <w:rPr>
          <w:rFonts w:asciiTheme="minorHAnsi" w:hAnsiTheme="minorHAnsi" w:cstheme="minorHAnsi"/>
          <w:sz w:val="20"/>
          <w:szCs w:val="20"/>
        </w:rPr>
        <w:tab/>
      </w:r>
      <w:r w:rsidRPr="00C47A4A">
        <w:rPr>
          <w:rFonts w:asciiTheme="minorHAnsi" w:hAnsiTheme="minorHAnsi" w:cstheme="minorHAnsi"/>
          <w:sz w:val="20"/>
          <w:szCs w:val="20"/>
        </w:rPr>
        <w:tab/>
      </w:r>
      <w:r w:rsidRPr="00C47A4A">
        <w:rPr>
          <w:rFonts w:asciiTheme="minorHAnsi" w:hAnsiTheme="minorHAnsi" w:cstheme="minorHAnsi"/>
          <w:sz w:val="20"/>
          <w:szCs w:val="20"/>
        </w:rPr>
        <w:tab/>
      </w:r>
      <w:r w:rsidRPr="00C47A4A">
        <w:rPr>
          <w:rFonts w:asciiTheme="minorHAnsi" w:hAnsiTheme="minorHAnsi" w:cstheme="minorHAnsi"/>
          <w:sz w:val="20"/>
          <w:szCs w:val="20"/>
        </w:rPr>
        <w:tab/>
      </w:r>
      <w:r w:rsidRPr="00C47A4A">
        <w:rPr>
          <w:rFonts w:asciiTheme="minorHAnsi" w:hAnsiTheme="minorHAnsi" w:cstheme="minorHAnsi"/>
          <w:sz w:val="20"/>
          <w:szCs w:val="20"/>
        </w:rPr>
        <w:tab/>
      </w:r>
      <w:r w:rsidRPr="00C47A4A">
        <w:rPr>
          <w:rFonts w:asciiTheme="minorHAnsi" w:hAnsiTheme="minorHAnsi" w:cstheme="minorHAnsi"/>
          <w:sz w:val="20"/>
          <w:szCs w:val="20"/>
        </w:rPr>
        <w:tab/>
      </w:r>
      <w:r w:rsidRPr="00C47A4A">
        <w:rPr>
          <w:rFonts w:asciiTheme="minorHAnsi" w:hAnsiTheme="minorHAnsi" w:cstheme="minorHAnsi"/>
          <w:sz w:val="20"/>
          <w:szCs w:val="20"/>
        </w:rPr>
        <w:tab/>
      </w:r>
    </w:p>
    <w:p w14:paraId="64FB418A" w14:textId="77777777" w:rsidR="004E635C" w:rsidRPr="00C47A4A" w:rsidRDefault="004E635C" w:rsidP="004E635C">
      <w:pPr>
        <w:ind w:left="567"/>
        <w:jc w:val="both"/>
        <w:rPr>
          <w:rFonts w:asciiTheme="minorHAnsi" w:hAnsiTheme="minorHAnsi" w:cstheme="minorHAnsi"/>
          <w:sz w:val="20"/>
          <w:szCs w:val="20"/>
        </w:rPr>
      </w:pPr>
      <w:r w:rsidRPr="00C47A4A">
        <w:rPr>
          <w:rFonts w:asciiTheme="minorHAnsi" w:hAnsiTheme="minorHAnsi" w:cstheme="minorHAnsi"/>
          <w:sz w:val="20"/>
          <w:szCs w:val="20"/>
        </w:rPr>
        <w:t>Board meetings are usually held at the Company’s principal working office, however due to the COVID-19 pandemic the Directors moved towards holding meetings online. Directors are provided with comprehensive background information for each meeting and all Directors have been able to participate fully and on an informed basis in the Board decisions. In addition, certain members of the senior management team have been invited to attend the whole or parts of the meetings to deliver reports on the business. Any specific actions arising during meetings are agreed by the Board and followed up and reviewed at subsequent Board meetings to ensure their completion.</w:t>
      </w:r>
    </w:p>
    <w:p w14:paraId="6CE768F5" w14:textId="6C426DC8" w:rsidR="00320CBB" w:rsidRPr="00C47A4A" w:rsidRDefault="00320CBB" w:rsidP="00DB31D2">
      <w:pPr>
        <w:pStyle w:val="ListParagraph"/>
        <w:spacing w:before="120" w:line="340" w:lineRule="exact"/>
        <w:ind w:left="567"/>
        <w:jc w:val="both"/>
        <w:rPr>
          <w:rFonts w:asciiTheme="minorHAnsi" w:hAnsiTheme="minorHAnsi" w:cstheme="minorHAnsi"/>
          <w:sz w:val="20"/>
          <w:szCs w:val="20"/>
        </w:rPr>
      </w:pPr>
    </w:p>
    <w:p w14:paraId="4B7A81D3" w14:textId="72002BD0" w:rsidR="00FE0A7C" w:rsidRDefault="00FE0A7C" w:rsidP="00DB31D2">
      <w:pPr>
        <w:pStyle w:val="ListParagraph"/>
        <w:spacing w:before="120" w:line="340" w:lineRule="exact"/>
        <w:ind w:left="567"/>
        <w:jc w:val="both"/>
        <w:rPr>
          <w:rFonts w:asciiTheme="minorHAnsi" w:hAnsiTheme="minorHAnsi" w:cstheme="minorHAnsi"/>
          <w:sz w:val="20"/>
          <w:szCs w:val="20"/>
        </w:rPr>
      </w:pPr>
    </w:p>
    <w:p w14:paraId="0B9DCD2B" w14:textId="3FD48ED0" w:rsidR="008F7721" w:rsidRDefault="008F7721" w:rsidP="00DB31D2">
      <w:pPr>
        <w:pStyle w:val="ListParagraph"/>
        <w:spacing w:before="120" w:line="340" w:lineRule="exact"/>
        <w:ind w:left="567"/>
        <w:jc w:val="both"/>
        <w:rPr>
          <w:rFonts w:asciiTheme="minorHAnsi" w:hAnsiTheme="minorHAnsi" w:cstheme="minorHAnsi"/>
          <w:sz w:val="20"/>
          <w:szCs w:val="20"/>
        </w:rPr>
      </w:pPr>
    </w:p>
    <w:p w14:paraId="58779123" w14:textId="7E07C1CE" w:rsidR="008F7721" w:rsidRDefault="008F7721" w:rsidP="00DB31D2">
      <w:pPr>
        <w:pStyle w:val="ListParagraph"/>
        <w:spacing w:before="120" w:line="340" w:lineRule="exact"/>
        <w:ind w:left="567"/>
        <w:jc w:val="both"/>
        <w:rPr>
          <w:rFonts w:asciiTheme="minorHAnsi" w:hAnsiTheme="minorHAnsi" w:cstheme="minorHAnsi"/>
          <w:sz w:val="20"/>
          <w:szCs w:val="20"/>
        </w:rPr>
      </w:pPr>
    </w:p>
    <w:p w14:paraId="0AA2F0BA" w14:textId="77777777" w:rsidR="008F7721" w:rsidRPr="00C47A4A" w:rsidRDefault="008F7721" w:rsidP="00DB31D2">
      <w:pPr>
        <w:pStyle w:val="ListParagraph"/>
        <w:spacing w:before="120" w:line="340" w:lineRule="exact"/>
        <w:ind w:left="567"/>
        <w:jc w:val="both"/>
        <w:rPr>
          <w:rFonts w:asciiTheme="minorHAnsi" w:hAnsiTheme="minorHAnsi" w:cstheme="minorHAnsi"/>
          <w:sz w:val="20"/>
          <w:szCs w:val="20"/>
        </w:rPr>
      </w:pPr>
    </w:p>
    <w:p w14:paraId="43F58DCC" w14:textId="77777777" w:rsidR="00FE0A7C" w:rsidRPr="00C47A4A" w:rsidRDefault="00FE0A7C" w:rsidP="008F7721">
      <w:pPr>
        <w:ind w:left="562"/>
        <w:jc w:val="both"/>
        <w:rPr>
          <w:rFonts w:asciiTheme="minorHAnsi" w:hAnsiTheme="minorHAnsi" w:cstheme="minorHAnsi"/>
          <w:b/>
          <w:sz w:val="20"/>
          <w:szCs w:val="20"/>
        </w:rPr>
      </w:pPr>
      <w:r w:rsidRPr="00C47A4A">
        <w:rPr>
          <w:rFonts w:asciiTheme="minorHAnsi" w:hAnsiTheme="minorHAnsi" w:cstheme="minorHAnsi"/>
          <w:b/>
          <w:sz w:val="20"/>
          <w:szCs w:val="20"/>
        </w:rPr>
        <w:t>Principle 10: Communicate how the company is governed and is performing by maintaining a dialogue with shareholders and other relevant stakeholders.</w:t>
      </w:r>
    </w:p>
    <w:p w14:paraId="3E4D9B6F" w14:textId="77777777" w:rsidR="00FE0A7C" w:rsidRPr="00C47A4A" w:rsidRDefault="00FE0A7C" w:rsidP="00FE0A7C">
      <w:pPr>
        <w:ind w:left="562"/>
        <w:jc w:val="both"/>
        <w:rPr>
          <w:rFonts w:asciiTheme="minorHAnsi" w:hAnsiTheme="minorHAnsi" w:cstheme="minorHAnsi"/>
          <w:bCs/>
          <w:iCs/>
          <w:sz w:val="20"/>
          <w:szCs w:val="20"/>
          <w:u w:val="single"/>
        </w:rPr>
      </w:pPr>
    </w:p>
    <w:p w14:paraId="4250C060" w14:textId="77777777" w:rsidR="00FE0A7C" w:rsidRPr="00C47A4A" w:rsidRDefault="00FE0A7C" w:rsidP="00FE0A7C">
      <w:pPr>
        <w:ind w:left="562"/>
        <w:jc w:val="both"/>
        <w:rPr>
          <w:rFonts w:asciiTheme="minorHAnsi" w:hAnsiTheme="minorHAnsi" w:cstheme="minorHAnsi"/>
          <w:bCs/>
          <w:iCs/>
          <w:sz w:val="20"/>
          <w:szCs w:val="20"/>
          <w:u w:val="single"/>
        </w:rPr>
      </w:pPr>
      <w:r w:rsidRPr="00C47A4A">
        <w:rPr>
          <w:rFonts w:asciiTheme="minorHAnsi" w:hAnsiTheme="minorHAnsi" w:cstheme="minorHAnsi"/>
          <w:bCs/>
          <w:iCs/>
          <w:sz w:val="20"/>
          <w:szCs w:val="20"/>
          <w:u w:val="single"/>
        </w:rPr>
        <w:t>Relationship with shareholders</w:t>
      </w:r>
    </w:p>
    <w:p w14:paraId="2EF0EE8E" w14:textId="77777777" w:rsidR="00FE0A7C" w:rsidRPr="00C47A4A" w:rsidRDefault="00FE0A7C" w:rsidP="00FE0A7C">
      <w:pPr>
        <w:ind w:left="562"/>
        <w:jc w:val="both"/>
        <w:rPr>
          <w:rFonts w:asciiTheme="minorHAnsi" w:hAnsiTheme="minorHAnsi" w:cstheme="minorHAnsi"/>
          <w:bCs/>
          <w:iCs/>
          <w:sz w:val="20"/>
          <w:szCs w:val="20"/>
          <w:u w:val="single"/>
        </w:rPr>
      </w:pPr>
    </w:p>
    <w:p w14:paraId="6BFC8298" w14:textId="77777777" w:rsidR="00FE0A7C" w:rsidRPr="00C47A4A" w:rsidRDefault="00FE0A7C" w:rsidP="00FE0A7C">
      <w:pPr>
        <w:ind w:left="562"/>
        <w:jc w:val="both"/>
        <w:rPr>
          <w:rFonts w:asciiTheme="minorHAnsi" w:hAnsiTheme="minorHAnsi" w:cstheme="minorHAnsi"/>
          <w:sz w:val="20"/>
          <w:szCs w:val="20"/>
        </w:rPr>
      </w:pPr>
      <w:r w:rsidRPr="00C47A4A">
        <w:rPr>
          <w:rFonts w:asciiTheme="minorHAnsi" w:hAnsiTheme="minorHAnsi" w:cstheme="minorHAnsi"/>
          <w:sz w:val="20"/>
          <w:szCs w:val="20"/>
        </w:rPr>
        <w:lastRenderedPageBreak/>
        <w:t>Up until the time that Iconic entered administration, the Chief Executive Officer was active in meeting with and preparing presentations for investors. Since the administration began, Iconic, through the office of the Joint Administrators, has endeavoured to answer all queries raised by shareholders promptly.</w:t>
      </w:r>
    </w:p>
    <w:p w14:paraId="512AE639" w14:textId="77777777" w:rsidR="00FE0A7C" w:rsidRPr="00C47A4A" w:rsidRDefault="00FE0A7C" w:rsidP="00FE0A7C">
      <w:pPr>
        <w:ind w:left="562"/>
        <w:jc w:val="both"/>
        <w:rPr>
          <w:rFonts w:asciiTheme="minorHAnsi" w:hAnsiTheme="minorHAnsi" w:cstheme="minorHAnsi"/>
          <w:sz w:val="20"/>
          <w:szCs w:val="20"/>
        </w:rPr>
      </w:pPr>
    </w:p>
    <w:p w14:paraId="75CEECD9" w14:textId="77777777" w:rsidR="00FE0A7C" w:rsidRPr="00C47A4A" w:rsidRDefault="00FE0A7C" w:rsidP="00FE0A7C">
      <w:pPr>
        <w:ind w:left="562"/>
        <w:jc w:val="both"/>
        <w:rPr>
          <w:rFonts w:asciiTheme="minorHAnsi" w:hAnsiTheme="minorHAnsi" w:cstheme="minorHAnsi"/>
          <w:bCs/>
          <w:iCs/>
          <w:sz w:val="20"/>
          <w:szCs w:val="20"/>
          <w:u w:val="single"/>
        </w:rPr>
      </w:pPr>
      <w:r w:rsidRPr="00C47A4A">
        <w:rPr>
          <w:rFonts w:asciiTheme="minorHAnsi" w:hAnsiTheme="minorHAnsi" w:cstheme="minorHAnsi"/>
          <w:bCs/>
          <w:iCs/>
          <w:sz w:val="20"/>
          <w:szCs w:val="20"/>
          <w:u w:val="single"/>
        </w:rPr>
        <w:t>Investor relations (IR) and communications</w:t>
      </w:r>
    </w:p>
    <w:p w14:paraId="1E61405D" w14:textId="77777777" w:rsidR="00FE0A7C" w:rsidRPr="00C47A4A" w:rsidRDefault="00FE0A7C" w:rsidP="00FE0A7C">
      <w:pPr>
        <w:ind w:left="562"/>
        <w:jc w:val="both"/>
        <w:rPr>
          <w:rFonts w:asciiTheme="minorHAnsi" w:hAnsiTheme="minorHAnsi" w:cstheme="minorHAnsi"/>
          <w:bCs/>
          <w:iCs/>
          <w:sz w:val="20"/>
          <w:szCs w:val="20"/>
          <w:u w:val="single"/>
        </w:rPr>
      </w:pPr>
    </w:p>
    <w:p w14:paraId="13EEE942" w14:textId="77777777" w:rsidR="00FE0A7C" w:rsidRPr="00C47A4A" w:rsidRDefault="00FE0A7C" w:rsidP="00FE0A7C">
      <w:pPr>
        <w:ind w:left="562"/>
        <w:jc w:val="both"/>
        <w:rPr>
          <w:rFonts w:asciiTheme="minorHAnsi" w:hAnsiTheme="minorHAnsi" w:cstheme="minorHAnsi"/>
          <w:sz w:val="20"/>
          <w:szCs w:val="20"/>
        </w:rPr>
      </w:pPr>
      <w:r w:rsidRPr="00C47A4A">
        <w:rPr>
          <w:rFonts w:asciiTheme="minorHAnsi" w:hAnsiTheme="minorHAnsi" w:cstheme="minorHAnsi"/>
          <w:sz w:val="20"/>
          <w:szCs w:val="20"/>
        </w:rPr>
        <w:t>Whenever required, the Executive Directors communicates with Iconic’s brokers to confirm shareholder sentiment and to consult on particular governance issues.</w:t>
      </w:r>
    </w:p>
    <w:p w14:paraId="4F7748AA" w14:textId="77777777" w:rsidR="00FE0A7C" w:rsidRPr="00C47A4A" w:rsidRDefault="00FE0A7C" w:rsidP="00FE0A7C">
      <w:pPr>
        <w:ind w:left="562"/>
        <w:jc w:val="both"/>
        <w:rPr>
          <w:rFonts w:asciiTheme="minorHAnsi" w:hAnsiTheme="minorHAnsi" w:cstheme="minorHAnsi"/>
          <w:sz w:val="20"/>
          <w:szCs w:val="20"/>
        </w:rPr>
      </w:pPr>
    </w:p>
    <w:p w14:paraId="2E2B8ABC" w14:textId="77777777" w:rsidR="00FE0A7C" w:rsidRPr="00C47A4A" w:rsidRDefault="00FE0A7C" w:rsidP="00FE0A7C">
      <w:pPr>
        <w:ind w:left="562"/>
        <w:jc w:val="both"/>
        <w:rPr>
          <w:rFonts w:asciiTheme="minorHAnsi" w:hAnsiTheme="minorHAnsi" w:cstheme="minorHAnsi"/>
          <w:sz w:val="20"/>
          <w:szCs w:val="20"/>
        </w:rPr>
      </w:pPr>
      <w:r w:rsidRPr="00C47A4A">
        <w:rPr>
          <w:rFonts w:asciiTheme="minorHAnsi" w:hAnsiTheme="minorHAnsi" w:cstheme="minorHAnsi"/>
          <w:sz w:val="20"/>
          <w:szCs w:val="20"/>
        </w:rPr>
        <w:t>In the period since Iconic’s admission, regulatory announcements have been released informing the market of certain matters. Copies of these announcements, together with other IR information and documents, are available on Iconic’s website.</w:t>
      </w:r>
    </w:p>
    <w:p w14:paraId="57761421" w14:textId="77777777" w:rsidR="00FE0A7C" w:rsidRPr="00C47A4A" w:rsidRDefault="00FE0A7C" w:rsidP="00FE0A7C">
      <w:pPr>
        <w:ind w:left="562"/>
        <w:jc w:val="both"/>
        <w:rPr>
          <w:rFonts w:asciiTheme="minorHAnsi" w:hAnsiTheme="minorHAnsi" w:cstheme="minorHAnsi"/>
          <w:sz w:val="20"/>
          <w:szCs w:val="20"/>
        </w:rPr>
      </w:pPr>
    </w:p>
    <w:p w14:paraId="67EF1AEA" w14:textId="77777777" w:rsidR="00FE0A7C" w:rsidRPr="00C47A4A" w:rsidRDefault="00FE0A7C" w:rsidP="00FE0A7C">
      <w:pPr>
        <w:ind w:left="562"/>
        <w:jc w:val="both"/>
        <w:rPr>
          <w:rFonts w:asciiTheme="minorHAnsi" w:hAnsiTheme="minorHAnsi" w:cstheme="minorHAnsi"/>
          <w:b/>
          <w:i/>
          <w:sz w:val="20"/>
          <w:szCs w:val="20"/>
        </w:rPr>
      </w:pPr>
      <w:r w:rsidRPr="00C47A4A">
        <w:rPr>
          <w:rFonts w:asciiTheme="minorHAnsi" w:hAnsiTheme="minorHAnsi" w:cstheme="minorHAnsi"/>
          <w:b/>
          <w:i/>
          <w:sz w:val="20"/>
          <w:szCs w:val="20"/>
        </w:rPr>
        <w:t>Insurance and indemnity</w:t>
      </w:r>
    </w:p>
    <w:p w14:paraId="5AE8768C" w14:textId="77777777" w:rsidR="00FE0A7C" w:rsidRPr="00C47A4A" w:rsidRDefault="00FE0A7C" w:rsidP="00FE0A7C">
      <w:pPr>
        <w:ind w:left="562"/>
        <w:jc w:val="both"/>
        <w:rPr>
          <w:rFonts w:asciiTheme="minorHAnsi" w:hAnsiTheme="minorHAnsi" w:cstheme="minorHAnsi"/>
          <w:b/>
          <w:i/>
          <w:sz w:val="20"/>
          <w:szCs w:val="20"/>
        </w:rPr>
      </w:pPr>
    </w:p>
    <w:p w14:paraId="2318B626" w14:textId="77777777" w:rsidR="00FE0A7C" w:rsidRPr="00C47A4A" w:rsidRDefault="00FE0A7C" w:rsidP="00FE0A7C">
      <w:pPr>
        <w:ind w:left="562"/>
        <w:jc w:val="both"/>
        <w:rPr>
          <w:rFonts w:asciiTheme="minorHAnsi" w:hAnsiTheme="minorHAnsi" w:cstheme="minorHAnsi"/>
          <w:sz w:val="20"/>
          <w:szCs w:val="20"/>
        </w:rPr>
      </w:pPr>
      <w:r w:rsidRPr="00C47A4A">
        <w:rPr>
          <w:rFonts w:asciiTheme="minorHAnsi" w:hAnsiTheme="minorHAnsi" w:cstheme="minorHAnsi"/>
          <w:sz w:val="20"/>
          <w:szCs w:val="20"/>
        </w:rPr>
        <w:t>In accordance with Article 54 of the Articles of Association, Iconic’s Directors and officers are entitled to an indemnity from Iconic against liabilities incurred by them in the actual or purported exercise of their duties, or exercise of their powers including liability incurred in defending any proceedings (whether civil or criminal) which relate to anything done or omitted to be done and in which judgment is given in his favour, or in which he is acquitted, or which are otherwise disposed of.</w:t>
      </w:r>
    </w:p>
    <w:p w14:paraId="061088C1" w14:textId="77777777" w:rsidR="00FE0A7C" w:rsidRPr="00C47A4A" w:rsidRDefault="00FE0A7C" w:rsidP="00FE0A7C">
      <w:pPr>
        <w:ind w:left="562"/>
        <w:jc w:val="both"/>
        <w:rPr>
          <w:rFonts w:asciiTheme="minorHAnsi" w:hAnsiTheme="minorHAnsi" w:cstheme="minorHAnsi"/>
          <w:sz w:val="20"/>
          <w:szCs w:val="20"/>
        </w:rPr>
      </w:pPr>
    </w:p>
    <w:p w14:paraId="435B0963" w14:textId="77777777" w:rsidR="00FE0A7C" w:rsidRPr="00C47A4A" w:rsidRDefault="00FE0A7C" w:rsidP="00FE0A7C">
      <w:pPr>
        <w:ind w:left="562"/>
        <w:jc w:val="both"/>
        <w:rPr>
          <w:rFonts w:asciiTheme="minorHAnsi" w:hAnsiTheme="minorHAnsi" w:cstheme="minorHAnsi"/>
          <w:b/>
          <w:sz w:val="20"/>
          <w:szCs w:val="20"/>
        </w:rPr>
      </w:pPr>
      <w:r w:rsidRPr="00C47A4A">
        <w:rPr>
          <w:rFonts w:asciiTheme="minorHAnsi" w:hAnsiTheme="minorHAnsi" w:cstheme="minorHAnsi"/>
          <w:b/>
          <w:sz w:val="20"/>
          <w:szCs w:val="20"/>
        </w:rPr>
        <w:t xml:space="preserve">Going Concern Assessment </w:t>
      </w:r>
    </w:p>
    <w:p w14:paraId="1683FA6D" w14:textId="77777777" w:rsidR="00FE0A7C" w:rsidRPr="00C47A4A" w:rsidRDefault="00FE0A7C" w:rsidP="00FE0A7C">
      <w:pPr>
        <w:ind w:left="562"/>
        <w:jc w:val="both"/>
        <w:rPr>
          <w:rFonts w:asciiTheme="minorHAnsi" w:hAnsiTheme="minorHAnsi" w:cstheme="minorHAnsi"/>
          <w:b/>
          <w:sz w:val="20"/>
          <w:szCs w:val="20"/>
        </w:rPr>
      </w:pPr>
    </w:p>
    <w:p w14:paraId="602AEACF" w14:textId="5C7DFCF2" w:rsidR="00FE0A7C" w:rsidRPr="00C47A4A" w:rsidRDefault="00FE0A7C" w:rsidP="00FE0A7C">
      <w:pPr>
        <w:ind w:left="562"/>
        <w:jc w:val="both"/>
        <w:rPr>
          <w:rFonts w:asciiTheme="minorHAnsi" w:hAnsiTheme="minorHAnsi" w:cstheme="minorHAnsi"/>
          <w:sz w:val="20"/>
          <w:szCs w:val="20"/>
        </w:rPr>
      </w:pPr>
      <w:r w:rsidRPr="00C47A4A">
        <w:rPr>
          <w:rFonts w:asciiTheme="minorHAnsi" w:hAnsiTheme="minorHAnsi" w:cstheme="minorHAnsi"/>
          <w:sz w:val="20"/>
          <w:szCs w:val="20"/>
        </w:rPr>
        <w:t xml:space="preserve">Prior to entering administration, the Board was taking steps to ensure that Iconic would be in a position to meet its operating costs going forward and was confident that </w:t>
      </w:r>
      <w:r w:rsidR="00C47A4A" w:rsidRPr="00C47A4A">
        <w:rPr>
          <w:rFonts w:asciiTheme="minorHAnsi" w:hAnsiTheme="minorHAnsi" w:cstheme="minorHAnsi"/>
          <w:sz w:val="20"/>
          <w:szCs w:val="20"/>
        </w:rPr>
        <w:t>all liabilities</w:t>
      </w:r>
      <w:r w:rsidRPr="00C47A4A">
        <w:rPr>
          <w:rFonts w:asciiTheme="minorHAnsi" w:hAnsiTheme="minorHAnsi" w:cstheme="minorHAnsi"/>
          <w:sz w:val="20"/>
          <w:szCs w:val="20"/>
        </w:rPr>
        <w:t xml:space="preserve"> that existed would be capable of being met via financing with EHGOSF. </w:t>
      </w:r>
    </w:p>
    <w:p w14:paraId="697EDE6A" w14:textId="77777777" w:rsidR="00FE0A7C" w:rsidRPr="00C47A4A" w:rsidRDefault="00FE0A7C" w:rsidP="00FE0A7C">
      <w:pPr>
        <w:ind w:left="562"/>
        <w:jc w:val="both"/>
        <w:rPr>
          <w:rFonts w:asciiTheme="minorHAnsi" w:hAnsiTheme="minorHAnsi" w:cstheme="minorHAnsi"/>
          <w:sz w:val="20"/>
          <w:szCs w:val="20"/>
        </w:rPr>
      </w:pPr>
    </w:p>
    <w:p w14:paraId="432772D5" w14:textId="77777777" w:rsidR="00FE0A7C" w:rsidRPr="00C47A4A" w:rsidRDefault="00FE0A7C" w:rsidP="00FE0A7C">
      <w:pPr>
        <w:ind w:left="562"/>
        <w:jc w:val="both"/>
        <w:rPr>
          <w:rFonts w:asciiTheme="minorHAnsi" w:hAnsiTheme="minorHAnsi" w:cstheme="minorHAnsi"/>
          <w:sz w:val="20"/>
          <w:szCs w:val="20"/>
        </w:rPr>
      </w:pPr>
      <w:r w:rsidRPr="00C47A4A">
        <w:rPr>
          <w:rFonts w:asciiTheme="minorHAnsi" w:hAnsiTheme="minorHAnsi" w:cstheme="minorHAnsi"/>
          <w:sz w:val="20"/>
          <w:szCs w:val="20"/>
        </w:rPr>
        <w:t xml:space="preserve">At present, given that Iconic is in administration, restructuring work will be undertaken with all creditors with a goal of finding a resolution to all claims and outstanding disputes such that Iconic can exit administration, resume trading, and begin implementing its strategic objectives.  </w:t>
      </w:r>
    </w:p>
    <w:p w14:paraId="5B6D258D" w14:textId="77777777" w:rsidR="00FE0A7C" w:rsidRPr="00C47A4A" w:rsidRDefault="00FE0A7C" w:rsidP="00FE0A7C">
      <w:pPr>
        <w:ind w:left="562"/>
        <w:jc w:val="both"/>
        <w:rPr>
          <w:rFonts w:asciiTheme="minorHAnsi" w:hAnsiTheme="minorHAnsi" w:cstheme="minorHAnsi"/>
          <w:sz w:val="20"/>
          <w:szCs w:val="20"/>
        </w:rPr>
      </w:pPr>
    </w:p>
    <w:p w14:paraId="3E4AB275" w14:textId="6A49D972" w:rsidR="00287BBB" w:rsidRDefault="00287BBB" w:rsidP="00FE0A7C">
      <w:pPr>
        <w:spacing w:before="120" w:line="340" w:lineRule="exact"/>
        <w:ind w:left="567"/>
        <w:jc w:val="both"/>
        <w:rPr>
          <w:rFonts w:asciiTheme="minorHAnsi" w:hAnsiTheme="minorHAnsi" w:cstheme="minorHAnsi"/>
          <w:sz w:val="20"/>
          <w:szCs w:val="20"/>
        </w:rPr>
      </w:pPr>
    </w:p>
    <w:p w14:paraId="459BB53F" w14:textId="12FB5E11" w:rsidR="00C47A4A" w:rsidRPr="00C47A4A" w:rsidRDefault="00C47A4A" w:rsidP="00FE0A7C">
      <w:pPr>
        <w:spacing w:before="120" w:line="340" w:lineRule="exact"/>
        <w:ind w:left="567"/>
        <w:jc w:val="both"/>
        <w:rPr>
          <w:rFonts w:asciiTheme="minorHAnsi" w:hAnsiTheme="minorHAnsi" w:cstheme="minorHAnsi"/>
          <w:sz w:val="20"/>
          <w:szCs w:val="20"/>
        </w:rPr>
      </w:pPr>
    </w:p>
    <w:p w14:paraId="7BB79BF2" w14:textId="685DBC7C" w:rsidR="00FE0A7C" w:rsidRPr="00C47A4A" w:rsidRDefault="00FE0A7C" w:rsidP="00FE0A7C">
      <w:pPr>
        <w:spacing w:line="340" w:lineRule="exact"/>
        <w:ind w:left="567"/>
        <w:jc w:val="both"/>
        <w:rPr>
          <w:rFonts w:asciiTheme="minorHAnsi" w:hAnsiTheme="minorHAnsi" w:cstheme="minorHAnsi"/>
          <w:b/>
          <w:sz w:val="20"/>
          <w:szCs w:val="20"/>
        </w:rPr>
      </w:pPr>
      <w:r w:rsidRPr="00C47A4A">
        <w:rPr>
          <w:rFonts w:asciiTheme="minorHAnsi" w:hAnsiTheme="minorHAnsi" w:cstheme="minorHAnsi"/>
          <w:b/>
          <w:sz w:val="20"/>
          <w:szCs w:val="20"/>
        </w:rPr>
        <w:t>Brad Taylor</w:t>
      </w:r>
    </w:p>
    <w:p w14:paraId="4DE67D89" w14:textId="77777777" w:rsidR="00FE0A7C" w:rsidRPr="00C47A4A" w:rsidRDefault="00FE0A7C" w:rsidP="00FE0A7C">
      <w:pPr>
        <w:ind w:firstLine="567"/>
        <w:rPr>
          <w:rFonts w:asciiTheme="minorHAnsi" w:hAnsiTheme="minorHAnsi" w:cstheme="minorHAnsi"/>
          <w:b/>
          <w:sz w:val="20"/>
          <w:szCs w:val="20"/>
        </w:rPr>
      </w:pPr>
      <w:r w:rsidRPr="00C47A4A">
        <w:rPr>
          <w:rFonts w:asciiTheme="minorHAnsi" w:hAnsiTheme="minorHAnsi" w:cstheme="minorHAnsi"/>
          <w:b/>
          <w:sz w:val="20"/>
          <w:szCs w:val="20"/>
        </w:rPr>
        <w:t>Director</w:t>
      </w:r>
    </w:p>
    <w:p w14:paraId="1E6ADCE5" w14:textId="104B4B0B" w:rsidR="00FE0A7C" w:rsidRPr="00C47A4A" w:rsidRDefault="00FE0A7C" w:rsidP="00FE0A7C">
      <w:pPr>
        <w:ind w:firstLine="567"/>
        <w:rPr>
          <w:rFonts w:asciiTheme="minorHAnsi" w:hAnsiTheme="minorHAnsi" w:cstheme="minorHAnsi"/>
          <w:b/>
          <w:sz w:val="20"/>
          <w:szCs w:val="20"/>
        </w:rPr>
      </w:pPr>
      <w:r w:rsidRPr="00C47A4A">
        <w:rPr>
          <w:rFonts w:asciiTheme="minorHAnsi" w:hAnsiTheme="minorHAnsi" w:cstheme="minorHAnsi"/>
          <w:b/>
          <w:sz w:val="20"/>
          <w:szCs w:val="20"/>
        </w:rPr>
        <w:t>Date:</w:t>
      </w:r>
      <w:r w:rsidR="00287BBB">
        <w:rPr>
          <w:rFonts w:asciiTheme="minorHAnsi" w:hAnsiTheme="minorHAnsi" w:cstheme="minorHAnsi"/>
          <w:b/>
          <w:sz w:val="20"/>
          <w:szCs w:val="20"/>
        </w:rPr>
        <w:t xml:space="preserve">  27 </w:t>
      </w:r>
      <w:r w:rsidR="00C47A4A">
        <w:rPr>
          <w:rFonts w:asciiTheme="minorHAnsi" w:hAnsiTheme="minorHAnsi" w:cstheme="minorHAnsi"/>
          <w:b/>
          <w:sz w:val="20"/>
          <w:szCs w:val="20"/>
        </w:rPr>
        <w:t>December 2022</w:t>
      </w:r>
    </w:p>
    <w:p w14:paraId="316C09BB" w14:textId="77777777" w:rsidR="00634FCA" w:rsidRPr="0012333C" w:rsidRDefault="00634FCA" w:rsidP="001D02F2">
      <w:pPr>
        <w:spacing w:before="120" w:line="340" w:lineRule="exact"/>
        <w:ind w:left="567"/>
        <w:jc w:val="both"/>
        <w:rPr>
          <w:rFonts w:asciiTheme="minorHAnsi" w:hAnsiTheme="minorHAnsi" w:cstheme="minorHAnsi"/>
          <w:b/>
          <w:sz w:val="20"/>
          <w:szCs w:val="20"/>
          <w:highlight w:val="yellow"/>
        </w:rPr>
        <w:sectPr w:rsidR="00634FCA" w:rsidRPr="0012333C" w:rsidSect="00D84ED3">
          <w:headerReference w:type="default" r:id="rId35"/>
          <w:type w:val="continuous"/>
          <w:pgSz w:w="11906" w:h="16838"/>
          <w:pgMar w:top="720" w:right="1558" w:bottom="720" w:left="720" w:header="708" w:footer="708" w:gutter="0"/>
          <w:cols w:space="720"/>
        </w:sectPr>
      </w:pPr>
    </w:p>
    <w:p w14:paraId="121D9ED2" w14:textId="5ED5C730" w:rsidR="00C72DBF" w:rsidRPr="0012333C" w:rsidRDefault="003F7FD3" w:rsidP="001D02F2">
      <w:pPr>
        <w:spacing w:before="120" w:line="340" w:lineRule="exact"/>
        <w:ind w:left="567"/>
        <w:jc w:val="both"/>
        <w:rPr>
          <w:rFonts w:asciiTheme="minorHAnsi" w:hAnsiTheme="minorHAnsi" w:cstheme="minorHAnsi"/>
          <w:b/>
          <w:sz w:val="20"/>
          <w:szCs w:val="20"/>
          <w:highlight w:val="yellow"/>
        </w:rPr>
      </w:pPr>
      <w:r w:rsidRPr="0012333C">
        <w:rPr>
          <w:rFonts w:asciiTheme="minorHAnsi" w:hAnsiTheme="minorHAnsi" w:cstheme="minorHAnsi"/>
          <w:b/>
          <w:sz w:val="20"/>
          <w:szCs w:val="20"/>
          <w:highlight w:val="yellow"/>
        </w:rPr>
        <w:br w:type="page"/>
      </w:r>
    </w:p>
    <w:p w14:paraId="678741FD" w14:textId="77777777" w:rsidR="009C534C" w:rsidRPr="00C47A4A" w:rsidRDefault="009C534C" w:rsidP="009C534C">
      <w:pPr>
        <w:ind w:left="562"/>
        <w:jc w:val="both"/>
        <w:rPr>
          <w:rFonts w:asciiTheme="minorHAnsi" w:hAnsiTheme="minorHAnsi" w:cstheme="minorHAnsi"/>
          <w:b/>
          <w:bCs/>
          <w:sz w:val="20"/>
          <w:szCs w:val="20"/>
        </w:rPr>
      </w:pPr>
      <w:r w:rsidRPr="00C47A4A">
        <w:rPr>
          <w:rFonts w:asciiTheme="minorHAnsi" w:hAnsiTheme="minorHAnsi" w:cstheme="minorHAnsi"/>
          <w:b/>
          <w:bCs/>
          <w:sz w:val="20"/>
          <w:szCs w:val="20"/>
        </w:rPr>
        <w:lastRenderedPageBreak/>
        <w:t xml:space="preserve">Remuneration Committee </w:t>
      </w:r>
    </w:p>
    <w:p w14:paraId="4AFB6818" w14:textId="77777777" w:rsidR="009C534C" w:rsidRPr="00C47A4A" w:rsidRDefault="009C534C" w:rsidP="009C534C">
      <w:pPr>
        <w:jc w:val="both"/>
        <w:rPr>
          <w:rFonts w:asciiTheme="minorHAnsi" w:hAnsiTheme="minorHAnsi" w:cstheme="minorHAnsi"/>
          <w:sz w:val="20"/>
          <w:szCs w:val="20"/>
        </w:rPr>
      </w:pPr>
    </w:p>
    <w:p w14:paraId="29D52AC0"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Once Iconic resumes trading and operations are stabilised, a Remuneration Committee will be held to assist the Board in determining its responsibilities in relation to remuneration, including making recommendations to the Board on employment contracts for key personnel, bonus compensation to those who restructured the Company, exited administration, resolved all outstanding legal disputes, and relisted the Company, and a policy on executive remuneration, setting the over-arching principles, parameters and governance framework of the Iconic's remuneration policy and determining the individual remuneration and benefits package of each of the Executive Directors.</w:t>
      </w:r>
    </w:p>
    <w:p w14:paraId="71D5CCE8" w14:textId="77777777" w:rsidR="009C534C" w:rsidRPr="00C47A4A" w:rsidRDefault="009C534C" w:rsidP="009C534C">
      <w:pPr>
        <w:ind w:left="562"/>
        <w:jc w:val="both"/>
        <w:rPr>
          <w:rFonts w:asciiTheme="minorHAnsi" w:hAnsiTheme="minorHAnsi" w:cstheme="minorHAnsi"/>
          <w:sz w:val="20"/>
          <w:szCs w:val="20"/>
        </w:rPr>
      </w:pPr>
    </w:p>
    <w:p w14:paraId="3222D339"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The Remuneration Committee shall ensure compliance with the QCA Code in relation to remuneration wherever possible.</w:t>
      </w:r>
    </w:p>
    <w:p w14:paraId="7D0DFDC1" w14:textId="77777777" w:rsidR="009C534C" w:rsidRPr="00C47A4A" w:rsidRDefault="009C534C" w:rsidP="009C534C">
      <w:pPr>
        <w:jc w:val="both"/>
        <w:rPr>
          <w:rFonts w:asciiTheme="minorHAnsi" w:hAnsiTheme="minorHAnsi" w:cstheme="minorHAnsi"/>
          <w:sz w:val="20"/>
          <w:szCs w:val="20"/>
        </w:rPr>
      </w:pPr>
    </w:p>
    <w:p w14:paraId="1CCCE354" w14:textId="77777777" w:rsidR="009C534C" w:rsidRPr="00C47A4A" w:rsidRDefault="009C534C" w:rsidP="009C534C">
      <w:pPr>
        <w:ind w:left="562"/>
        <w:jc w:val="both"/>
        <w:rPr>
          <w:rFonts w:asciiTheme="minorHAnsi" w:hAnsiTheme="minorHAnsi" w:cstheme="minorHAnsi"/>
          <w:b/>
          <w:bCs/>
          <w:sz w:val="20"/>
          <w:szCs w:val="20"/>
        </w:rPr>
      </w:pPr>
      <w:r w:rsidRPr="00C47A4A">
        <w:rPr>
          <w:rFonts w:asciiTheme="minorHAnsi" w:hAnsiTheme="minorHAnsi" w:cstheme="minorHAnsi"/>
          <w:b/>
          <w:bCs/>
          <w:sz w:val="20"/>
          <w:szCs w:val="20"/>
        </w:rPr>
        <w:t>Remuneration Policy</w:t>
      </w:r>
    </w:p>
    <w:p w14:paraId="7B39DE0F" w14:textId="77777777" w:rsidR="009C534C" w:rsidRPr="00C47A4A" w:rsidRDefault="009C534C" w:rsidP="009C534C">
      <w:pPr>
        <w:ind w:left="562"/>
        <w:jc w:val="both"/>
        <w:rPr>
          <w:rFonts w:asciiTheme="minorHAnsi" w:hAnsiTheme="minorHAnsi" w:cstheme="minorHAnsi"/>
          <w:b/>
          <w:bCs/>
          <w:sz w:val="20"/>
          <w:szCs w:val="20"/>
        </w:rPr>
      </w:pPr>
    </w:p>
    <w:p w14:paraId="7608EFC4"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 xml:space="preserve">The main aim of Iconic's remuneration policy shall be to align the interests of Executive and Non-Executive Directors with Iconic's business strategy and the long-term creation of shareholder value. The policy shall aim to pay the Directors competitively, whilst considering the remuneration practices of other international companies of similar size and scope, the current economic climate, the regulatory and governance framework, remuneration around these companies and the need to ensure that the Directors are remunerated appropriately, whilst ensuring that Iconic pays no more than is necessary. </w:t>
      </w:r>
    </w:p>
    <w:p w14:paraId="4FE31808" w14:textId="77777777" w:rsidR="009C534C" w:rsidRPr="00C47A4A" w:rsidRDefault="009C534C" w:rsidP="009C534C">
      <w:pPr>
        <w:ind w:left="562"/>
        <w:jc w:val="both"/>
        <w:rPr>
          <w:rFonts w:asciiTheme="minorHAnsi" w:hAnsiTheme="minorHAnsi" w:cstheme="minorHAnsi"/>
          <w:sz w:val="20"/>
          <w:szCs w:val="20"/>
        </w:rPr>
      </w:pPr>
    </w:p>
    <w:p w14:paraId="561DBF0D"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 xml:space="preserve">The Remuneration Committee shall have no formal method of involving employees in the setting of Directors' remuneration, however the members of the Remuneration Committee shall have access to employees both in formal and informal settings and take into account the level of employee remuneration when setting Directors' remuneration. </w:t>
      </w:r>
    </w:p>
    <w:p w14:paraId="4E372EE3" w14:textId="77777777" w:rsidR="009C534C" w:rsidRPr="00C47A4A" w:rsidRDefault="009C534C" w:rsidP="009C534C">
      <w:pPr>
        <w:ind w:left="562"/>
        <w:jc w:val="both"/>
        <w:rPr>
          <w:rFonts w:asciiTheme="minorHAnsi" w:hAnsiTheme="minorHAnsi" w:cstheme="minorHAnsi"/>
          <w:sz w:val="20"/>
          <w:szCs w:val="20"/>
        </w:rPr>
      </w:pPr>
    </w:p>
    <w:p w14:paraId="360E9A26"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Shareholders’ views on Directors' remuneration shall be taken into account when setting the Remuneration Policy.</w:t>
      </w:r>
    </w:p>
    <w:p w14:paraId="693C7BEB" w14:textId="77777777" w:rsidR="009C534C" w:rsidRPr="00C47A4A" w:rsidRDefault="009C534C" w:rsidP="009C534C">
      <w:pPr>
        <w:ind w:left="562"/>
        <w:jc w:val="both"/>
        <w:rPr>
          <w:rFonts w:asciiTheme="minorHAnsi" w:hAnsiTheme="minorHAnsi" w:cstheme="minorHAnsi"/>
          <w:sz w:val="20"/>
          <w:szCs w:val="20"/>
        </w:rPr>
      </w:pPr>
    </w:p>
    <w:p w14:paraId="506AD796" w14:textId="77777777" w:rsidR="009C534C" w:rsidRPr="00C47A4A" w:rsidRDefault="009C534C" w:rsidP="009C534C">
      <w:pPr>
        <w:ind w:left="562"/>
        <w:jc w:val="both"/>
        <w:rPr>
          <w:rFonts w:asciiTheme="minorHAnsi" w:hAnsiTheme="minorHAnsi" w:cstheme="minorHAnsi"/>
          <w:b/>
          <w:bCs/>
          <w:sz w:val="20"/>
          <w:szCs w:val="20"/>
        </w:rPr>
      </w:pPr>
      <w:r w:rsidRPr="00C47A4A">
        <w:rPr>
          <w:rFonts w:asciiTheme="minorHAnsi" w:hAnsiTheme="minorHAnsi" w:cstheme="minorHAnsi"/>
          <w:b/>
          <w:bCs/>
          <w:sz w:val="20"/>
          <w:szCs w:val="20"/>
        </w:rPr>
        <w:t xml:space="preserve">Compensation </w:t>
      </w:r>
    </w:p>
    <w:p w14:paraId="2DDD80F1" w14:textId="77777777" w:rsidR="009C534C" w:rsidRPr="00C47A4A" w:rsidRDefault="009C534C" w:rsidP="009C534C">
      <w:pPr>
        <w:jc w:val="both"/>
        <w:rPr>
          <w:rFonts w:ascii="Calibri" w:hAnsi="Calibri" w:cs="Calibri"/>
          <w:sz w:val="20"/>
          <w:szCs w:val="20"/>
        </w:rPr>
      </w:pPr>
    </w:p>
    <w:p w14:paraId="67E42D0A" w14:textId="77777777" w:rsidR="00C47A4A" w:rsidRDefault="00C47A4A" w:rsidP="00C47A4A">
      <w:pPr>
        <w:ind w:left="562"/>
        <w:jc w:val="both"/>
        <w:rPr>
          <w:rFonts w:asciiTheme="minorHAnsi" w:hAnsiTheme="minorHAnsi" w:cstheme="minorHAnsi"/>
          <w:sz w:val="20"/>
          <w:szCs w:val="20"/>
        </w:rPr>
      </w:pPr>
      <w:r>
        <w:rPr>
          <w:rFonts w:asciiTheme="minorHAnsi" w:hAnsiTheme="minorHAnsi" w:cstheme="minorHAnsi"/>
          <w:sz w:val="20"/>
          <w:szCs w:val="20"/>
        </w:rPr>
        <w:t>All management services for the Company, including, but not limited to, financial and corporate restructuring, negotiations with the joint administrators and creditors, implementation of the CVA, settlement of all outstanding disputes, negotiation with EHGOSF for financing, corporate governance, administration and accounting, shareholder meetings, identification of potential acquisitions, strategic development, relations with the FCA and LSE, and communications to the marketplace are being rendered to Iconic pursuant to a Management Services Agreement (the “</w:t>
      </w:r>
      <w:r w:rsidRPr="00177AA8">
        <w:rPr>
          <w:rFonts w:asciiTheme="minorHAnsi" w:hAnsiTheme="minorHAnsi" w:cstheme="minorHAnsi"/>
          <w:b/>
          <w:bCs/>
          <w:i/>
          <w:iCs/>
          <w:sz w:val="20"/>
          <w:szCs w:val="20"/>
        </w:rPr>
        <w:t>MSA</w:t>
      </w:r>
      <w:r>
        <w:rPr>
          <w:rFonts w:asciiTheme="minorHAnsi" w:hAnsiTheme="minorHAnsi" w:cstheme="minorHAnsi"/>
          <w:sz w:val="20"/>
          <w:szCs w:val="20"/>
        </w:rPr>
        <w:t>”) effective 1 February 2021 with Ott Ventures, s.r.o. and Ott Ventures USA Inc. (the “</w:t>
      </w:r>
      <w:r w:rsidRPr="00177AA8">
        <w:rPr>
          <w:rFonts w:asciiTheme="minorHAnsi" w:hAnsiTheme="minorHAnsi" w:cstheme="minorHAnsi"/>
          <w:b/>
          <w:bCs/>
          <w:i/>
          <w:iCs/>
          <w:sz w:val="20"/>
          <w:szCs w:val="20"/>
        </w:rPr>
        <w:t>Ott Companies</w:t>
      </w:r>
      <w:r>
        <w:rPr>
          <w:rFonts w:asciiTheme="minorHAnsi" w:hAnsiTheme="minorHAnsi" w:cstheme="minorHAnsi"/>
          <w:sz w:val="20"/>
          <w:szCs w:val="20"/>
        </w:rPr>
        <w:t xml:space="preserve">”) for a total of £50,000/month. </w:t>
      </w:r>
    </w:p>
    <w:p w14:paraId="37A0C67B" w14:textId="77777777" w:rsidR="00C47A4A" w:rsidRDefault="00C47A4A" w:rsidP="00C47A4A">
      <w:pPr>
        <w:ind w:left="562"/>
        <w:jc w:val="both"/>
        <w:rPr>
          <w:rFonts w:asciiTheme="minorHAnsi" w:hAnsiTheme="minorHAnsi" w:cstheme="minorHAnsi"/>
          <w:sz w:val="20"/>
          <w:szCs w:val="20"/>
        </w:rPr>
      </w:pPr>
    </w:p>
    <w:p w14:paraId="2DEB1B1A" w14:textId="3B565C27" w:rsidR="00C47A4A" w:rsidRDefault="00C47A4A" w:rsidP="00C47A4A">
      <w:pPr>
        <w:ind w:left="562"/>
        <w:jc w:val="both"/>
        <w:rPr>
          <w:rFonts w:asciiTheme="minorHAnsi" w:hAnsiTheme="minorHAnsi" w:cstheme="minorHAnsi"/>
          <w:sz w:val="20"/>
          <w:szCs w:val="20"/>
        </w:rPr>
        <w:sectPr w:rsidR="00C47A4A" w:rsidSect="00D84ED3">
          <w:headerReference w:type="default" r:id="rId36"/>
          <w:type w:val="continuous"/>
          <w:pgSz w:w="11906" w:h="16838"/>
          <w:pgMar w:top="720" w:right="1558" w:bottom="720" w:left="720" w:header="708" w:footer="708" w:gutter="0"/>
          <w:cols w:space="720"/>
        </w:sectPr>
      </w:pPr>
      <w:r>
        <w:rPr>
          <w:rFonts w:asciiTheme="minorHAnsi" w:hAnsiTheme="minorHAnsi" w:cstheme="minorHAnsi"/>
          <w:sz w:val="20"/>
          <w:szCs w:val="20"/>
        </w:rPr>
        <w:t>As of 30 June 202</w:t>
      </w:r>
      <w:r w:rsidR="00CA165F">
        <w:rPr>
          <w:rFonts w:asciiTheme="minorHAnsi" w:hAnsiTheme="minorHAnsi" w:cstheme="minorHAnsi"/>
          <w:sz w:val="20"/>
          <w:szCs w:val="20"/>
        </w:rPr>
        <w:t>2</w:t>
      </w:r>
      <w:r>
        <w:rPr>
          <w:rFonts w:asciiTheme="minorHAnsi" w:hAnsiTheme="minorHAnsi" w:cstheme="minorHAnsi"/>
          <w:sz w:val="20"/>
          <w:szCs w:val="20"/>
        </w:rPr>
        <w:t xml:space="preserve">, the Ott Companies </w:t>
      </w:r>
      <w:r w:rsidR="00CA165F">
        <w:rPr>
          <w:rFonts w:asciiTheme="minorHAnsi" w:hAnsiTheme="minorHAnsi" w:cstheme="minorHAnsi"/>
          <w:sz w:val="20"/>
          <w:szCs w:val="20"/>
        </w:rPr>
        <w:t xml:space="preserve">had </w:t>
      </w:r>
      <w:r>
        <w:rPr>
          <w:rFonts w:asciiTheme="minorHAnsi" w:hAnsiTheme="minorHAnsi" w:cstheme="minorHAnsi"/>
          <w:sz w:val="20"/>
          <w:szCs w:val="20"/>
        </w:rPr>
        <w:t xml:space="preserve">received </w:t>
      </w:r>
      <w:r w:rsidR="00CA165F">
        <w:rPr>
          <w:rFonts w:asciiTheme="minorHAnsi" w:hAnsiTheme="minorHAnsi" w:cstheme="minorHAnsi"/>
          <w:sz w:val="20"/>
          <w:szCs w:val="20"/>
        </w:rPr>
        <w:t xml:space="preserve">a total of </w:t>
      </w:r>
      <w:r>
        <w:rPr>
          <w:rFonts w:asciiTheme="minorHAnsi" w:hAnsiTheme="minorHAnsi" w:cstheme="minorHAnsi"/>
          <w:sz w:val="20"/>
          <w:szCs w:val="20"/>
        </w:rPr>
        <w:t>£</w:t>
      </w:r>
      <w:r w:rsidR="00CA165F">
        <w:rPr>
          <w:rFonts w:asciiTheme="minorHAnsi" w:hAnsiTheme="minorHAnsi" w:cstheme="minorHAnsi"/>
          <w:sz w:val="20"/>
          <w:szCs w:val="20"/>
        </w:rPr>
        <w:t xml:space="preserve">365,000 under the MSA and had submitted </w:t>
      </w:r>
      <w:r>
        <w:rPr>
          <w:rFonts w:asciiTheme="minorHAnsi" w:hAnsiTheme="minorHAnsi" w:cstheme="minorHAnsi"/>
          <w:sz w:val="20"/>
          <w:szCs w:val="20"/>
        </w:rPr>
        <w:t xml:space="preserve">a claim for £270,000 in unpaid fees under the CVA. As with all unsecured creditors, the Ott Companies will receive Iconic shares at £0.25 per £1.00 of claims under the CVA in full satisfaction of this £270,000 claim.  </w:t>
      </w:r>
    </w:p>
    <w:p w14:paraId="2F7B73B0" w14:textId="77777777" w:rsidR="00C47A4A" w:rsidRDefault="00C47A4A" w:rsidP="00C47A4A">
      <w:pPr>
        <w:jc w:val="both"/>
        <w:rPr>
          <w:rFonts w:asciiTheme="minorHAnsi" w:hAnsiTheme="minorHAnsi" w:cstheme="minorHAnsi"/>
          <w:sz w:val="20"/>
          <w:szCs w:val="20"/>
        </w:rPr>
      </w:pPr>
    </w:p>
    <w:p w14:paraId="2E11E61A" w14:textId="77777777" w:rsidR="00C47A4A" w:rsidRDefault="00C47A4A" w:rsidP="00C47A4A">
      <w:pPr>
        <w:ind w:left="562"/>
        <w:jc w:val="both"/>
        <w:rPr>
          <w:rFonts w:asciiTheme="minorHAnsi" w:hAnsiTheme="minorHAnsi" w:cstheme="minorHAnsi"/>
          <w:sz w:val="20"/>
          <w:szCs w:val="20"/>
        </w:rPr>
      </w:pPr>
      <w:r>
        <w:rPr>
          <w:rFonts w:asciiTheme="minorHAnsi" w:hAnsiTheme="minorHAnsi" w:cstheme="minorHAnsi"/>
          <w:sz w:val="20"/>
          <w:szCs w:val="20"/>
        </w:rPr>
        <w:t xml:space="preserve">On 1 October 2022, only after the CVA had been approved by both the creditors and shareholders, settlements of all disputes had been executed, and a new £3 million financing facility with EHGOSF had been signed, did the Ott Companies invoice Iconic £365,000 as a success fee for the extensive restructuring and settlement work they had performed through 30 September 2022. Given that the cash priorities at this time involve making payments to the preferential and critical creditors under the CVA and paying the costs and expenses related to the CVA, the Ott Companies have not yet been paid from Iconic related to this £365,000 success fee. In October of 2022, the Ott Companies also resumed invoicing Iconic £50,000 per month under the MSA. However, in an effort to again manage Iconic’s cash flow, the Ott Companies have only been paid £25,000 per month for October, November and December 2022 from the first three tranches of the new £3 million financing facility with EHGOSF. </w:t>
      </w:r>
    </w:p>
    <w:p w14:paraId="7FB55200" w14:textId="6B32EDB8" w:rsidR="00C47A4A" w:rsidRDefault="00C47A4A" w:rsidP="00C47A4A">
      <w:pPr>
        <w:jc w:val="both"/>
        <w:rPr>
          <w:rFonts w:asciiTheme="minorHAnsi" w:hAnsiTheme="minorHAnsi" w:cstheme="minorHAnsi"/>
          <w:sz w:val="20"/>
          <w:szCs w:val="20"/>
        </w:rPr>
      </w:pPr>
    </w:p>
    <w:p w14:paraId="1BD6A4DB" w14:textId="77777777" w:rsidR="00DE1C5E" w:rsidRDefault="00DE1C5E" w:rsidP="00C47A4A">
      <w:pPr>
        <w:jc w:val="both"/>
        <w:rPr>
          <w:rFonts w:asciiTheme="minorHAnsi" w:hAnsiTheme="minorHAnsi" w:cstheme="minorHAnsi"/>
          <w:sz w:val="20"/>
          <w:szCs w:val="20"/>
        </w:rPr>
      </w:pPr>
    </w:p>
    <w:p w14:paraId="6A17D30B" w14:textId="77777777" w:rsidR="00C47A4A" w:rsidRDefault="00C47A4A" w:rsidP="00C47A4A">
      <w:pPr>
        <w:ind w:left="562"/>
        <w:jc w:val="both"/>
        <w:rPr>
          <w:rFonts w:asciiTheme="minorHAnsi" w:hAnsiTheme="minorHAnsi" w:cstheme="minorHAnsi"/>
          <w:sz w:val="20"/>
          <w:szCs w:val="20"/>
          <w:highlight w:val="yellow"/>
        </w:rPr>
      </w:pPr>
      <w:r>
        <w:rPr>
          <w:rFonts w:asciiTheme="minorHAnsi" w:hAnsiTheme="minorHAnsi" w:cstheme="minorHAnsi"/>
          <w:sz w:val="20"/>
          <w:szCs w:val="20"/>
        </w:rPr>
        <w:lastRenderedPageBreak/>
        <w:t>The Ott Companies are being compensated in line with the time commitment and responsibilities their personnel are providing Iconic. This compensation is similar to that provided to firms whose senior executives are engaged in the complex restructuring, CVA, stabilization, settlement, and strategic business planning required to manage publicly listed companies involved in similarly distressed situations as Iconic.   </w:t>
      </w:r>
    </w:p>
    <w:p w14:paraId="15239296" w14:textId="77777777" w:rsidR="009C534C" w:rsidRPr="00C47A4A" w:rsidRDefault="009C534C" w:rsidP="009C534C">
      <w:pPr>
        <w:jc w:val="both"/>
        <w:rPr>
          <w:rFonts w:asciiTheme="minorHAnsi" w:hAnsiTheme="minorHAnsi" w:cstheme="minorHAnsi"/>
          <w:sz w:val="20"/>
          <w:szCs w:val="20"/>
        </w:rPr>
      </w:pPr>
    </w:p>
    <w:p w14:paraId="10BB3DD1" w14:textId="77777777" w:rsidR="009C534C" w:rsidRPr="00C47A4A" w:rsidRDefault="009C534C" w:rsidP="009C534C">
      <w:pPr>
        <w:rPr>
          <w:rFonts w:asciiTheme="minorHAnsi" w:hAnsiTheme="minorHAnsi" w:cstheme="minorHAnsi"/>
          <w:b/>
          <w:bCs/>
          <w:sz w:val="20"/>
          <w:szCs w:val="20"/>
        </w:rPr>
        <w:sectPr w:rsidR="009C534C" w:rsidRPr="00C47A4A" w:rsidSect="00D84ED3">
          <w:headerReference w:type="default" r:id="rId37"/>
          <w:type w:val="continuous"/>
          <w:pgSz w:w="11906" w:h="16838"/>
          <w:pgMar w:top="720" w:right="1558" w:bottom="720" w:left="720" w:header="708" w:footer="708" w:gutter="0"/>
          <w:cols w:space="720"/>
        </w:sectPr>
      </w:pPr>
    </w:p>
    <w:p w14:paraId="7A3F2CAD" w14:textId="77777777" w:rsidR="009C534C" w:rsidRPr="00C47A4A" w:rsidRDefault="009C534C" w:rsidP="009C534C">
      <w:pPr>
        <w:ind w:left="567"/>
        <w:jc w:val="both"/>
        <w:rPr>
          <w:rFonts w:asciiTheme="minorHAnsi" w:hAnsiTheme="minorHAnsi" w:cstheme="minorHAnsi"/>
          <w:b/>
          <w:bCs/>
          <w:sz w:val="20"/>
          <w:szCs w:val="20"/>
        </w:rPr>
      </w:pPr>
      <w:r w:rsidRPr="00C47A4A">
        <w:rPr>
          <w:rFonts w:asciiTheme="minorHAnsi" w:hAnsiTheme="minorHAnsi" w:cstheme="minorHAnsi"/>
          <w:b/>
          <w:bCs/>
          <w:sz w:val="20"/>
          <w:szCs w:val="20"/>
        </w:rPr>
        <w:t>Recruitment Policy</w:t>
      </w:r>
    </w:p>
    <w:p w14:paraId="64A1DA10" w14:textId="77777777" w:rsidR="009C534C" w:rsidRPr="00C47A4A" w:rsidRDefault="009C534C" w:rsidP="009C534C">
      <w:pPr>
        <w:ind w:left="567"/>
        <w:jc w:val="both"/>
        <w:rPr>
          <w:rFonts w:asciiTheme="minorHAnsi" w:hAnsiTheme="minorHAnsi" w:cstheme="minorHAnsi"/>
          <w:b/>
          <w:bCs/>
          <w:sz w:val="20"/>
          <w:szCs w:val="20"/>
        </w:rPr>
      </w:pPr>
    </w:p>
    <w:p w14:paraId="30378356" w14:textId="77777777" w:rsidR="009C534C" w:rsidRPr="00C47A4A" w:rsidRDefault="009C534C" w:rsidP="009C534C">
      <w:pPr>
        <w:ind w:left="567"/>
        <w:jc w:val="both"/>
        <w:rPr>
          <w:rFonts w:asciiTheme="minorHAnsi" w:hAnsiTheme="minorHAnsi" w:cstheme="minorHAnsi"/>
          <w:sz w:val="20"/>
          <w:szCs w:val="20"/>
        </w:rPr>
      </w:pPr>
      <w:r w:rsidRPr="00C47A4A">
        <w:rPr>
          <w:rFonts w:asciiTheme="minorHAnsi" w:hAnsiTheme="minorHAnsi" w:cstheme="minorHAnsi"/>
          <w:sz w:val="20"/>
          <w:szCs w:val="20"/>
        </w:rPr>
        <w:t>At present, recruiting is not a priority, but once trading has resumed, and strategic objectives begin to be implemented, the Remuneration Committee's approach to remuneration with regard to recruiting staff shall be to pay no more than is necessary to attract candidates of the appropriate calibre and experience needed for the role. The Remuneration Committee would consider payment of compensation for the forfeiture of variable awards from previous employers on an individual basis. Iconic would only consider candidates for a Directorship if they hold the necessary experience and qualities to help Iconic prosper, and in turn generate value for the shareholders. The table below sets out the principles upon which the Remuneration Committee shall approach recruitment of new Executive Directors in regard to each element of remuneration.</w:t>
      </w:r>
    </w:p>
    <w:p w14:paraId="5CB646D1" w14:textId="77777777" w:rsidR="009C534C" w:rsidRPr="00C47A4A" w:rsidRDefault="009C534C" w:rsidP="009C534C">
      <w:pPr>
        <w:spacing w:line="340" w:lineRule="exact"/>
        <w:jc w:val="both"/>
        <w:rPr>
          <w:rFonts w:asciiTheme="minorHAnsi" w:hAnsiTheme="minorHAnsi" w:cstheme="minorHAnsi"/>
          <w:sz w:val="20"/>
          <w:szCs w:val="20"/>
        </w:rPr>
      </w:pPr>
    </w:p>
    <w:tbl>
      <w:tblPr>
        <w:tblStyle w:val="TableGrid"/>
        <w:tblW w:w="0" w:type="auto"/>
        <w:jc w:val="center"/>
        <w:tblLook w:val="04A0" w:firstRow="1" w:lastRow="0" w:firstColumn="1" w:lastColumn="0" w:noHBand="0" w:noVBand="1"/>
      </w:tblPr>
      <w:tblGrid>
        <w:gridCol w:w="1984"/>
        <w:gridCol w:w="6462"/>
      </w:tblGrid>
      <w:tr w:rsidR="009C534C" w:rsidRPr="00C47A4A" w14:paraId="18F8D420" w14:textId="77777777" w:rsidTr="00C00EE9">
        <w:trPr>
          <w:jc w:val="center"/>
        </w:trPr>
        <w:tc>
          <w:tcPr>
            <w:tcW w:w="1984" w:type="dxa"/>
            <w:tcBorders>
              <w:top w:val="single" w:sz="4" w:space="0" w:color="auto"/>
              <w:left w:val="single" w:sz="4" w:space="0" w:color="auto"/>
              <w:bottom w:val="single" w:sz="4" w:space="0" w:color="auto"/>
              <w:right w:val="single" w:sz="4" w:space="0" w:color="auto"/>
            </w:tcBorders>
            <w:hideMark/>
          </w:tcPr>
          <w:p w14:paraId="57C7B231" w14:textId="77777777" w:rsidR="009C534C" w:rsidRPr="00C47A4A" w:rsidRDefault="009C534C" w:rsidP="00C00EE9">
            <w:pPr>
              <w:ind w:left="567" w:hanging="567"/>
              <w:rPr>
                <w:rFonts w:asciiTheme="minorHAnsi" w:hAnsiTheme="minorHAnsi" w:cstheme="minorHAnsi"/>
                <w:b/>
                <w:bCs/>
                <w:sz w:val="20"/>
                <w:szCs w:val="20"/>
              </w:rPr>
            </w:pPr>
            <w:r w:rsidRPr="00C47A4A">
              <w:rPr>
                <w:rFonts w:asciiTheme="minorHAnsi" w:hAnsiTheme="minorHAnsi" w:cstheme="minorHAnsi"/>
                <w:b/>
                <w:bCs/>
                <w:sz w:val="20"/>
                <w:szCs w:val="20"/>
              </w:rPr>
              <w:t>Remuneration Type</w:t>
            </w:r>
          </w:p>
        </w:tc>
        <w:tc>
          <w:tcPr>
            <w:tcW w:w="6462" w:type="dxa"/>
            <w:tcBorders>
              <w:top w:val="single" w:sz="4" w:space="0" w:color="auto"/>
              <w:left w:val="single" w:sz="4" w:space="0" w:color="auto"/>
              <w:bottom w:val="single" w:sz="4" w:space="0" w:color="auto"/>
              <w:right w:val="single" w:sz="4" w:space="0" w:color="auto"/>
            </w:tcBorders>
            <w:hideMark/>
          </w:tcPr>
          <w:p w14:paraId="230BDBB8" w14:textId="77777777" w:rsidR="009C534C" w:rsidRPr="00C47A4A" w:rsidRDefault="009C534C" w:rsidP="00C00EE9">
            <w:pPr>
              <w:ind w:left="28"/>
              <w:rPr>
                <w:rFonts w:asciiTheme="minorHAnsi" w:hAnsiTheme="minorHAnsi" w:cstheme="minorHAnsi"/>
                <w:b/>
                <w:bCs/>
                <w:sz w:val="20"/>
                <w:szCs w:val="20"/>
              </w:rPr>
            </w:pPr>
            <w:r w:rsidRPr="00C47A4A">
              <w:rPr>
                <w:rFonts w:asciiTheme="minorHAnsi" w:hAnsiTheme="minorHAnsi" w:cstheme="minorHAnsi"/>
                <w:b/>
                <w:bCs/>
                <w:sz w:val="20"/>
                <w:szCs w:val="20"/>
              </w:rPr>
              <w:t>Purpose</w:t>
            </w:r>
          </w:p>
        </w:tc>
      </w:tr>
      <w:tr w:rsidR="009C534C" w:rsidRPr="00C47A4A" w14:paraId="01B97B6B" w14:textId="77777777" w:rsidTr="00C00EE9">
        <w:trPr>
          <w:jc w:val="center"/>
        </w:trPr>
        <w:tc>
          <w:tcPr>
            <w:tcW w:w="1984" w:type="dxa"/>
            <w:tcBorders>
              <w:top w:val="single" w:sz="4" w:space="0" w:color="auto"/>
              <w:left w:val="single" w:sz="4" w:space="0" w:color="auto"/>
              <w:bottom w:val="single" w:sz="4" w:space="0" w:color="auto"/>
              <w:right w:val="single" w:sz="4" w:space="0" w:color="auto"/>
            </w:tcBorders>
            <w:hideMark/>
          </w:tcPr>
          <w:p w14:paraId="1CEE7E88" w14:textId="77777777" w:rsidR="009C534C" w:rsidRPr="00C47A4A" w:rsidRDefault="009C534C" w:rsidP="00C00EE9">
            <w:pPr>
              <w:ind w:left="567" w:hanging="567"/>
              <w:rPr>
                <w:rFonts w:asciiTheme="minorHAnsi" w:hAnsiTheme="minorHAnsi" w:cstheme="minorHAnsi"/>
                <w:sz w:val="20"/>
                <w:szCs w:val="20"/>
              </w:rPr>
            </w:pPr>
            <w:r w:rsidRPr="00C47A4A">
              <w:rPr>
                <w:rFonts w:asciiTheme="minorHAnsi" w:hAnsiTheme="minorHAnsi" w:cstheme="minorHAnsi"/>
                <w:sz w:val="20"/>
                <w:szCs w:val="20"/>
              </w:rPr>
              <w:t>Basic Salary</w:t>
            </w:r>
          </w:p>
        </w:tc>
        <w:tc>
          <w:tcPr>
            <w:tcW w:w="6462" w:type="dxa"/>
            <w:tcBorders>
              <w:top w:val="single" w:sz="4" w:space="0" w:color="auto"/>
              <w:left w:val="single" w:sz="4" w:space="0" w:color="auto"/>
              <w:bottom w:val="single" w:sz="4" w:space="0" w:color="auto"/>
              <w:right w:val="single" w:sz="4" w:space="0" w:color="auto"/>
            </w:tcBorders>
          </w:tcPr>
          <w:p w14:paraId="0478F603" w14:textId="77777777" w:rsidR="009C534C" w:rsidRPr="00C47A4A" w:rsidRDefault="009C534C" w:rsidP="00C00EE9">
            <w:pPr>
              <w:ind w:left="28"/>
              <w:jc w:val="both"/>
              <w:rPr>
                <w:rFonts w:asciiTheme="minorHAnsi" w:hAnsiTheme="minorHAnsi" w:cstheme="minorHAnsi"/>
                <w:sz w:val="20"/>
                <w:szCs w:val="20"/>
              </w:rPr>
            </w:pPr>
            <w:r w:rsidRPr="00C47A4A">
              <w:rPr>
                <w:rFonts w:asciiTheme="minorHAnsi" w:hAnsiTheme="minorHAnsi" w:cstheme="minorHAnsi"/>
                <w:sz w:val="20"/>
                <w:szCs w:val="20"/>
              </w:rPr>
              <w:t xml:space="preserve">To provide the basis of a market competitive overall remuneration. </w:t>
            </w:r>
          </w:p>
          <w:p w14:paraId="2F8272F5" w14:textId="77777777" w:rsidR="009C534C" w:rsidRPr="00C47A4A" w:rsidRDefault="009C534C" w:rsidP="00C00EE9">
            <w:pPr>
              <w:ind w:left="28"/>
              <w:jc w:val="both"/>
              <w:rPr>
                <w:rFonts w:asciiTheme="minorHAnsi" w:hAnsiTheme="minorHAnsi" w:cstheme="minorHAnsi"/>
                <w:sz w:val="20"/>
                <w:szCs w:val="20"/>
              </w:rPr>
            </w:pPr>
          </w:p>
          <w:p w14:paraId="3A80FEBD" w14:textId="77777777" w:rsidR="009C534C" w:rsidRPr="00C47A4A" w:rsidRDefault="009C534C" w:rsidP="00C00EE9">
            <w:pPr>
              <w:ind w:left="28"/>
              <w:jc w:val="both"/>
              <w:rPr>
                <w:rFonts w:asciiTheme="minorHAnsi" w:hAnsiTheme="minorHAnsi" w:cstheme="minorHAnsi"/>
                <w:sz w:val="20"/>
                <w:szCs w:val="20"/>
              </w:rPr>
            </w:pPr>
            <w:r w:rsidRPr="00C47A4A">
              <w:rPr>
                <w:rFonts w:asciiTheme="minorHAnsi" w:hAnsiTheme="minorHAnsi" w:cstheme="minorHAnsi"/>
                <w:sz w:val="20"/>
                <w:szCs w:val="20"/>
              </w:rPr>
              <w:t>Takes account of the role, skills, experience and contribution of the individual.</w:t>
            </w:r>
          </w:p>
        </w:tc>
      </w:tr>
      <w:tr w:rsidR="009C534C" w:rsidRPr="00C47A4A" w14:paraId="2839D73C" w14:textId="77777777" w:rsidTr="00C00EE9">
        <w:trPr>
          <w:jc w:val="center"/>
        </w:trPr>
        <w:tc>
          <w:tcPr>
            <w:tcW w:w="1984" w:type="dxa"/>
            <w:tcBorders>
              <w:top w:val="single" w:sz="4" w:space="0" w:color="auto"/>
              <w:left w:val="single" w:sz="4" w:space="0" w:color="auto"/>
              <w:bottom w:val="single" w:sz="4" w:space="0" w:color="auto"/>
              <w:right w:val="single" w:sz="4" w:space="0" w:color="auto"/>
            </w:tcBorders>
            <w:hideMark/>
          </w:tcPr>
          <w:p w14:paraId="43C07AC8" w14:textId="77777777" w:rsidR="009C534C" w:rsidRPr="00C47A4A" w:rsidRDefault="009C534C" w:rsidP="00C00EE9">
            <w:pPr>
              <w:ind w:left="567" w:hanging="567"/>
              <w:rPr>
                <w:rFonts w:asciiTheme="minorHAnsi" w:hAnsiTheme="minorHAnsi" w:cstheme="minorHAnsi"/>
                <w:sz w:val="20"/>
                <w:szCs w:val="20"/>
              </w:rPr>
            </w:pPr>
            <w:r w:rsidRPr="00C47A4A">
              <w:rPr>
                <w:rFonts w:asciiTheme="minorHAnsi" w:hAnsiTheme="minorHAnsi" w:cstheme="minorHAnsi"/>
                <w:sz w:val="20"/>
                <w:szCs w:val="20"/>
              </w:rPr>
              <w:t>Annual Bonus</w:t>
            </w:r>
          </w:p>
        </w:tc>
        <w:tc>
          <w:tcPr>
            <w:tcW w:w="6462" w:type="dxa"/>
            <w:tcBorders>
              <w:top w:val="single" w:sz="4" w:space="0" w:color="auto"/>
              <w:left w:val="single" w:sz="4" w:space="0" w:color="auto"/>
              <w:bottom w:val="single" w:sz="4" w:space="0" w:color="auto"/>
              <w:right w:val="single" w:sz="4" w:space="0" w:color="auto"/>
            </w:tcBorders>
            <w:hideMark/>
          </w:tcPr>
          <w:p w14:paraId="4A332C5D" w14:textId="77777777" w:rsidR="009C534C" w:rsidRPr="00C47A4A" w:rsidRDefault="009C534C" w:rsidP="00C00EE9">
            <w:pPr>
              <w:ind w:left="28"/>
              <w:jc w:val="both"/>
              <w:rPr>
                <w:rFonts w:asciiTheme="minorHAnsi" w:hAnsiTheme="minorHAnsi" w:cstheme="minorHAnsi"/>
                <w:sz w:val="20"/>
                <w:szCs w:val="20"/>
              </w:rPr>
            </w:pPr>
            <w:r w:rsidRPr="00C47A4A">
              <w:rPr>
                <w:rFonts w:asciiTheme="minorHAnsi" w:hAnsiTheme="minorHAnsi" w:cstheme="minorHAnsi"/>
                <w:sz w:val="20"/>
                <w:szCs w:val="20"/>
              </w:rPr>
              <w:t>To incentivise executives to achieve key strategic outcomes and deliver value for the shareholders.</w:t>
            </w:r>
          </w:p>
        </w:tc>
      </w:tr>
    </w:tbl>
    <w:p w14:paraId="4E02DE68" w14:textId="77777777" w:rsidR="009C534C" w:rsidRPr="00C47A4A" w:rsidRDefault="009C534C" w:rsidP="009C534C">
      <w:pPr>
        <w:spacing w:line="340" w:lineRule="exact"/>
        <w:ind w:left="567"/>
        <w:jc w:val="both"/>
        <w:rPr>
          <w:rFonts w:asciiTheme="minorHAnsi" w:hAnsiTheme="minorHAnsi" w:cstheme="minorHAnsi"/>
          <w:b/>
          <w:bCs/>
          <w:sz w:val="20"/>
          <w:szCs w:val="20"/>
        </w:rPr>
      </w:pPr>
    </w:p>
    <w:p w14:paraId="5F1B0BCE" w14:textId="77777777" w:rsidR="009C534C" w:rsidRPr="00C47A4A" w:rsidRDefault="009C534C" w:rsidP="009C534C">
      <w:pPr>
        <w:ind w:left="562"/>
        <w:jc w:val="both"/>
        <w:rPr>
          <w:rFonts w:asciiTheme="minorHAnsi" w:hAnsiTheme="minorHAnsi" w:cstheme="minorHAnsi"/>
          <w:b/>
          <w:bCs/>
          <w:sz w:val="20"/>
          <w:szCs w:val="20"/>
        </w:rPr>
      </w:pPr>
      <w:r w:rsidRPr="00C47A4A">
        <w:rPr>
          <w:rFonts w:asciiTheme="minorHAnsi" w:hAnsiTheme="minorHAnsi" w:cstheme="minorHAnsi"/>
          <w:b/>
          <w:bCs/>
          <w:sz w:val="20"/>
          <w:szCs w:val="20"/>
        </w:rPr>
        <w:t>Exit Payments</w:t>
      </w:r>
    </w:p>
    <w:p w14:paraId="2BA0B760" w14:textId="77777777" w:rsidR="009C534C" w:rsidRPr="00C47A4A" w:rsidRDefault="009C534C" w:rsidP="009C534C">
      <w:pPr>
        <w:ind w:left="562"/>
        <w:jc w:val="both"/>
        <w:rPr>
          <w:rFonts w:asciiTheme="minorHAnsi" w:hAnsiTheme="minorHAnsi" w:cstheme="minorHAnsi"/>
          <w:b/>
          <w:bCs/>
          <w:sz w:val="20"/>
          <w:szCs w:val="20"/>
        </w:rPr>
      </w:pPr>
    </w:p>
    <w:p w14:paraId="4FA7BA09"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 xml:space="preserve">When determining any loss of office payment for a departing individual the Remuneration Committee shall  ensure that a consistent approach is adopted so that there is no reward for poor performance and the liabilities of Iconic are minimised where appropriate. </w:t>
      </w:r>
    </w:p>
    <w:p w14:paraId="7098D524" w14:textId="77777777" w:rsidR="009C534C" w:rsidRPr="00C47A4A" w:rsidRDefault="009C534C" w:rsidP="009C534C">
      <w:pPr>
        <w:ind w:left="562"/>
        <w:jc w:val="both"/>
        <w:rPr>
          <w:rFonts w:asciiTheme="minorHAnsi" w:hAnsiTheme="minorHAnsi" w:cstheme="minorHAnsi"/>
          <w:sz w:val="20"/>
          <w:szCs w:val="20"/>
        </w:rPr>
      </w:pPr>
    </w:p>
    <w:p w14:paraId="3235B92B"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 xml:space="preserve">No amount shall be payable if an Executive Director is dismissed for serious breach of contract, serious misconduct or under-performance or acts that bring the Executive Directors, or Iconic, into serious disrepute. </w:t>
      </w:r>
    </w:p>
    <w:p w14:paraId="520D8076" w14:textId="77777777" w:rsidR="009C534C" w:rsidRPr="00C47A4A" w:rsidRDefault="009C534C" w:rsidP="009C534C">
      <w:pPr>
        <w:ind w:left="562"/>
        <w:jc w:val="both"/>
        <w:rPr>
          <w:rFonts w:asciiTheme="minorHAnsi" w:hAnsiTheme="minorHAnsi" w:cstheme="minorHAnsi"/>
          <w:sz w:val="20"/>
          <w:szCs w:val="20"/>
        </w:rPr>
      </w:pPr>
    </w:p>
    <w:p w14:paraId="6B060089" w14:textId="77777777" w:rsidR="009C534C" w:rsidRPr="00C47A4A" w:rsidRDefault="009C534C" w:rsidP="009C534C">
      <w:pPr>
        <w:ind w:left="562"/>
        <w:jc w:val="both"/>
        <w:rPr>
          <w:rFonts w:asciiTheme="minorHAnsi" w:hAnsiTheme="minorHAnsi" w:cstheme="minorHAnsi"/>
          <w:sz w:val="20"/>
          <w:szCs w:val="20"/>
        </w:rPr>
      </w:pPr>
      <w:r w:rsidRPr="00C47A4A">
        <w:rPr>
          <w:rFonts w:asciiTheme="minorHAnsi" w:hAnsiTheme="minorHAnsi" w:cstheme="minorHAnsi"/>
          <w:sz w:val="20"/>
          <w:szCs w:val="20"/>
        </w:rPr>
        <w:t>The table below sets out the policy on exit payments in relation to each element of remuneration for Executive Directors:</w:t>
      </w:r>
    </w:p>
    <w:p w14:paraId="604F8785" w14:textId="77777777" w:rsidR="009C534C" w:rsidRPr="00C47A4A" w:rsidRDefault="009C534C" w:rsidP="009C534C">
      <w:pPr>
        <w:ind w:left="567"/>
        <w:rPr>
          <w:rFonts w:asciiTheme="minorHAnsi" w:hAnsiTheme="minorHAnsi" w:cstheme="minorHAnsi"/>
          <w:sz w:val="20"/>
          <w:szCs w:val="20"/>
        </w:rPr>
      </w:pPr>
    </w:p>
    <w:tbl>
      <w:tblPr>
        <w:tblStyle w:val="TableGrid"/>
        <w:tblW w:w="0" w:type="auto"/>
        <w:jc w:val="center"/>
        <w:tblLook w:val="04A0" w:firstRow="1" w:lastRow="0" w:firstColumn="1" w:lastColumn="0" w:noHBand="0" w:noVBand="1"/>
      </w:tblPr>
      <w:tblGrid>
        <w:gridCol w:w="1984"/>
        <w:gridCol w:w="6462"/>
      </w:tblGrid>
      <w:tr w:rsidR="009C534C" w:rsidRPr="00C47A4A" w14:paraId="72ACF422" w14:textId="77777777" w:rsidTr="00C00EE9">
        <w:trPr>
          <w:jc w:val="center"/>
        </w:trPr>
        <w:tc>
          <w:tcPr>
            <w:tcW w:w="1984" w:type="dxa"/>
            <w:tcBorders>
              <w:top w:val="single" w:sz="4" w:space="0" w:color="auto"/>
              <w:left w:val="single" w:sz="4" w:space="0" w:color="auto"/>
              <w:bottom w:val="single" w:sz="4" w:space="0" w:color="auto"/>
              <w:right w:val="single" w:sz="4" w:space="0" w:color="auto"/>
            </w:tcBorders>
            <w:hideMark/>
          </w:tcPr>
          <w:p w14:paraId="660EEDFA" w14:textId="77777777" w:rsidR="009C534C" w:rsidRPr="00C47A4A" w:rsidRDefault="009C534C" w:rsidP="00C00EE9">
            <w:pPr>
              <w:ind w:left="567" w:hanging="567"/>
              <w:rPr>
                <w:rFonts w:asciiTheme="minorHAnsi" w:hAnsiTheme="minorHAnsi" w:cstheme="minorHAnsi"/>
                <w:b/>
                <w:bCs/>
                <w:sz w:val="20"/>
                <w:szCs w:val="20"/>
              </w:rPr>
            </w:pPr>
            <w:r w:rsidRPr="00C47A4A">
              <w:rPr>
                <w:rFonts w:asciiTheme="minorHAnsi" w:hAnsiTheme="minorHAnsi" w:cstheme="minorHAnsi"/>
                <w:b/>
                <w:bCs/>
                <w:sz w:val="20"/>
                <w:szCs w:val="20"/>
              </w:rPr>
              <w:t>Remuneration Type</w:t>
            </w:r>
          </w:p>
        </w:tc>
        <w:tc>
          <w:tcPr>
            <w:tcW w:w="6462" w:type="dxa"/>
            <w:tcBorders>
              <w:top w:val="single" w:sz="4" w:space="0" w:color="auto"/>
              <w:left w:val="single" w:sz="4" w:space="0" w:color="auto"/>
              <w:bottom w:val="single" w:sz="4" w:space="0" w:color="auto"/>
              <w:right w:val="single" w:sz="4" w:space="0" w:color="auto"/>
            </w:tcBorders>
            <w:hideMark/>
          </w:tcPr>
          <w:p w14:paraId="65CC88E7" w14:textId="77777777" w:rsidR="009C534C" w:rsidRPr="00C47A4A" w:rsidRDefault="009C534C" w:rsidP="00C00EE9">
            <w:pPr>
              <w:ind w:left="567" w:hanging="567"/>
              <w:rPr>
                <w:rFonts w:asciiTheme="minorHAnsi" w:hAnsiTheme="minorHAnsi" w:cstheme="minorHAnsi"/>
                <w:b/>
                <w:bCs/>
                <w:sz w:val="20"/>
                <w:szCs w:val="20"/>
              </w:rPr>
            </w:pPr>
            <w:r w:rsidRPr="00C47A4A">
              <w:rPr>
                <w:rFonts w:asciiTheme="minorHAnsi" w:hAnsiTheme="minorHAnsi" w:cstheme="minorHAnsi"/>
                <w:b/>
                <w:bCs/>
                <w:sz w:val="20"/>
                <w:szCs w:val="20"/>
              </w:rPr>
              <w:t>Effect of termination</w:t>
            </w:r>
          </w:p>
        </w:tc>
      </w:tr>
      <w:tr w:rsidR="009C534C" w:rsidRPr="00C47A4A" w14:paraId="3E32921A" w14:textId="77777777" w:rsidTr="00C00EE9">
        <w:trPr>
          <w:jc w:val="center"/>
        </w:trPr>
        <w:tc>
          <w:tcPr>
            <w:tcW w:w="1984" w:type="dxa"/>
            <w:tcBorders>
              <w:top w:val="single" w:sz="4" w:space="0" w:color="auto"/>
              <w:left w:val="single" w:sz="4" w:space="0" w:color="auto"/>
              <w:bottom w:val="single" w:sz="4" w:space="0" w:color="auto"/>
              <w:right w:val="single" w:sz="4" w:space="0" w:color="auto"/>
            </w:tcBorders>
            <w:hideMark/>
          </w:tcPr>
          <w:p w14:paraId="701EC3F8" w14:textId="77777777" w:rsidR="009C534C" w:rsidRPr="00C47A4A" w:rsidRDefault="009C534C" w:rsidP="00C00EE9">
            <w:pPr>
              <w:ind w:left="567" w:hanging="567"/>
              <w:rPr>
                <w:rFonts w:asciiTheme="minorHAnsi" w:hAnsiTheme="minorHAnsi" w:cstheme="minorHAnsi"/>
                <w:sz w:val="20"/>
                <w:szCs w:val="20"/>
              </w:rPr>
            </w:pPr>
            <w:r w:rsidRPr="00C47A4A">
              <w:rPr>
                <w:rFonts w:asciiTheme="minorHAnsi" w:hAnsiTheme="minorHAnsi" w:cstheme="minorHAnsi"/>
                <w:sz w:val="20"/>
                <w:szCs w:val="20"/>
              </w:rPr>
              <w:t>Basic Salary</w:t>
            </w:r>
          </w:p>
        </w:tc>
        <w:tc>
          <w:tcPr>
            <w:tcW w:w="6462" w:type="dxa"/>
            <w:tcBorders>
              <w:top w:val="single" w:sz="4" w:space="0" w:color="auto"/>
              <w:left w:val="single" w:sz="4" w:space="0" w:color="auto"/>
              <w:bottom w:val="single" w:sz="4" w:space="0" w:color="auto"/>
              <w:right w:val="single" w:sz="4" w:space="0" w:color="auto"/>
            </w:tcBorders>
          </w:tcPr>
          <w:p w14:paraId="6750F89A" w14:textId="77777777" w:rsidR="009C534C" w:rsidRPr="00C47A4A" w:rsidRDefault="009C534C" w:rsidP="00C00EE9">
            <w:pPr>
              <w:jc w:val="both"/>
              <w:rPr>
                <w:rFonts w:asciiTheme="minorHAnsi" w:hAnsiTheme="minorHAnsi" w:cstheme="minorHAnsi"/>
                <w:sz w:val="20"/>
                <w:szCs w:val="20"/>
              </w:rPr>
            </w:pPr>
            <w:r w:rsidRPr="00C47A4A">
              <w:rPr>
                <w:rFonts w:asciiTheme="minorHAnsi" w:hAnsiTheme="minorHAnsi" w:cstheme="minorHAnsi"/>
                <w:sz w:val="20"/>
                <w:szCs w:val="20"/>
              </w:rPr>
              <w:t>Basic salary will be paid up to and including the termination date. Payment in-lieu of notice may be considered.</w:t>
            </w:r>
          </w:p>
          <w:p w14:paraId="285E215C" w14:textId="77777777" w:rsidR="009C534C" w:rsidRPr="00C47A4A" w:rsidRDefault="009C534C" w:rsidP="00C00EE9">
            <w:pPr>
              <w:jc w:val="both"/>
              <w:rPr>
                <w:rFonts w:asciiTheme="minorHAnsi" w:hAnsiTheme="minorHAnsi" w:cstheme="minorHAnsi"/>
                <w:sz w:val="20"/>
                <w:szCs w:val="20"/>
              </w:rPr>
            </w:pPr>
          </w:p>
        </w:tc>
      </w:tr>
      <w:tr w:rsidR="009C534C" w:rsidRPr="00C47A4A" w14:paraId="66407E95" w14:textId="77777777" w:rsidTr="00C00EE9">
        <w:trPr>
          <w:trHeight w:val="70"/>
          <w:jc w:val="center"/>
        </w:trPr>
        <w:tc>
          <w:tcPr>
            <w:tcW w:w="1984" w:type="dxa"/>
            <w:tcBorders>
              <w:top w:val="single" w:sz="4" w:space="0" w:color="auto"/>
              <w:left w:val="single" w:sz="4" w:space="0" w:color="auto"/>
              <w:bottom w:val="single" w:sz="4" w:space="0" w:color="auto"/>
              <w:right w:val="single" w:sz="4" w:space="0" w:color="auto"/>
            </w:tcBorders>
            <w:hideMark/>
          </w:tcPr>
          <w:p w14:paraId="351BB475" w14:textId="77777777" w:rsidR="009C534C" w:rsidRPr="00C47A4A" w:rsidRDefault="009C534C" w:rsidP="00C00EE9">
            <w:pPr>
              <w:ind w:left="567" w:hanging="567"/>
              <w:rPr>
                <w:rFonts w:asciiTheme="minorHAnsi" w:hAnsiTheme="minorHAnsi" w:cstheme="minorHAnsi"/>
                <w:sz w:val="20"/>
                <w:szCs w:val="20"/>
              </w:rPr>
            </w:pPr>
            <w:r w:rsidRPr="00C47A4A">
              <w:rPr>
                <w:rFonts w:asciiTheme="minorHAnsi" w:hAnsiTheme="minorHAnsi" w:cstheme="minorHAnsi"/>
                <w:sz w:val="20"/>
                <w:szCs w:val="20"/>
              </w:rPr>
              <w:t>Annual Bonus</w:t>
            </w:r>
          </w:p>
        </w:tc>
        <w:tc>
          <w:tcPr>
            <w:tcW w:w="6462" w:type="dxa"/>
            <w:tcBorders>
              <w:top w:val="single" w:sz="4" w:space="0" w:color="auto"/>
              <w:left w:val="single" w:sz="4" w:space="0" w:color="auto"/>
              <w:bottom w:val="single" w:sz="4" w:space="0" w:color="auto"/>
              <w:right w:val="single" w:sz="4" w:space="0" w:color="auto"/>
            </w:tcBorders>
            <w:hideMark/>
          </w:tcPr>
          <w:p w14:paraId="02E6AB26" w14:textId="77777777" w:rsidR="009C534C" w:rsidRPr="00C47A4A" w:rsidRDefault="009C534C" w:rsidP="00C00EE9">
            <w:pPr>
              <w:jc w:val="both"/>
              <w:rPr>
                <w:rFonts w:asciiTheme="minorHAnsi" w:hAnsiTheme="minorHAnsi" w:cstheme="minorHAnsi"/>
                <w:sz w:val="20"/>
                <w:szCs w:val="20"/>
              </w:rPr>
            </w:pPr>
            <w:r w:rsidRPr="00C47A4A">
              <w:rPr>
                <w:rFonts w:asciiTheme="minorHAnsi" w:hAnsiTheme="minorHAnsi" w:cstheme="minorHAnsi"/>
                <w:sz w:val="20"/>
                <w:szCs w:val="20"/>
              </w:rPr>
              <w:t>The executive may still be entitled to an annual bonus should their performance merit, although this is at the discretion of the Remuneration Committee. In the event of misconduct, the executive will lose any entitlement to a bonus.</w:t>
            </w:r>
          </w:p>
        </w:tc>
      </w:tr>
    </w:tbl>
    <w:p w14:paraId="534519A9" w14:textId="77777777" w:rsidR="009C534C" w:rsidRPr="00C47A4A" w:rsidRDefault="009C534C" w:rsidP="009C534C">
      <w:pPr>
        <w:ind w:left="567"/>
        <w:rPr>
          <w:rFonts w:asciiTheme="minorHAnsi" w:hAnsiTheme="minorHAnsi" w:cstheme="minorHAnsi"/>
          <w:sz w:val="20"/>
          <w:szCs w:val="20"/>
        </w:rPr>
      </w:pPr>
    </w:p>
    <w:p w14:paraId="4379868A" w14:textId="77777777" w:rsidR="004D2447" w:rsidRPr="00C47A4A" w:rsidRDefault="004D2447" w:rsidP="004D2447">
      <w:pPr>
        <w:ind w:left="562"/>
        <w:jc w:val="both"/>
        <w:rPr>
          <w:rFonts w:asciiTheme="minorHAnsi" w:hAnsiTheme="minorHAnsi" w:cstheme="minorHAnsi"/>
          <w:sz w:val="20"/>
          <w:szCs w:val="20"/>
        </w:rPr>
      </w:pPr>
    </w:p>
    <w:p w14:paraId="282B27D0" w14:textId="77777777" w:rsidR="004D2447" w:rsidRPr="00C47A4A" w:rsidRDefault="004D2447" w:rsidP="004D2447">
      <w:pPr>
        <w:rPr>
          <w:rFonts w:asciiTheme="minorHAnsi" w:hAnsiTheme="minorHAnsi" w:cstheme="minorHAnsi"/>
          <w:sz w:val="20"/>
        </w:rPr>
      </w:pPr>
    </w:p>
    <w:p w14:paraId="1AA31B93" w14:textId="39BD70F7" w:rsidR="004D2447" w:rsidRDefault="004D2447" w:rsidP="004D2447">
      <w:pPr>
        <w:ind w:left="567"/>
        <w:rPr>
          <w:rFonts w:asciiTheme="minorHAnsi" w:hAnsiTheme="minorHAnsi" w:cstheme="minorHAnsi"/>
          <w:sz w:val="20"/>
        </w:rPr>
      </w:pPr>
    </w:p>
    <w:p w14:paraId="7E65950A" w14:textId="17026CA4" w:rsidR="004D2447" w:rsidRPr="00C47A4A" w:rsidRDefault="004D2447" w:rsidP="004D2447">
      <w:pPr>
        <w:ind w:left="567"/>
        <w:rPr>
          <w:rFonts w:asciiTheme="minorHAnsi" w:hAnsiTheme="minorHAnsi" w:cstheme="minorHAnsi"/>
          <w:sz w:val="20"/>
        </w:rPr>
      </w:pPr>
    </w:p>
    <w:p w14:paraId="1A139B25" w14:textId="2E1BCDA8" w:rsidR="004D2447" w:rsidRPr="00C47A4A" w:rsidRDefault="004D2447" w:rsidP="004D2447">
      <w:pPr>
        <w:ind w:left="567"/>
        <w:rPr>
          <w:rFonts w:asciiTheme="minorHAnsi" w:hAnsiTheme="minorHAnsi" w:cstheme="minorHAnsi"/>
          <w:sz w:val="20"/>
        </w:rPr>
      </w:pPr>
    </w:p>
    <w:p w14:paraId="7D338D50" w14:textId="46D322E3" w:rsidR="004D2447" w:rsidRPr="00C47A4A" w:rsidRDefault="004D2447" w:rsidP="00CA165F">
      <w:pPr>
        <w:ind w:left="562"/>
        <w:jc w:val="both"/>
        <w:rPr>
          <w:rFonts w:asciiTheme="minorHAnsi" w:hAnsiTheme="minorHAnsi" w:cstheme="minorHAnsi"/>
          <w:b/>
          <w:sz w:val="20"/>
          <w:szCs w:val="20"/>
        </w:rPr>
      </w:pPr>
      <w:r w:rsidRPr="00C47A4A">
        <w:rPr>
          <w:rFonts w:asciiTheme="minorHAnsi" w:hAnsiTheme="minorHAnsi" w:cstheme="minorHAnsi"/>
          <w:b/>
          <w:sz w:val="20"/>
          <w:szCs w:val="20"/>
        </w:rPr>
        <w:t>Brad Taylor</w:t>
      </w:r>
    </w:p>
    <w:p w14:paraId="3DC14314" w14:textId="77777777" w:rsidR="004D2447" w:rsidRPr="00C47A4A" w:rsidRDefault="004D2447" w:rsidP="00CA165F">
      <w:pPr>
        <w:ind w:left="562"/>
        <w:jc w:val="both"/>
        <w:rPr>
          <w:rFonts w:asciiTheme="minorHAnsi" w:hAnsiTheme="minorHAnsi" w:cstheme="minorHAnsi"/>
          <w:b/>
          <w:sz w:val="20"/>
          <w:szCs w:val="20"/>
        </w:rPr>
      </w:pPr>
      <w:r w:rsidRPr="00C47A4A">
        <w:rPr>
          <w:rFonts w:asciiTheme="minorHAnsi" w:hAnsiTheme="minorHAnsi" w:cstheme="minorHAnsi"/>
          <w:b/>
          <w:sz w:val="20"/>
          <w:szCs w:val="20"/>
        </w:rPr>
        <w:t>Director</w:t>
      </w:r>
    </w:p>
    <w:p w14:paraId="3A372A69" w14:textId="40065053" w:rsidR="004D2447" w:rsidRPr="00C47A4A" w:rsidRDefault="004D2447" w:rsidP="00CA165F">
      <w:pPr>
        <w:ind w:left="562"/>
        <w:jc w:val="both"/>
        <w:rPr>
          <w:rFonts w:asciiTheme="minorHAnsi" w:hAnsiTheme="minorHAnsi" w:cstheme="minorHAnsi"/>
          <w:b/>
          <w:sz w:val="20"/>
          <w:szCs w:val="20"/>
        </w:rPr>
      </w:pPr>
      <w:r w:rsidRPr="00C47A4A">
        <w:rPr>
          <w:rFonts w:asciiTheme="minorHAnsi" w:hAnsiTheme="minorHAnsi" w:cstheme="minorHAnsi"/>
          <w:b/>
          <w:sz w:val="20"/>
          <w:szCs w:val="20"/>
        </w:rPr>
        <w:t>Date:</w:t>
      </w:r>
      <w:r w:rsidR="005E6F31">
        <w:rPr>
          <w:rFonts w:asciiTheme="minorHAnsi" w:hAnsiTheme="minorHAnsi" w:cstheme="minorHAnsi"/>
          <w:b/>
          <w:sz w:val="20"/>
          <w:szCs w:val="20"/>
        </w:rPr>
        <w:t xml:space="preserve">  27 </w:t>
      </w:r>
      <w:r w:rsidR="00CA165F">
        <w:rPr>
          <w:rFonts w:asciiTheme="minorHAnsi" w:hAnsiTheme="minorHAnsi" w:cstheme="minorHAnsi"/>
          <w:b/>
          <w:sz w:val="20"/>
          <w:szCs w:val="20"/>
        </w:rPr>
        <w:t>December 2022</w:t>
      </w:r>
    </w:p>
    <w:p w14:paraId="7F2A1028" w14:textId="7E5FB585" w:rsidR="00C00F58" w:rsidRPr="0012333C" w:rsidRDefault="00C00F58" w:rsidP="00C00F58">
      <w:pPr>
        <w:spacing w:line="340" w:lineRule="exact"/>
        <w:ind w:left="567"/>
        <w:jc w:val="both"/>
        <w:rPr>
          <w:rFonts w:asciiTheme="minorHAnsi" w:hAnsiTheme="minorHAnsi" w:cstheme="minorHAnsi"/>
          <w:b/>
          <w:sz w:val="20"/>
          <w:szCs w:val="20"/>
          <w:highlight w:val="yellow"/>
        </w:rPr>
        <w:sectPr w:rsidR="00C00F58" w:rsidRPr="0012333C" w:rsidSect="00C00F58">
          <w:headerReference w:type="even" r:id="rId38"/>
          <w:headerReference w:type="default" r:id="rId39"/>
          <w:headerReference w:type="first" r:id="rId40"/>
          <w:type w:val="continuous"/>
          <w:pgSz w:w="11906" w:h="16838"/>
          <w:pgMar w:top="720" w:right="1558" w:bottom="720" w:left="720" w:header="708" w:footer="708" w:gutter="0"/>
          <w:cols w:space="708"/>
          <w:docGrid w:linePitch="360"/>
        </w:sectPr>
      </w:pPr>
    </w:p>
    <w:p w14:paraId="57EB2249" w14:textId="1D9CFFC5" w:rsidR="002F2937" w:rsidRPr="004B1BB7" w:rsidRDefault="00C72DBF" w:rsidP="005E6F31">
      <w:pPr>
        <w:ind w:left="567"/>
        <w:jc w:val="both"/>
        <w:rPr>
          <w:rFonts w:asciiTheme="minorHAnsi" w:hAnsiTheme="minorHAnsi" w:cstheme="minorHAnsi"/>
          <w:b/>
          <w:highlight w:val="yellow"/>
        </w:rPr>
      </w:pPr>
      <w:r w:rsidRPr="0012333C">
        <w:rPr>
          <w:rFonts w:asciiTheme="minorHAnsi" w:hAnsiTheme="minorHAnsi" w:cstheme="minorHAnsi"/>
          <w:b/>
          <w:highlight w:val="yellow"/>
        </w:rPr>
        <w:br w:type="page"/>
      </w:r>
      <w:r w:rsidR="002F2937" w:rsidRPr="00CA4DB8">
        <w:rPr>
          <w:rFonts w:asciiTheme="minorHAnsi" w:hAnsiTheme="minorHAnsi" w:cstheme="minorHAnsi"/>
          <w:bCs/>
          <w:sz w:val="20"/>
          <w:szCs w:val="20"/>
        </w:rPr>
        <w:lastRenderedPageBreak/>
        <w:t>The Audit Committee considers Iconic’s financial reporting, including accounting policies, and internal financial controls. It is responsible for ensuring that Iconic’s financial performance is properly monitored and reported on. The Audit Committee aims to meet at least twice a year, once with the auditors, and is comprised of Bradley Taylor and David Štýbr.</w:t>
      </w:r>
      <w:r w:rsidR="002F2937" w:rsidRPr="00CA4DB8">
        <w:rPr>
          <w:rFonts w:asciiTheme="minorHAnsi" w:hAnsiTheme="minorHAnsi" w:cstheme="minorHAnsi"/>
          <w:b/>
          <w:sz w:val="20"/>
          <w:szCs w:val="20"/>
        </w:rPr>
        <w:t xml:space="preserve">  </w:t>
      </w:r>
      <w:r w:rsidR="005E6F31" w:rsidRPr="00CA4DB8">
        <w:rPr>
          <w:rFonts w:asciiTheme="minorHAnsi" w:hAnsiTheme="minorHAnsi" w:cstheme="minorHAnsi"/>
          <w:bCs/>
          <w:sz w:val="20"/>
          <w:szCs w:val="20"/>
        </w:rPr>
        <w:t>However,</w:t>
      </w:r>
      <w:r w:rsidR="002F2937" w:rsidRPr="00CA4DB8">
        <w:rPr>
          <w:rFonts w:asciiTheme="minorHAnsi" w:hAnsiTheme="minorHAnsi" w:cstheme="minorHAnsi"/>
          <w:bCs/>
          <w:sz w:val="20"/>
          <w:szCs w:val="20"/>
        </w:rPr>
        <w:t xml:space="preserve"> </w:t>
      </w:r>
      <w:r w:rsidR="00CA4DB8">
        <w:rPr>
          <w:rFonts w:asciiTheme="minorHAnsi" w:hAnsiTheme="minorHAnsi" w:cstheme="minorHAnsi"/>
          <w:bCs/>
          <w:sz w:val="20"/>
          <w:szCs w:val="20"/>
        </w:rPr>
        <w:t xml:space="preserve">from 1 July 2021 through </w:t>
      </w:r>
      <w:r w:rsidR="002F2937" w:rsidRPr="00CA4DB8">
        <w:rPr>
          <w:rFonts w:asciiTheme="minorHAnsi" w:hAnsiTheme="minorHAnsi" w:cstheme="minorHAnsi"/>
          <w:bCs/>
          <w:sz w:val="20"/>
          <w:szCs w:val="20"/>
        </w:rPr>
        <w:t>the fourth quarter of 2022, there has only been one Audit Committee meeting that was held to approve this 202</w:t>
      </w:r>
      <w:r w:rsidR="00CA4DB8">
        <w:rPr>
          <w:rFonts w:asciiTheme="minorHAnsi" w:hAnsiTheme="minorHAnsi" w:cstheme="minorHAnsi"/>
          <w:bCs/>
          <w:sz w:val="20"/>
          <w:szCs w:val="20"/>
        </w:rPr>
        <w:t>2</w:t>
      </w:r>
      <w:r w:rsidR="002F2937" w:rsidRPr="00CA4DB8">
        <w:rPr>
          <w:rFonts w:asciiTheme="minorHAnsi" w:hAnsiTheme="minorHAnsi" w:cstheme="minorHAnsi"/>
          <w:bCs/>
          <w:sz w:val="20"/>
          <w:szCs w:val="20"/>
        </w:rPr>
        <w:t xml:space="preserve"> Audited Annual Report &amp; Accounts. </w:t>
      </w:r>
    </w:p>
    <w:p w14:paraId="728F1FDD" w14:textId="77777777" w:rsidR="002F2937" w:rsidRPr="00CA4DB8" w:rsidRDefault="002F2937" w:rsidP="00CA4DB8">
      <w:pPr>
        <w:ind w:left="567"/>
        <w:jc w:val="both"/>
        <w:rPr>
          <w:rFonts w:asciiTheme="minorHAnsi" w:hAnsiTheme="minorHAnsi" w:cstheme="minorHAnsi"/>
          <w:bCs/>
          <w:sz w:val="20"/>
          <w:szCs w:val="20"/>
        </w:rPr>
      </w:pPr>
    </w:p>
    <w:p w14:paraId="77C64DDA" w14:textId="77777777" w:rsidR="002F2937" w:rsidRPr="00CA4DB8" w:rsidRDefault="002F2937" w:rsidP="00CA4DB8">
      <w:pPr>
        <w:ind w:left="567"/>
        <w:jc w:val="both"/>
        <w:rPr>
          <w:rFonts w:asciiTheme="minorHAnsi" w:hAnsiTheme="minorHAnsi" w:cstheme="minorHAnsi"/>
          <w:bCs/>
          <w:sz w:val="20"/>
          <w:szCs w:val="20"/>
        </w:rPr>
      </w:pPr>
      <w:r w:rsidRPr="00CA4DB8">
        <w:rPr>
          <w:rFonts w:asciiTheme="minorHAnsi" w:hAnsiTheme="minorHAnsi" w:cstheme="minorHAnsi"/>
          <w:bCs/>
          <w:sz w:val="20"/>
          <w:szCs w:val="20"/>
        </w:rPr>
        <w:t xml:space="preserve">Iconic’s accounting is provided by Azets and its audits are conducted by Nordens Audit Limited. </w:t>
      </w:r>
    </w:p>
    <w:p w14:paraId="0DA5AC0B" w14:textId="77777777" w:rsidR="002F2937" w:rsidRPr="00CA4DB8" w:rsidRDefault="002F2937" w:rsidP="00CA4DB8">
      <w:pPr>
        <w:ind w:left="567"/>
        <w:jc w:val="both"/>
        <w:rPr>
          <w:rFonts w:asciiTheme="minorHAnsi" w:hAnsiTheme="minorHAnsi" w:cstheme="minorHAnsi"/>
          <w:bCs/>
          <w:sz w:val="20"/>
          <w:szCs w:val="20"/>
        </w:rPr>
      </w:pPr>
    </w:p>
    <w:p w14:paraId="27C5E19D" w14:textId="3208A133" w:rsidR="002F2937" w:rsidRDefault="002F2937" w:rsidP="00CA4DB8">
      <w:pPr>
        <w:ind w:left="567"/>
        <w:jc w:val="both"/>
        <w:rPr>
          <w:rFonts w:asciiTheme="minorHAnsi" w:hAnsiTheme="minorHAnsi" w:cstheme="minorHAnsi"/>
          <w:b/>
          <w:sz w:val="20"/>
          <w:szCs w:val="20"/>
        </w:rPr>
      </w:pPr>
      <w:r w:rsidRPr="00CA4DB8">
        <w:rPr>
          <w:rFonts w:asciiTheme="minorHAnsi" w:hAnsiTheme="minorHAnsi" w:cstheme="minorHAnsi"/>
          <w:b/>
          <w:sz w:val="20"/>
          <w:szCs w:val="20"/>
        </w:rPr>
        <w:t>Role of the Committee</w:t>
      </w:r>
    </w:p>
    <w:p w14:paraId="101CED95" w14:textId="77777777" w:rsidR="00CA4DB8" w:rsidRPr="00CA4DB8" w:rsidRDefault="00CA4DB8" w:rsidP="00CA4DB8">
      <w:pPr>
        <w:ind w:left="567"/>
        <w:jc w:val="both"/>
        <w:rPr>
          <w:rFonts w:asciiTheme="minorHAnsi" w:hAnsiTheme="minorHAnsi" w:cstheme="minorHAnsi"/>
          <w:b/>
          <w:sz w:val="20"/>
          <w:szCs w:val="20"/>
        </w:rPr>
      </w:pPr>
    </w:p>
    <w:p w14:paraId="6D6CFFAD" w14:textId="77777777" w:rsidR="002F2937" w:rsidRPr="00CA4DB8" w:rsidRDefault="002F2937" w:rsidP="00CA4DB8">
      <w:pPr>
        <w:ind w:left="567"/>
        <w:jc w:val="both"/>
        <w:rPr>
          <w:rFonts w:asciiTheme="minorHAnsi" w:hAnsiTheme="minorHAnsi" w:cstheme="minorHAnsi"/>
          <w:bCs/>
          <w:sz w:val="20"/>
          <w:szCs w:val="20"/>
        </w:rPr>
      </w:pPr>
      <w:r w:rsidRPr="00CA4DB8">
        <w:rPr>
          <w:rFonts w:asciiTheme="minorHAnsi" w:hAnsiTheme="minorHAnsi" w:cstheme="minorHAnsi"/>
          <w:bCs/>
          <w:sz w:val="20"/>
          <w:szCs w:val="20"/>
        </w:rPr>
        <w:t xml:space="preserve">The Audit Committee determines and examines any matters relating to the financial affairs of the Group including:  </w:t>
      </w:r>
    </w:p>
    <w:p w14:paraId="0999802B" w14:textId="77777777" w:rsidR="002F2937" w:rsidRPr="00CA4DB8" w:rsidRDefault="002F2937" w:rsidP="00CA4DB8">
      <w:pPr>
        <w:ind w:left="567"/>
        <w:jc w:val="both"/>
        <w:rPr>
          <w:rFonts w:asciiTheme="minorHAnsi" w:hAnsiTheme="minorHAnsi" w:cstheme="minorHAnsi"/>
          <w:b/>
          <w:sz w:val="20"/>
          <w:szCs w:val="20"/>
        </w:rPr>
      </w:pPr>
    </w:p>
    <w:p w14:paraId="60D6AFE3" w14:textId="77777777" w:rsidR="002F2937" w:rsidRPr="00CA4DB8" w:rsidRDefault="002F2937" w:rsidP="00CA4DB8">
      <w:pPr>
        <w:pStyle w:val="ListParagraph"/>
        <w:numPr>
          <w:ilvl w:val="0"/>
          <w:numId w:val="13"/>
        </w:numPr>
        <w:jc w:val="both"/>
        <w:rPr>
          <w:rFonts w:asciiTheme="minorHAnsi" w:hAnsiTheme="minorHAnsi" w:cstheme="minorHAnsi"/>
          <w:bCs/>
          <w:sz w:val="20"/>
          <w:szCs w:val="20"/>
        </w:rPr>
      </w:pPr>
      <w:r w:rsidRPr="00CA4DB8">
        <w:rPr>
          <w:rFonts w:asciiTheme="minorHAnsi" w:hAnsiTheme="minorHAnsi" w:cstheme="minorHAnsi"/>
          <w:bCs/>
          <w:sz w:val="20"/>
          <w:szCs w:val="20"/>
        </w:rPr>
        <w:t>Monitoring the integrity of the financial statements and any formal announcements relating to financial performance to ensure that they adequately comply with appropriate accounting policies, practices and legal requirements;</w:t>
      </w:r>
    </w:p>
    <w:p w14:paraId="27266F22" w14:textId="77777777" w:rsidR="002F2937" w:rsidRPr="00CA4DB8" w:rsidRDefault="002F2937" w:rsidP="00CA4DB8">
      <w:pPr>
        <w:pStyle w:val="ListParagraph"/>
        <w:numPr>
          <w:ilvl w:val="0"/>
          <w:numId w:val="13"/>
        </w:numPr>
        <w:jc w:val="both"/>
        <w:rPr>
          <w:rFonts w:asciiTheme="minorHAnsi" w:hAnsiTheme="minorHAnsi" w:cstheme="minorHAnsi"/>
          <w:bCs/>
          <w:sz w:val="20"/>
          <w:szCs w:val="20"/>
        </w:rPr>
      </w:pPr>
      <w:r w:rsidRPr="00CA4DB8">
        <w:rPr>
          <w:rFonts w:asciiTheme="minorHAnsi" w:hAnsiTheme="minorHAnsi" w:cstheme="minorHAnsi"/>
          <w:bCs/>
          <w:sz w:val="20"/>
          <w:szCs w:val="20"/>
        </w:rPr>
        <w:t>Reviewing internal financial controls and risk management systems;</w:t>
      </w:r>
    </w:p>
    <w:p w14:paraId="088232C3" w14:textId="77777777" w:rsidR="002F2937" w:rsidRPr="00CA4DB8" w:rsidRDefault="002F2937" w:rsidP="00CA4DB8">
      <w:pPr>
        <w:pStyle w:val="ListParagraph"/>
        <w:numPr>
          <w:ilvl w:val="0"/>
          <w:numId w:val="13"/>
        </w:numPr>
        <w:jc w:val="both"/>
        <w:rPr>
          <w:rFonts w:asciiTheme="minorHAnsi" w:hAnsiTheme="minorHAnsi" w:cstheme="minorHAnsi"/>
          <w:bCs/>
          <w:sz w:val="20"/>
          <w:szCs w:val="20"/>
        </w:rPr>
      </w:pPr>
      <w:r w:rsidRPr="00CA4DB8">
        <w:rPr>
          <w:rFonts w:asciiTheme="minorHAnsi" w:hAnsiTheme="minorHAnsi" w:cstheme="minorHAnsi"/>
          <w:bCs/>
          <w:sz w:val="20"/>
          <w:szCs w:val="20"/>
        </w:rPr>
        <w:t>Making recommendations to the Board in relation to the appointment, re-appointment and removal of auditors, including approving the remuneration and terms of engagement of the auditor;</w:t>
      </w:r>
    </w:p>
    <w:p w14:paraId="05E21A4A" w14:textId="77777777" w:rsidR="002F2937" w:rsidRPr="00CA4DB8" w:rsidRDefault="002F2937" w:rsidP="00CA4DB8">
      <w:pPr>
        <w:pStyle w:val="ListParagraph"/>
        <w:numPr>
          <w:ilvl w:val="0"/>
          <w:numId w:val="13"/>
        </w:numPr>
        <w:jc w:val="both"/>
        <w:rPr>
          <w:rFonts w:asciiTheme="minorHAnsi" w:hAnsiTheme="minorHAnsi" w:cstheme="minorHAnsi"/>
          <w:bCs/>
          <w:sz w:val="20"/>
          <w:szCs w:val="20"/>
        </w:rPr>
      </w:pPr>
      <w:r w:rsidRPr="00CA4DB8">
        <w:rPr>
          <w:rFonts w:asciiTheme="minorHAnsi" w:hAnsiTheme="minorHAnsi" w:cstheme="minorHAnsi"/>
          <w:bCs/>
          <w:sz w:val="20"/>
          <w:szCs w:val="20"/>
        </w:rPr>
        <w:t>Reviewing the auditor’s independence and objectivity; and</w:t>
      </w:r>
    </w:p>
    <w:p w14:paraId="4E174C3E" w14:textId="77777777" w:rsidR="002F2937" w:rsidRPr="00CA4DB8" w:rsidRDefault="002F2937" w:rsidP="00CA4DB8">
      <w:pPr>
        <w:pStyle w:val="ListParagraph"/>
        <w:numPr>
          <w:ilvl w:val="0"/>
          <w:numId w:val="13"/>
        </w:numPr>
        <w:jc w:val="both"/>
        <w:rPr>
          <w:rFonts w:asciiTheme="minorHAnsi" w:hAnsiTheme="minorHAnsi" w:cstheme="minorHAnsi"/>
          <w:bCs/>
          <w:sz w:val="20"/>
          <w:szCs w:val="20"/>
        </w:rPr>
      </w:pPr>
      <w:r w:rsidRPr="00CA4DB8">
        <w:rPr>
          <w:rFonts w:asciiTheme="minorHAnsi" w:hAnsiTheme="minorHAnsi" w:cstheme="minorHAnsi"/>
          <w:bCs/>
          <w:sz w:val="20"/>
          <w:szCs w:val="20"/>
        </w:rPr>
        <w:t>Developing and implement the non-audit services policy.</w:t>
      </w:r>
    </w:p>
    <w:p w14:paraId="6ED4CBAD" w14:textId="5588FD26" w:rsidR="002F2937" w:rsidRDefault="002F2937" w:rsidP="00CA4DB8">
      <w:pPr>
        <w:ind w:left="567"/>
        <w:jc w:val="both"/>
        <w:rPr>
          <w:rFonts w:asciiTheme="minorHAnsi" w:hAnsiTheme="minorHAnsi" w:cstheme="minorHAnsi"/>
          <w:b/>
          <w:sz w:val="20"/>
          <w:szCs w:val="20"/>
        </w:rPr>
      </w:pPr>
    </w:p>
    <w:p w14:paraId="03648A27" w14:textId="4314AA7F" w:rsidR="00CA4DB8" w:rsidRDefault="00CA4DB8" w:rsidP="00CA4DB8">
      <w:pPr>
        <w:ind w:left="567"/>
        <w:jc w:val="both"/>
        <w:rPr>
          <w:rFonts w:asciiTheme="minorHAnsi" w:hAnsiTheme="minorHAnsi" w:cstheme="minorHAnsi"/>
          <w:b/>
          <w:sz w:val="20"/>
          <w:szCs w:val="20"/>
        </w:rPr>
      </w:pPr>
    </w:p>
    <w:p w14:paraId="0ADDAA0C" w14:textId="4D445F16" w:rsidR="00CA4DB8" w:rsidRDefault="00CA4DB8" w:rsidP="00CA4DB8">
      <w:pPr>
        <w:ind w:left="567"/>
        <w:jc w:val="both"/>
        <w:rPr>
          <w:rFonts w:asciiTheme="minorHAnsi" w:hAnsiTheme="minorHAnsi" w:cstheme="minorHAnsi"/>
          <w:b/>
          <w:sz w:val="20"/>
          <w:szCs w:val="20"/>
        </w:rPr>
      </w:pPr>
    </w:p>
    <w:p w14:paraId="5300AE26" w14:textId="5C25DBDE" w:rsidR="005E6F31" w:rsidRDefault="005E6F31" w:rsidP="00CA4DB8">
      <w:pPr>
        <w:ind w:left="567"/>
        <w:jc w:val="both"/>
        <w:rPr>
          <w:rFonts w:asciiTheme="minorHAnsi" w:hAnsiTheme="minorHAnsi" w:cstheme="minorHAnsi"/>
          <w:b/>
          <w:sz w:val="20"/>
          <w:szCs w:val="20"/>
        </w:rPr>
      </w:pPr>
    </w:p>
    <w:p w14:paraId="3370BB5A" w14:textId="77777777" w:rsidR="005E6F31" w:rsidRDefault="005E6F31" w:rsidP="00CA4DB8">
      <w:pPr>
        <w:ind w:left="567"/>
        <w:jc w:val="both"/>
        <w:rPr>
          <w:rFonts w:asciiTheme="minorHAnsi" w:hAnsiTheme="minorHAnsi" w:cstheme="minorHAnsi"/>
          <w:b/>
          <w:sz w:val="20"/>
          <w:szCs w:val="20"/>
        </w:rPr>
      </w:pPr>
    </w:p>
    <w:p w14:paraId="1DB75F4F" w14:textId="683AF913" w:rsidR="00CA4DB8" w:rsidRDefault="00CA4DB8" w:rsidP="00CA4DB8">
      <w:pPr>
        <w:ind w:left="567"/>
        <w:jc w:val="both"/>
        <w:rPr>
          <w:rFonts w:asciiTheme="minorHAnsi" w:hAnsiTheme="minorHAnsi" w:cstheme="minorHAnsi"/>
          <w:b/>
          <w:sz w:val="20"/>
          <w:szCs w:val="20"/>
        </w:rPr>
      </w:pPr>
    </w:p>
    <w:p w14:paraId="28F92C4E" w14:textId="791EB434" w:rsidR="00CA4DB8" w:rsidRDefault="00CA4DB8" w:rsidP="00CA4DB8">
      <w:pPr>
        <w:ind w:left="567"/>
        <w:jc w:val="both"/>
        <w:rPr>
          <w:rFonts w:asciiTheme="minorHAnsi" w:hAnsiTheme="minorHAnsi" w:cstheme="minorHAnsi"/>
          <w:b/>
          <w:sz w:val="20"/>
          <w:szCs w:val="20"/>
        </w:rPr>
      </w:pPr>
    </w:p>
    <w:p w14:paraId="3DF60C48" w14:textId="77777777" w:rsidR="00CA4DB8" w:rsidRPr="00CA4DB8" w:rsidRDefault="00CA4DB8" w:rsidP="00CA4DB8">
      <w:pPr>
        <w:ind w:left="567"/>
        <w:jc w:val="both"/>
        <w:rPr>
          <w:rFonts w:asciiTheme="minorHAnsi" w:hAnsiTheme="minorHAnsi" w:cstheme="minorHAnsi"/>
          <w:b/>
          <w:sz w:val="20"/>
          <w:szCs w:val="20"/>
        </w:rPr>
      </w:pPr>
    </w:p>
    <w:p w14:paraId="74968DED" w14:textId="4B901476" w:rsidR="002F2937" w:rsidRPr="00CA4DB8" w:rsidRDefault="002F2937" w:rsidP="00CA4DB8">
      <w:pPr>
        <w:ind w:left="567"/>
        <w:jc w:val="both"/>
        <w:rPr>
          <w:rFonts w:asciiTheme="minorHAnsi" w:hAnsiTheme="minorHAnsi" w:cstheme="minorHAnsi"/>
          <w:b/>
          <w:sz w:val="20"/>
          <w:szCs w:val="20"/>
        </w:rPr>
      </w:pPr>
      <w:r w:rsidRPr="00CA4DB8">
        <w:rPr>
          <w:rFonts w:asciiTheme="minorHAnsi" w:hAnsiTheme="minorHAnsi" w:cstheme="minorHAnsi"/>
          <w:b/>
          <w:sz w:val="20"/>
          <w:szCs w:val="20"/>
        </w:rPr>
        <w:t>Brad Taylor</w:t>
      </w:r>
    </w:p>
    <w:p w14:paraId="4ECFB475" w14:textId="77777777" w:rsidR="002F2937" w:rsidRPr="00CA4DB8" w:rsidRDefault="002F2937" w:rsidP="00CA4DB8">
      <w:pPr>
        <w:ind w:left="567"/>
        <w:jc w:val="both"/>
        <w:rPr>
          <w:rFonts w:asciiTheme="minorHAnsi" w:hAnsiTheme="minorHAnsi" w:cstheme="minorHAnsi"/>
          <w:b/>
          <w:sz w:val="20"/>
          <w:szCs w:val="20"/>
        </w:rPr>
      </w:pPr>
      <w:r w:rsidRPr="00CA4DB8">
        <w:rPr>
          <w:rFonts w:asciiTheme="minorHAnsi" w:hAnsiTheme="minorHAnsi" w:cstheme="minorHAnsi"/>
          <w:b/>
          <w:sz w:val="20"/>
          <w:szCs w:val="20"/>
        </w:rPr>
        <w:t>Director</w:t>
      </w:r>
    </w:p>
    <w:p w14:paraId="114AD3FC" w14:textId="45FB45F6" w:rsidR="002F2937" w:rsidRPr="00CA4DB8" w:rsidRDefault="002F2937" w:rsidP="00CA4DB8">
      <w:pPr>
        <w:ind w:left="567"/>
        <w:jc w:val="both"/>
        <w:rPr>
          <w:rFonts w:asciiTheme="minorHAnsi" w:hAnsiTheme="minorHAnsi" w:cstheme="minorHAnsi"/>
          <w:b/>
          <w:sz w:val="20"/>
          <w:szCs w:val="20"/>
        </w:rPr>
      </w:pPr>
      <w:r w:rsidRPr="00CA4DB8">
        <w:rPr>
          <w:rFonts w:asciiTheme="minorHAnsi" w:hAnsiTheme="minorHAnsi" w:cstheme="minorHAnsi"/>
          <w:b/>
          <w:sz w:val="20"/>
          <w:szCs w:val="20"/>
        </w:rPr>
        <w:t>Date:</w:t>
      </w:r>
      <w:r w:rsidR="005E6F31">
        <w:rPr>
          <w:rFonts w:asciiTheme="minorHAnsi" w:hAnsiTheme="minorHAnsi" w:cstheme="minorHAnsi"/>
          <w:b/>
          <w:sz w:val="20"/>
          <w:szCs w:val="20"/>
        </w:rPr>
        <w:t xml:space="preserve">  27 </w:t>
      </w:r>
      <w:r w:rsidR="00CA4DB8">
        <w:rPr>
          <w:rFonts w:asciiTheme="minorHAnsi" w:hAnsiTheme="minorHAnsi" w:cstheme="minorHAnsi"/>
          <w:b/>
          <w:sz w:val="20"/>
          <w:szCs w:val="20"/>
        </w:rPr>
        <w:t>December 2022</w:t>
      </w:r>
    </w:p>
    <w:p w14:paraId="7EB3181A" w14:textId="77777777" w:rsidR="002F2937" w:rsidRPr="0012333C" w:rsidRDefault="002F2937" w:rsidP="00CA4DB8">
      <w:pPr>
        <w:ind w:left="567"/>
        <w:jc w:val="both"/>
        <w:rPr>
          <w:rFonts w:asciiTheme="minorHAnsi" w:hAnsiTheme="minorHAnsi" w:cstheme="minorHAnsi"/>
          <w:b/>
          <w:sz w:val="20"/>
          <w:szCs w:val="20"/>
          <w:highlight w:val="yellow"/>
        </w:rPr>
        <w:sectPr w:rsidR="002F2937" w:rsidRPr="0012333C" w:rsidSect="007A17AC">
          <w:headerReference w:type="default" r:id="rId41"/>
          <w:type w:val="continuous"/>
          <w:pgSz w:w="11906" w:h="16838"/>
          <w:pgMar w:top="720" w:right="1558" w:bottom="720" w:left="993" w:header="708" w:footer="708" w:gutter="0"/>
          <w:cols w:space="720"/>
        </w:sectPr>
      </w:pPr>
    </w:p>
    <w:p w14:paraId="37B08812" w14:textId="77777777" w:rsidR="002F2937" w:rsidRPr="0012333C" w:rsidRDefault="002F2937" w:rsidP="00CA4DB8">
      <w:pPr>
        <w:ind w:left="567"/>
        <w:jc w:val="both"/>
        <w:rPr>
          <w:rFonts w:asciiTheme="minorHAnsi" w:hAnsiTheme="minorHAnsi" w:cstheme="minorHAnsi"/>
          <w:b/>
          <w:sz w:val="20"/>
          <w:szCs w:val="20"/>
          <w:highlight w:val="yellow"/>
        </w:rPr>
      </w:pPr>
    </w:p>
    <w:p w14:paraId="4ADC077F"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237DF475"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5CD5455E"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460D7941"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06F68C32"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61945F8B"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7F277DC6"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0CCF68D9"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76C19084"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678E3884" w14:textId="77777777" w:rsidR="00942671" w:rsidRPr="0012333C" w:rsidRDefault="00942671" w:rsidP="00114C09">
      <w:pPr>
        <w:spacing w:before="120" w:line="320" w:lineRule="exact"/>
        <w:ind w:left="567"/>
        <w:rPr>
          <w:rFonts w:asciiTheme="minorHAnsi" w:hAnsiTheme="minorHAnsi" w:cstheme="minorHAnsi"/>
          <w:b/>
          <w:bCs/>
          <w:sz w:val="20"/>
          <w:szCs w:val="20"/>
          <w:highlight w:val="yellow"/>
        </w:rPr>
      </w:pPr>
    </w:p>
    <w:p w14:paraId="702D1024" w14:textId="0BD12B65" w:rsidR="008F7721" w:rsidRDefault="008F7721" w:rsidP="000F3D7F">
      <w:pPr>
        <w:spacing w:before="120" w:line="320" w:lineRule="exact"/>
        <w:rPr>
          <w:rFonts w:asciiTheme="minorHAnsi" w:hAnsiTheme="minorHAnsi" w:cstheme="minorHAnsi"/>
          <w:b/>
          <w:bCs/>
          <w:sz w:val="20"/>
          <w:szCs w:val="20"/>
          <w:highlight w:val="yellow"/>
        </w:rPr>
      </w:pPr>
    </w:p>
    <w:p w14:paraId="727A6DF9" w14:textId="77777777" w:rsidR="008F7721" w:rsidRPr="0012333C" w:rsidRDefault="008F7721" w:rsidP="000F3D7F">
      <w:pPr>
        <w:spacing w:before="120" w:line="320" w:lineRule="exact"/>
        <w:rPr>
          <w:rFonts w:asciiTheme="minorHAnsi" w:hAnsiTheme="minorHAnsi" w:cstheme="minorHAnsi"/>
          <w:b/>
          <w:bCs/>
          <w:sz w:val="20"/>
          <w:szCs w:val="20"/>
          <w:highlight w:val="yellow"/>
        </w:rPr>
      </w:pPr>
    </w:p>
    <w:p w14:paraId="2E59D887" w14:textId="21F2F253" w:rsidR="00DD0BAB" w:rsidRPr="00E40305" w:rsidRDefault="00DD0BAB" w:rsidP="00E40305">
      <w:pPr>
        <w:ind w:firstLine="567"/>
        <w:rPr>
          <w:rFonts w:asciiTheme="minorHAnsi" w:hAnsiTheme="minorHAnsi" w:cstheme="minorHAnsi"/>
          <w:b/>
          <w:bCs/>
          <w:sz w:val="20"/>
          <w:szCs w:val="20"/>
          <w:highlight w:val="yellow"/>
        </w:rPr>
      </w:pPr>
      <w:r w:rsidRPr="002E3B76">
        <w:rPr>
          <w:rFonts w:asciiTheme="minorHAnsi" w:hAnsiTheme="minorHAnsi" w:cstheme="minorHAnsi"/>
          <w:b/>
          <w:bCs/>
          <w:sz w:val="20"/>
          <w:szCs w:val="20"/>
        </w:rPr>
        <w:lastRenderedPageBreak/>
        <w:t>DIRECTORS’ REPORT</w:t>
      </w:r>
    </w:p>
    <w:p w14:paraId="569390FD" w14:textId="77777777" w:rsidR="002E3B76" w:rsidRPr="002E3B76" w:rsidRDefault="002E3B76" w:rsidP="002E3B76">
      <w:pPr>
        <w:ind w:left="567"/>
        <w:rPr>
          <w:rFonts w:asciiTheme="minorHAnsi" w:hAnsiTheme="minorHAnsi" w:cstheme="minorHAnsi"/>
          <w:b/>
          <w:bCs/>
          <w:sz w:val="20"/>
          <w:szCs w:val="20"/>
        </w:rPr>
      </w:pPr>
    </w:p>
    <w:p w14:paraId="3BF1DC88" w14:textId="4AB174D4" w:rsidR="00DD0BAB" w:rsidRDefault="00DD0BAB"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 xml:space="preserve">The directors present their report together with the audited financial statements of Iconic Labs PLC and its subsidiaries for the </w:t>
      </w:r>
      <w:r w:rsidR="00470E95" w:rsidRPr="002E3B76">
        <w:rPr>
          <w:rFonts w:asciiTheme="minorHAnsi" w:hAnsiTheme="minorHAnsi" w:cstheme="minorHAnsi"/>
          <w:sz w:val="20"/>
          <w:szCs w:val="20"/>
        </w:rPr>
        <w:t>year</w:t>
      </w:r>
      <w:r w:rsidRPr="002E3B76">
        <w:rPr>
          <w:rFonts w:asciiTheme="minorHAnsi" w:hAnsiTheme="minorHAnsi" w:cstheme="minorHAnsi"/>
          <w:sz w:val="20"/>
          <w:szCs w:val="20"/>
        </w:rPr>
        <w:t xml:space="preserve"> ended 30 June 20</w:t>
      </w:r>
      <w:r w:rsidR="00470E95" w:rsidRPr="002E3B76">
        <w:rPr>
          <w:rFonts w:asciiTheme="minorHAnsi" w:hAnsiTheme="minorHAnsi" w:cstheme="minorHAnsi"/>
          <w:sz w:val="20"/>
          <w:szCs w:val="20"/>
        </w:rPr>
        <w:t>2</w:t>
      </w:r>
      <w:r w:rsidR="001C0556" w:rsidRPr="002E3B76">
        <w:rPr>
          <w:rFonts w:asciiTheme="minorHAnsi" w:hAnsiTheme="minorHAnsi" w:cstheme="minorHAnsi"/>
          <w:sz w:val="20"/>
          <w:szCs w:val="20"/>
        </w:rPr>
        <w:t>2</w:t>
      </w:r>
      <w:r w:rsidRPr="002E3B76">
        <w:rPr>
          <w:rFonts w:asciiTheme="minorHAnsi" w:hAnsiTheme="minorHAnsi" w:cstheme="minorHAnsi"/>
          <w:sz w:val="20"/>
          <w:szCs w:val="20"/>
        </w:rPr>
        <w:t xml:space="preserve">.  </w:t>
      </w:r>
    </w:p>
    <w:p w14:paraId="14DBC7F4" w14:textId="77777777" w:rsidR="002E3B76" w:rsidRPr="002E3B76" w:rsidRDefault="002E3B76" w:rsidP="002E3B76">
      <w:pPr>
        <w:ind w:left="567"/>
        <w:jc w:val="both"/>
        <w:rPr>
          <w:rFonts w:asciiTheme="minorHAnsi" w:hAnsiTheme="minorHAnsi" w:cstheme="minorHAnsi"/>
          <w:sz w:val="20"/>
          <w:szCs w:val="20"/>
        </w:rPr>
      </w:pPr>
    </w:p>
    <w:p w14:paraId="26486F93" w14:textId="34E50A23" w:rsidR="00DD0BAB" w:rsidRDefault="00DD0BAB" w:rsidP="002E3B76">
      <w:pPr>
        <w:pStyle w:val="BodyText"/>
        <w:keepLines w:val="0"/>
        <w:tabs>
          <w:tab w:val="clear" w:pos="1247"/>
        </w:tabs>
        <w:spacing w:before="0"/>
        <w:ind w:left="567"/>
        <w:jc w:val="both"/>
        <w:rPr>
          <w:rFonts w:asciiTheme="minorHAnsi" w:hAnsiTheme="minorHAnsi" w:cstheme="minorHAnsi"/>
          <w:b/>
          <w:sz w:val="20"/>
        </w:rPr>
      </w:pPr>
      <w:r w:rsidRPr="002E3B76">
        <w:rPr>
          <w:rFonts w:asciiTheme="minorHAnsi" w:hAnsiTheme="minorHAnsi" w:cstheme="minorHAnsi"/>
          <w:b/>
          <w:sz w:val="20"/>
        </w:rPr>
        <w:t>Directors</w:t>
      </w:r>
    </w:p>
    <w:p w14:paraId="51C2AD24" w14:textId="77777777" w:rsidR="002E3B76" w:rsidRPr="002E3B76" w:rsidRDefault="002E3B76" w:rsidP="002E3B76">
      <w:pPr>
        <w:pStyle w:val="BodyText"/>
        <w:keepLines w:val="0"/>
        <w:tabs>
          <w:tab w:val="clear" w:pos="1247"/>
        </w:tabs>
        <w:spacing w:before="0"/>
        <w:ind w:left="567"/>
        <w:jc w:val="both"/>
        <w:rPr>
          <w:rFonts w:asciiTheme="minorHAnsi" w:hAnsiTheme="minorHAnsi" w:cstheme="minorHAnsi"/>
          <w:b/>
          <w:sz w:val="20"/>
        </w:rPr>
      </w:pPr>
    </w:p>
    <w:p w14:paraId="43ED1718" w14:textId="63AE448A" w:rsidR="00DD0BAB" w:rsidRDefault="00DD0BAB" w:rsidP="002E3B76">
      <w:pPr>
        <w:pStyle w:val="BodyText"/>
        <w:keepLines w:val="0"/>
        <w:tabs>
          <w:tab w:val="clear" w:pos="1247"/>
        </w:tabs>
        <w:spacing w:before="0"/>
        <w:ind w:left="567"/>
        <w:jc w:val="both"/>
        <w:rPr>
          <w:rFonts w:asciiTheme="minorHAnsi" w:hAnsiTheme="minorHAnsi" w:cstheme="minorHAnsi"/>
          <w:sz w:val="20"/>
        </w:rPr>
      </w:pPr>
      <w:r w:rsidRPr="002E3B76">
        <w:rPr>
          <w:rFonts w:asciiTheme="minorHAnsi" w:hAnsiTheme="minorHAnsi" w:cstheme="minorHAnsi"/>
          <w:sz w:val="20"/>
        </w:rPr>
        <w:t xml:space="preserve">The </w:t>
      </w:r>
      <w:r w:rsidR="00A67EBE" w:rsidRPr="002E3B76">
        <w:rPr>
          <w:rFonts w:asciiTheme="minorHAnsi" w:hAnsiTheme="minorHAnsi" w:cstheme="minorHAnsi"/>
          <w:sz w:val="20"/>
        </w:rPr>
        <w:t>D</w:t>
      </w:r>
      <w:r w:rsidRPr="002E3B76">
        <w:rPr>
          <w:rFonts w:asciiTheme="minorHAnsi" w:hAnsiTheme="minorHAnsi" w:cstheme="minorHAnsi"/>
          <w:sz w:val="20"/>
        </w:rPr>
        <w:t xml:space="preserve">irectors </w:t>
      </w:r>
      <w:r w:rsidR="00A67EBE" w:rsidRPr="002E3B76">
        <w:rPr>
          <w:rFonts w:asciiTheme="minorHAnsi" w:hAnsiTheme="minorHAnsi" w:cstheme="minorHAnsi"/>
          <w:sz w:val="20"/>
        </w:rPr>
        <w:t>as of 30 June 2022 were:</w:t>
      </w:r>
    </w:p>
    <w:p w14:paraId="2F8843B1" w14:textId="77777777" w:rsidR="002E3B76" w:rsidRPr="002E3B76" w:rsidRDefault="002E3B76" w:rsidP="002E3B76">
      <w:pPr>
        <w:pStyle w:val="BodyText"/>
        <w:keepLines w:val="0"/>
        <w:tabs>
          <w:tab w:val="clear" w:pos="1247"/>
        </w:tabs>
        <w:spacing w:before="0"/>
        <w:ind w:left="567"/>
        <w:jc w:val="both"/>
        <w:rPr>
          <w:rFonts w:asciiTheme="minorHAnsi" w:hAnsiTheme="minorHAnsi" w:cstheme="minorHAnsi"/>
          <w:sz w:val="20"/>
        </w:rPr>
      </w:pPr>
    </w:p>
    <w:p w14:paraId="2C94F368" w14:textId="2FBA181F" w:rsidR="00A67EBE" w:rsidRPr="002E3B76" w:rsidRDefault="00A67EBE" w:rsidP="002E3B76">
      <w:pPr>
        <w:pStyle w:val="BodyText"/>
        <w:keepLines w:val="0"/>
        <w:tabs>
          <w:tab w:val="clear" w:pos="1247"/>
        </w:tabs>
        <w:spacing w:before="0"/>
        <w:ind w:left="567"/>
        <w:jc w:val="both"/>
        <w:rPr>
          <w:rFonts w:asciiTheme="minorHAnsi" w:hAnsiTheme="minorHAnsi" w:cstheme="minorHAnsi"/>
          <w:sz w:val="20"/>
        </w:rPr>
      </w:pPr>
      <w:r w:rsidRPr="002E3B76">
        <w:rPr>
          <w:rFonts w:asciiTheme="minorHAnsi" w:hAnsiTheme="minorHAnsi" w:cstheme="minorHAnsi"/>
          <w:sz w:val="20"/>
        </w:rPr>
        <w:t>Brad Taylor</w:t>
      </w:r>
    </w:p>
    <w:p w14:paraId="14459FB9" w14:textId="24780CEF" w:rsidR="00DD0BAB" w:rsidRPr="002E3B76" w:rsidRDefault="001C0556" w:rsidP="002E3B76">
      <w:pPr>
        <w:pStyle w:val="BodyText"/>
        <w:keepLines w:val="0"/>
        <w:tabs>
          <w:tab w:val="clear" w:pos="1247"/>
        </w:tabs>
        <w:spacing w:before="0"/>
        <w:ind w:left="567"/>
        <w:jc w:val="both"/>
        <w:rPr>
          <w:rFonts w:asciiTheme="minorHAnsi" w:hAnsiTheme="minorHAnsi" w:cstheme="minorHAnsi"/>
          <w:sz w:val="20"/>
        </w:rPr>
      </w:pPr>
      <w:r w:rsidRPr="002E3B76">
        <w:rPr>
          <w:rFonts w:asciiTheme="minorHAnsi" w:hAnsiTheme="minorHAnsi" w:cstheme="minorHAnsi"/>
          <w:sz w:val="20"/>
        </w:rPr>
        <w:t>David Stybr</w:t>
      </w:r>
    </w:p>
    <w:p w14:paraId="3DDCEE9A" w14:textId="113C2293" w:rsidR="00B3602C" w:rsidRPr="002E3B76" w:rsidRDefault="001C0556" w:rsidP="002E3B76">
      <w:pPr>
        <w:pStyle w:val="BodyText"/>
        <w:keepLines w:val="0"/>
        <w:tabs>
          <w:tab w:val="clear" w:pos="1247"/>
        </w:tabs>
        <w:spacing w:before="0"/>
        <w:ind w:left="567"/>
        <w:jc w:val="both"/>
        <w:rPr>
          <w:rFonts w:asciiTheme="minorHAnsi" w:hAnsiTheme="minorHAnsi" w:cstheme="minorHAnsi"/>
          <w:sz w:val="20"/>
        </w:rPr>
      </w:pPr>
      <w:r w:rsidRPr="002E3B76">
        <w:rPr>
          <w:rFonts w:asciiTheme="minorHAnsi" w:hAnsiTheme="minorHAnsi" w:cstheme="minorHAnsi"/>
          <w:sz w:val="20"/>
        </w:rPr>
        <w:t xml:space="preserve">Wilhelmus Van Der Meer </w:t>
      </w:r>
      <w:r w:rsidR="00DD0BAB" w:rsidRPr="002E3B76">
        <w:rPr>
          <w:rFonts w:asciiTheme="minorHAnsi" w:hAnsiTheme="minorHAnsi" w:cstheme="minorHAnsi"/>
          <w:sz w:val="20"/>
        </w:rPr>
        <w:t xml:space="preserve"> </w:t>
      </w:r>
    </w:p>
    <w:p w14:paraId="4B07158D" w14:textId="0386CD81" w:rsidR="00A67EBE" w:rsidRDefault="00A67EBE" w:rsidP="002E3B76">
      <w:pPr>
        <w:pStyle w:val="BodyText"/>
        <w:keepLines w:val="0"/>
        <w:tabs>
          <w:tab w:val="clear" w:pos="1247"/>
        </w:tabs>
        <w:spacing w:before="0"/>
        <w:ind w:left="567"/>
        <w:jc w:val="both"/>
        <w:rPr>
          <w:rFonts w:asciiTheme="minorHAnsi" w:hAnsiTheme="minorHAnsi" w:cstheme="minorHAnsi"/>
          <w:sz w:val="20"/>
        </w:rPr>
      </w:pPr>
      <w:r w:rsidRPr="002E3B76">
        <w:rPr>
          <w:rFonts w:asciiTheme="minorHAnsi" w:hAnsiTheme="minorHAnsi" w:cstheme="minorHAnsi"/>
          <w:sz w:val="20"/>
        </w:rPr>
        <w:t>Marija Hrebac</w:t>
      </w:r>
    </w:p>
    <w:p w14:paraId="65866F5B" w14:textId="77777777" w:rsidR="002E3B76" w:rsidRPr="002E3B76" w:rsidRDefault="002E3B76" w:rsidP="002E3B76">
      <w:pPr>
        <w:pStyle w:val="BodyText"/>
        <w:keepLines w:val="0"/>
        <w:tabs>
          <w:tab w:val="clear" w:pos="1247"/>
        </w:tabs>
        <w:spacing w:before="0"/>
        <w:ind w:left="567"/>
        <w:jc w:val="both"/>
        <w:rPr>
          <w:rFonts w:asciiTheme="minorHAnsi" w:hAnsiTheme="minorHAnsi" w:cstheme="minorHAnsi"/>
          <w:sz w:val="20"/>
        </w:rPr>
      </w:pPr>
    </w:p>
    <w:p w14:paraId="52F96300" w14:textId="051784E1" w:rsidR="00DD0BAB" w:rsidRDefault="00DD0BAB" w:rsidP="002E3B76">
      <w:pPr>
        <w:pStyle w:val="BodyText"/>
        <w:keepLines w:val="0"/>
        <w:tabs>
          <w:tab w:val="clear" w:pos="1247"/>
        </w:tabs>
        <w:spacing w:before="0"/>
        <w:ind w:left="567"/>
        <w:jc w:val="both"/>
        <w:rPr>
          <w:rFonts w:asciiTheme="minorHAnsi" w:hAnsiTheme="minorHAnsi" w:cstheme="minorHAnsi"/>
          <w:b/>
          <w:sz w:val="20"/>
        </w:rPr>
      </w:pPr>
      <w:r w:rsidRPr="002E3B76">
        <w:rPr>
          <w:rFonts w:asciiTheme="minorHAnsi" w:hAnsiTheme="minorHAnsi" w:cstheme="minorHAnsi"/>
          <w:b/>
          <w:sz w:val="20"/>
        </w:rPr>
        <w:t xml:space="preserve">Matters </w:t>
      </w:r>
      <w:r w:rsidR="00784BE8" w:rsidRPr="002E3B76">
        <w:rPr>
          <w:rFonts w:asciiTheme="minorHAnsi" w:hAnsiTheme="minorHAnsi" w:cstheme="minorHAnsi"/>
          <w:b/>
          <w:sz w:val="20"/>
        </w:rPr>
        <w:t>C</w:t>
      </w:r>
      <w:r w:rsidRPr="002E3B76">
        <w:rPr>
          <w:rFonts w:asciiTheme="minorHAnsi" w:hAnsiTheme="minorHAnsi" w:cstheme="minorHAnsi"/>
          <w:b/>
          <w:sz w:val="20"/>
        </w:rPr>
        <w:t>overed in the Strategic Report</w:t>
      </w:r>
    </w:p>
    <w:p w14:paraId="72515C5D" w14:textId="77777777" w:rsidR="002E3B76" w:rsidRPr="002E3B76" w:rsidRDefault="002E3B76" w:rsidP="002E3B76">
      <w:pPr>
        <w:pStyle w:val="BodyText"/>
        <w:keepLines w:val="0"/>
        <w:tabs>
          <w:tab w:val="clear" w:pos="1247"/>
        </w:tabs>
        <w:spacing w:before="0"/>
        <w:ind w:left="567"/>
        <w:jc w:val="both"/>
        <w:rPr>
          <w:rFonts w:asciiTheme="minorHAnsi" w:hAnsiTheme="minorHAnsi" w:cstheme="minorHAnsi"/>
          <w:b/>
          <w:sz w:val="20"/>
        </w:rPr>
      </w:pPr>
    </w:p>
    <w:p w14:paraId="4457CD05" w14:textId="79A07EBE" w:rsidR="00DD0BAB" w:rsidRDefault="00DD0BAB" w:rsidP="002E3B76">
      <w:pPr>
        <w:pStyle w:val="BodyText"/>
        <w:keepLines w:val="0"/>
        <w:tabs>
          <w:tab w:val="clear" w:pos="1247"/>
        </w:tabs>
        <w:spacing w:before="0"/>
        <w:ind w:left="567"/>
        <w:jc w:val="both"/>
        <w:rPr>
          <w:rFonts w:asciiTheme="minorHAnsi" w:hAnsiTheme="minorHAnsi" w:cstheme="minorHAnsi"/>
          <w:sz w:val="20"/>
        </w:rPr>
      </w:pPr>
      <w:r w:rsidRPr="002E3B76">
        <w:rPr>
          <w:rFonts w:asciiTheme="minorHAnsi" w:hAnsiTheme="minorHAnsi" w:cstheme="minorHAnsi"/>
          <w:sz w:val="20"/>
        </w:rPr>
        <w:t xml:space="preserve">A review of the business, future developments, subsequent events and risks and uncertainties is included in the strategic report. </w:t>
      </w:r>
    </w:p>
    <w:p w14:paraId="1D2B4AD8" w14:textId="77777777" w:rsidR="002E3B76" w:rsidRPr="002E3B76" w:rsidRDefault="002E3B76" w:rsidP="002E3B76">
      <w:pPr>
        <w:pStyle w:val="BodyText"/>
        <w:keepLines w:val="0"/>
        <w:tabs>
          <w:tab w:val="clear" w:pos="1247"/>
        </w:tabs>
        <w:spacing w:before="0"/>
        <w:ind w:left="567"/>
        <w:jc w:val="both"/>
        <w:rPr>
          <w:rFonts w:asciiTheme="minorHAnsi" w:hAnsiTheme="minorHAnsi" w:cstheme="minorHAnsi"/>
          <w:sz w:val="20"/>
        </w:rPr>
      </w:pPr>
    </w:p>
    <w:p w14:paraId="5F582842" w14:textId="4FEA32AA" w:rsidR="00DD0BAB" w:rsidRDefault="00DD0BAB" w:rsidP="002E3B76">
      <w:pPr>
        <w:pStyle w:val="BodyText"/>
        <w:keepLines w:val="0"/>
        <w:tabs>
          <w:tab w:val="clear" w:pos="1247"/>
          <w:tab w:val="clear" w:pos="2552"/>
        </w:tabs>
        <w:spacing w:before="0"/>
        <w:ind w:left="567"/>
        <w:jc w:val="both"/>
        <w:rPr>
          <w:rFonts w:asciiTheme="minorHAnsi" w:hAnsiTheme="minorHAnsi" w:cstheme="minorHAnsi"/>
          <w:b/>
          <w:sz w:val="20"/>
        </w:rPr>
      </w:pPr>
      <w:r w:rsidRPr="002E3B76">
        <w:rPr>
          <w:rFonts w:asciiTheme="minorHAnsi" w:hAnsiTheme="minorHAnsi" w:cstheme="minorHAnsi"/>
          <w:b/>
          <w:sz w:val="20"/>
        </w:rPr>
        <w:t>Dividends</w:t>
      </w:r>
    </w:p>
    <w:p w14:paraId="66A6768D" w14:textId="77777777" w:rsidR="002E3B76" w:rsidRPr="002E3B76" w:rsidRDefault="002E3B76" w:rsidP="002E3B76">
      <w:pPr>
        <w:pStyle w:val="BodyText"/>
        <w:keepLines w:val="0"/>
        <w:tabs>
          <w:tab w:val="clear" w:pos="1247"/>
          <w:tab w:val="clear" w:pos="2552"/>
        </w:tabs>
        <w:spacing w:before="0"/>
        <w:ind w:left="567"/>
        <w:jc w:val="both"/>
        <w:rPr>
          <w:rFonts w:asciiTheme="minorHAnsi" w:hAnsiTheme="minorHAnsi" w:cstheme="minorHAnsi"/>
          <w:b/>
          <w:sz w:val="20"/>
        </w:rPr>
      </w:pPr>
    </w:p>
    <w:p w14:paraId="6419332F" w14:textId="77777777" w:rsidR="00871D50" w:rsidRDefault="00DD0BAB" w:rsidP="002E3B76">
      <w:pPr>
        <w:pStyle w:val="BodyText"/>
        <w:keepLines w:val="0"/>
        <w:tabs>
          <w:tab w:val="clear" w:pos="1247"/>
        </w:tabs>
        <w:spacing w:before="0"/>
        <w:ind w:left="567"/>
        <w:jc w:val="both"/>
        <w:rPr>
          <w:rFonts w:asciiTheme="minorHAnsi" w:hAnsiTheme="minorHAnsi" w:cstheme="minorHAnsi"/>
          <w:sz w:val="20"/>
        </w:rPr>
      </w:pPr>
      <w:r w:rsidRPr="002E3B76">
        <w:rPr>
          <w:rFonts w:asciiTheme="minorHAnsi" w:hAnsiTheme="minorHAnsi" w:cstheme="minorHAnsi"/>
          <w:sz w:val="20"/>
        </w:rPr>
        <w:t xml:space="preserve">The directors do not recommend the payment of a dividend for the </w:t>
      </w:r>
      <w:r w:rsidR="00470E95" w:rsidRPr="002E3B76">
        <w:rPr>
          <w:rFonts w:asciiTheme="minorHAnsi" w:hAnsiTheme="minorHAnsi" w:cstheme="minorHAnsi"/>
          <w:sz w:val="20"/>
        </w:rPr>
        <w:t>year</w:t>
      </w:r>
      <w:r w:rsidRPr="002E3B76">
        <w:rPr>
          <w:rFonts w:asciiTheme="minorHAnsi" w:hAnsiTheme="minorHAnsi" w:cstheme="minorHAnsi"/>
          <w:sz w:val="20"/>
        </w:rPr>
        <w:t xml:space="preserve"> ended 30</w:t>
      </w:r>
      <w:r w:rsidR="00B05736" w:rsidRPr="002E3B76">
        <w:rPr>
          <w:rFonts w:asciiTheme="minorHAnsi" w:hAnsiTheme="minorHAnsi" w:cstheme="minorHAnsi"/>
          <w:sz w:val="20"/>
        </w:rPr>
        <w:t xml:space="preserve"> </w:t>
      </w:r>
      <w:r w:rsidRPr="002E3B76">
        <w:rPr>
          <w:rFonts w:asciiTheme="minorHAnsi" w:hAnsiTheme="minorHAnsi" w:cstheme="minorHAnsi"/>
          <w:sz w:val="20"/>
        </w:rPr>
        <w:t>June 20</w:t>
      </w:r>
      <w:r w:rsidR="00470E95" w:rsidRPr="002E3B76">
        <w:rPr>
          <w:rFonts w:asciiTheme="minorHAnsi" w:hAnsiTheme="minorHAnsi" w:cstheme="minorHAnsi"/>
          <w:sz w:val="20"/>
        </w:rPr>
        <w:t>2</w:t>
      </w:r>
      <w:r w:rsidR="001C0556" w:rsidRPr="002E3B76">
        <w:rPr>
          <w:rFonts w:asciiTheme="minorHAnsi" w:hAnsiTheme="minorHAnsi" w:cstheme="minorHAnsi"/>
          <w:sz w:val="20"/>
        </w:rPr>
        <w:t>2</w:t>
      </w:r>
      <w:r w:rsidRPr="002E3B76">
        <w:rPr>
          <w:rFonts w:asciiTheme="minorHAnsi" w:hAnsiTheme="minorHAnsi" w:cstheme="minorHAnsi"/>
          <w:sz w:val="20"/>
        </w:rPr>
        <w:t xml:space="preserve"> (</w:t>
      </w:r>
      <w:r w:rsidR="00470E95" w:rsidRPr="002E3B76">
        <w:rPr>
          <w:rFonts w:asciiTheme="minorHAnsi" w:hAnsiTheme="minorHAnsi" w:cstheme="minorHAnsi"/>
          <w:sz w:val="20"/>
        </w:rPr>
        <w:t>30 June 20</w:t>
      </w:r>
      <w:r w:rsidR="001C0556" w:rsidRPr="002E3B76">
        <w:rPr>
          <w:rFonts w:asciiTheme="minorHAnsi" w:hAnsiTheme="minorHAnsi" w:cstheme="minorHAnsi"/>
          <w:sz w:val="20"/>
        </w:rPr>
        <w:t>21</w:t>
      </w:r>
      <w:r w:rsidRPr="002E3B76">
        <w:rPr>
          <w:rFonts w:asciiTheme="minorHAnsi" w:hAnsiTheme="minorHAnsi" w:cstheme="minorHAnsi"/>
          <w:sz w:val="20"/>
        </w:rPr>
        <w:t>: £nil).</w:t>
      </w:r>
    </w:p>
    <w:p w14:paraId="0F13D82B" w14:textId="77777777" w:rsidR="002E3B76" w:rsidRDefault="002E3B76" w:rsidP="002E3B76">
      <w:pPr>
        <w:pStyle w:val="BodyText"/>
        <w:keepLines w:val="0"/>
        <w:tabs>
          <w:tab w:val="clear" w:pos="1247"/>
        </w:tabs>
        <w:spacing w:before="0"/>
        <w:ind w:left="567"/>
        <w:jc w:val="both"/>
        <w:rPr>
          <w:rFonts w:asciiTheme="minorHAnsi" w:hAnsiTheme="minorHAnsi" w:cstheme="minorHAnsi"/>
          <w:sz w:val="20"/>
        </w:rPr>
      </w:pPr>
    </w:p>
    <w:p w14:paraId="6ACAB1A7" w14:textId="6F89A88B" w:rsidR="002E3B76" w:rsidRPr="002E3B76" w:rsidRDefault="002E3B76" w:rsidP="002E3B76">
      <w:pPr>
        <w:pStyle w:val="BodyText"/>
        <w:keepLines w:val="0"/>
        <w:tabs>
          <w:tab w:val="clear" w:pos="1247"/>
        </w:tabs>
        <w:spacing w:before="0"/>
        <w:ind w:left="567"/>
        <w:jc w:val="both"/>
        <w:rPr>
          <w:rFonts w:asciiTheme="minorHAnsi" w:hAnsiTheme="minorHAnsi" w:cstheme="minorHAnsi"/>
          <w:sz w:val="20"/>
        </w:rPr>
        <w:sectPr w:rsidR="002E3B76" w:rsidRPr="002E3B76" w:rsidSect="00DD0BAB">
          <w:headerReference w:type="even" r:id="rId42"/>
          <w:headerReference w:type="default" r:id="rId43"/>
          <w:headerReference w:type="first" r:id="rId44"/>
          <w:type w:val="continuous"/>
          <w:pgSz w:w="11906" w:h="16838"/>
          <w:pgMar w:top="720" w:right="1558" w:bottom="720" w:left="993" w:header="708" w:footer="708" w:gutter="0"/>
          <w:cols w:space="708"/>
          <w:docGrid w:linePitch="360"/>
        </w:sectPr>
      </w:pPr>
    </w:p>
    <w:p w14:paraId="1955AF9A" w14:textId="7AE397AC" w:rsidR="00DD0BAB" w:rsidRDefault="00DD0BAB" w:rsidP="002E3B76">
      <w:pPr>
        <w:pStyle w:val="BodyText"/>
        <w:keepLines w:val="0"/>
        <w:tabs>
          <w:tab w:val="clear" w:pos="1247"/>
        </w:tabs>
        <w:spacing w:before="0"/>
        <w:ind w:left="567"/>
        <w:jc w:val="both"/>
        <w:rPr>
          <w:rFonts w:asciiTheme="minorHAnsi" w:hAnsiTheme="minorHAnsi" w:cstheme="minorHAnsi"/>
          <w:b/>
          <w:sz w:val="20"/>
        </w:rPr>
      </w:pPr>
      <w:r w:rsidRPr="002E3B76">
        <w:rPr>
          <w:rFonts w:asciiTheme="minorHAnsi" w:hAnsiTheme="minorHAnsi" w:cstheme="minorHAnsi"/>
          <w:b/>
          <w:sz w:val="20"/>
        </w:rPr>
        <w:t xml:space="preserve">Corporate </w:t>
      </w:r>
      <w:r w:rsidR="00784BE8" w:rsidRPr="002E3B76">
        <w:rPr>
          <w:rFonts w:asciiTheme="minorHAnsi" w:hAnsiTheme="minorHAnsi" w:cstheme="minorHAnsi"/>
          <w:b/>
          <w:sz w:val="20"/>
        </w:rPr>
        <w:t>G</w:t>
      </w:r>
      <w:r w:rsidRPr="002E3B76">
        <w:rPr>
          <w:rFonts w:asciiTheme="minorHAnsi" w:hAnsiTheme="minorHAnsi" w:cstheme="minorHAnsi"/>
          <w:b/>
          <w:sz w:val="20"/>
        </w:rPr>
        <w:t>overnance statement</w:t>
      </w:r>
    </w:p>
    <w:p w14:paraId="083EA4FD" w14:textId="77777777" w:rsidR="002E3B76" w:rsidRPr="002E3B76" w:rsidRDefault="002E3B76" w:rsidP="002E3B76">
      <w:pPr>
        <w:pStyle w:val="BodyText"/>
        <w:keepLines w:val="0"/>
        <w:tabs>
          <w:tab w:val="clear" w:pos="1247"/>
        </w:tabs>
        <w:spacing w:before="0"/>
        <w:ind w:left="567"/>
        <w:jc w:val="both"/>
        <w:rPr>
          <w:rFonts w:asciiTheme="minorHAnsi" w:hAnsiTheme="minorHAnsi" w:cstheme="minorHAnsi"/>
          <w:b/>
          <w:sz w:val="20"/>
        </w:rPr>
      </w:pPr>
    </w:p>
    <w:p w14:paraId="744F396B" w14:textId="03E22A5F" w:rsidR="00DD0BAB" w:rsidRPr="002E3B76" w:rsidRDefault="00DD0BAB" w:rsidP="002E3B76">
      <w:pPr>
        <w:pStyle w:val="BodyText"/>
        <w:keepLines w:val="0"/>
        <w:tabs>
          <w:tab w:val="clear" w:pos="1247"/>
          <w:tab w:val="clear" w:pos="10206"/>
        </w:tabs>
        <w:spacing w:before="0"/>
        <w:ind w:left="567"/>
        <w:jc w:val="both"/>
        <w:rPr>
          <w:rFonts w:asciiTheme="minorHAnsi" w:hAnsiTheme="minorHAnsi" w:cstheme="minorHAnsi"/>
          <w:sz w:val="20"/>
        </w:rPr>
      </w:pPr>
      <w:r w:rsidRPr="002E3B76">
        <w:rPr>
          <w:rFonts w:asciiTheme="minorHAnsi" w:hAnsiTheme="minorHAnsi" w:cstheme="minorHAnsi"/>
          <w:sz w:val="20"/>
        </w:rPr>
        <w:t>The Corporate Governance report forms part of the Directors’ Report.</w:t>
      </w:r>
    </w:p>
    <w:p w14:paraId="166F1C5D" w14:textId="77777777" w:rsidR="00A67EBE" w:rsidRPr="002E3B76" w:rsidRDefault="00A67EBE" w:rsidP="002E3B76">
      <w:pPr>
        <w:pStyle w:val="BodyText"/>
        <w:keepLines w:val="0"/>
        <w:tabs>
          <w:tab w:val="clear" w:pos="1247"/>
          <w:tab w:val="clear" w:pos="10206"/>
        </w:tabs>
        <w:spacing w:before="0"/>
        <w:ind w:left="567"/>
        <w:jc w:val="both"/>
        <w:rPr>
          <w:rFonts w:asciiTheme="minorHAnsi" w:hAnsiTheme="minorHAnsi" w:cstheme="minorHAnsi"/>
          <w:sz w:val="20"/>
        </w:rPr>
      </w:pPr>
    </w:p>
    <w:p w14:paraId="705D6F5C" w14:textId="77777777" w:rsidR="00A67EBE" w:rsidRPr="002E3B76" w:rsidRDefault="00A67EBE" w:rsidP="002E3B76">
      <w:pPr>
        <w:tabs>
          <w:tab w:val="left" w:pos="567"/>
        </w:tabs>
        <w:ind w:left="567"/>
        <w:rPr>
          <w:rFonts w:asciiTheme="minorHAnsi" w:hAnsiTheme="minorHAnsi" w:cstheme="minorHAnsi"/>
          <w:b/>
          <w:sz w:val="20"/>
          <w:szCs w:val="20"/>
        </w:rPr>
      </w:pPr>
      <w:r w:rsidRPr="002E3B76">
        <w:rPr>
          <w:rFonts w:asciiTheme="minorHAnsi" w:hAnsiTheme="minorHAnsi" w:cstheme="minorHAnsi"/>
          <w:b/>
          <w:sz w:val="20"/>
          <w:szCs w:val="20"/>
        </w:rPr>
        <w:t>Post Balance Sheet Events</w:t>
      </w:r>
    </w:p>
    <w:p w14:paraId="4B860313" w14:textId="77777777" w:rsidR="00A67EBE" w:rsidRPr="002E3B76" w:rsidRDefault="00A67EBE" w:rsidP="002E3B76">
      <w:pPr>
        <w:tabs>
          <w:tab w:val="left" w:pos="567"/>
        </w:tabs>
        <w:ind w:left="567"/>
        <w:rPr>
          <w:rFonts w:asciiTheme="minorHAnsi" w:hAnsiTheme="minorHAnsi" w:cstheme="minorHAnsi"/>
          <w:b/>
          <w:sz w:val="20"/>
          <w:szCs w:val="20"/>
        </w:rPr>
      </w:pPr>
    </w:p>
    <w:p w14:paraId="6F30C40B" w14:textId="2CE10713" w:rsidR="00A67EBE" w:rsidRPr="002E3B76" w:rsidRDefault="00A67EBE"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 xml:space="preserve">The company entered administration in June 2021 and as of 30 June 2022 remained in administration. Given that this report has been prepared in the fourth quarter of 2022, numerous post balance sheet events have been presented. </w:t>
      </w:r>
    </w:p>
    <w:p w14:paraId="3CDDD986" w14:textId="77777777" w:rsidR="00A67EBE" w:rsidRPr="002E3B76" w:rsidRDefault="00A67EBE"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 xml:space="preserve"> </w:t>
      </w:r>
    </w:p>
    <w:p w14:paraId="25EEC984" w14:textId="284D92D2" w:rsidR="00A67EBE" w:rsidRPr="002E3B76" w:rsidRDefault="00A67EBE" w:rsidP="002E3B76">
      <w:pPr>
        <w:tabs>
          <w:tab w:val="left" w:pos="567"/>
        </w:tabs>
        <w:ind w:left="567"/>
        <w:rPr>
          <w:rFonts w:asciiTheme="minorHAnsi" w:hAnsiTheme="minorHAnsi" w:cstheme="minorHAnsi"/>
          <w:sz w:val="20"/>
          <w:szCs w:val="20"/>
        </w:rPr>
      </w:pPr>
      <w:r w:rsidRPr="002E3B76">
        <w:rPr>
          <w:rFonts w:asciiTheme="minorHAnsi" w:hAnsiTheme="minorHAnsi" w:cstheme="minorHAnsi"/>
          <w:sz w:val="20"/>
          <w:szCs w:val="20"/>
        </w:rPr>
        <w:t>Further details can be found in note 2 of the financial statements.</w:t>
      </w:r>
    </w:p>
    <w:p w14:paraId="3701942D" w14:textId="1E5AA4C0" w:rsidR="00A67EBE" w:rsidRPr="002E3B76" w:rsidRDefault="00A67EBE" w:rsidP="002E3B76">
      <w:pPr>
        <w:pStyle w:val="BodyText"/>
        <w:keepLines w:val="0"/>
        <w:tabs>
          <w:tab w:val="clear" w:pos="1247"/>
          <w:tab w:val="clear" w:pos="10206"/>
        </w:tabs>
        <w:spacing w:before="0"/>
        <w:ind w:left="567"/>
        <w:jc w:val="both"/>
        <w:rPr>
          <w:rFonts w:asciiTheme="minorHAnsi" w:hAnsiTheme="minorHAnsi" w:cstheme="minorHAnsi"/>
          <w:sz w:val="20"/>
        </w:rPr>
        <w:sectPr w:rsidR="00A67EBE" w:rsidRPr="002E3B76" w:rsidSect="00DD0BAB">
          <w:headerReference w:type="even" r:id="rId45"/>
          <w:headerReference w:type="default" r:id="rId46"/>
          <w:headerReference w:type="first" r:id="rId47"/>
          <w:type w:val="continuous"/>
          <w:pgSz w:w="11906" w:h="16838"/>
          <w:pgMar w:top="720" w:right="1558" w:bottom="720" w:left="993" w:header="708" w:footer="708" w:gutter="0"/>
          <w:cols w:space="708"/>
          <w:docGrid w:linePitch="360"/>
        </w:sectPr>
      </w:pPr>
    </w:p>
    <w:p w14:paraId="365E2941" w14:textId="77777777" w:rsidR="00A67EBE" w:rsidRPr="002E3B76" w:rsidRDefault="00A67EBE" w:rsidP="002E3B76">
      <w:pPr>
        <w:ind w:left="567"/>
        <w:jc w:val="both"/>
        <w:rPr>
          <w:rFonts w:asciiTheme="minorHAnsi" w:hAnsiTheme="minorHAnsi" w:cstheme="minorHAnsi"/>
          <w:b/>
          <w:sz w:val="20"/>
          <w:szCs w:val="20"/>
        </w:rPr>
      </w:pPr>
    </w:p>
    <w:p w14:paraId="23FC6DDF" w14:textId="7B0628F5" w:rsidR="00784BE8" w:rsidRPr="002E3B76" w:rsidRDefault="00784BE8" w:rsidP="002E3B76">
      <w:pPr>
        <w:ind w:left="567"/>
        <w:jc w:val="both"/>
        <w:rPr>
          <w:rFonts w:asciiTheme="minorHAnsi" w:hAnsiTheme="minorHAnsi" w:cstheme="minorHAnsi"/>
          <w:b/>
          <w:sz w:val="20"/>
          <w:szCs w:val="20"/>
        </w:rPr>
      </w:pPr>
      <w:r w:rsidRPr="002E3B76">
        <w:rPr>
          <w:rFonts w:asciiTheme="minorHAnsi" w:hAnsiTheme="minorHAnsi" w:cstheme="minorHAnsi"/>
          <w:b/>
          <w:sz w:val="20"/>
          <w:szCs w:val="20"/>
        </w:rPr>
        <w:t>Greenhouse Gas Emissions</w:t>
      </w:r>
    </w:p>
    <w:p w14:paraId="03CE69CB" w14:textId="77777777" w:rsidR="00A67EBE" w:rsidRPr="002E3B76" w:rsidRDefault="00A67EBE" w:rsidP="002E3B76">
      <w:pPr>
        <w:ind w:left="567"/>
        <w:jc w:val="both"/>
        <w:rPr>
          <w:rFonts w:asciiTheme="minorHAnsi" w:hAnsiTheme="minorHAnsi" w:cstheme="minorHAnsi"/>
          <w:b/>
          <w:sz w:val="20"/>
          <w:szCs w:val="20"/>
        </w:rPr>
      </w:pPr>
    </w:p>
    <w:p w14:paraId="643464F3" w14:textId="116E41AC" w:rsidR="00A67EBE" w:rsidRPr="002E3B76" w:rsidRDefault="00A67EBE" w:rsidP="002E3B76">
      <w:pPr>
        <w:tabs>
          <w:tab w:val="left" w:pos="567"/>
        </w:tabs>
        <w:ind w:left="567"/>
        <w:rPr>
          <w:rFonts w:asciiTheme="minorHAnsi" w:hAnsiTheme="minorHAnsi" w:cstheme="minorHAnsi"/>
          <w:sz w:val="20"/>
          <w:szCs w:val="20"/>
        </w:rPr>
      </w:pPr>
      <w:r w:rsidRPr="002E3B76">
        <w:rPr>
          <w:rFonts w:asciiTheme="minorHAnsi" w:hAnsiTheme="minorHAnsi" w:cstheme="minorHAnsi"/>
          <w:bCs/>
          <w:sz w:val="20"/>
          <w:szCs w:val="20"/>
        </w:rPr>
        <w:t>As</w:t>
      </w:r>
      <w:r w:rsidRPr="002E3B76">
        <w:rPr>
          <w:rFonts w:asciiTheme="minorHAnsi" w:hAnsiTheme="minorHAnsi" w:cstheme="minorHAnsi"/>
          <w:sz w:val="20"/>
          <w:szCs w:val="20"/>
        </w:rPr>
        <w:t xml:space="preserve"> far as the directors are aware the company’s current business activates (the creation of online media and advertising) do not cause more than a negligible amount of emissions.</w:t>
      </w:r>
    </w:p>
    <w:p w14:paraId="73B540B9" w14:textId="77777777" w:rsidR="004452F7" w:rsidRPr="002E3B76" w:rsidRDefault="004452F7" w:rsidP="002E3B76">
      <w:pPr>
        <w:tabs>
          <w:tab w:val="left" w:pos="567"/>
        </w:tabs>
        <w:rPr>
          <w:rFonts w:asciiTheme="minorHAnsi" w:hAnsiTheme="minorHAnsi" w:cstheme="minorHAnsi"/>
          <w:b/>
          <w:sz w:val="20"/>
          <w:szCs w:val="20"/>
        </w:rPr>
      </w:pPr>
    </w:p>
    <w:p w14:paraId="7B24D835" w14:textId="1D461CAD" w:rsidR="00DD0BAB" w:rsidRDefault="00DD0BAB" w:rsidP="002E3B76">
      <w:pPr>
        <w:tabs>
          <w:tab w:val="left" w:pos="567"/>
        </w:tabs>
        <w:ind w:left="567"/>
        <w:rPr>
          <w:rFonts w:asciiTheme="minorHAnsi" w:hAnsiTheme="minorHAnsi" w:cstheme="minorHAnsi"/>
          <w:b/>
          <w:sz w:val="20"/>
          <w:szCs w:val="20"/>
        </w:rPr>
      </w:pPr>
      <w:r w:rsidRPr="002E3B76">
        <w:rPr>
          <w:rFonts w:asciiTheme="minorHAnsi" w:hAnsiTheme="minorHAnsi" w:cstheme="minorHAnsi"/>
          <w:b/>
          <w:sz w:val="20"/>
          <w:szCs w:val="20"/>
        </w:rPr>
        <w:t>Directors’ Responsibilities</w:t>
      </w:r>
    </w:p>
    <w:p w14:paraId="25C6D0E5" w14:textId="77777777" w:rsidR="002E3B76" w:rsidRPr="002E3B76" w:rsidRDefault="002E3B76" w:rsidP="002E3B76">
      <w:pPr>
        <w:tabs>
          <w:tab w:val="left" w:pos="567"/>
        </w:tabs>
        <w:ind w:left="567"/>
        <w:rPr>
          <w:rFonts w:asciiTheme="minorHAnsi" w:hAnsiTheme="minorHAnsi" w:cstheme="minorHAnsi"/>
          <w:b/>
          <w:sz w:val="20"/>
          <w:szCs w:val="20"/>
        </w:rPr>
      </w:pPr>
    </w:p>
    <w:p w14:paraId="4F877179" w14:textId="015135C7" w:rsidR="00DD0BAB" w:rsidRDefault="00DD0BAB"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The directors are responsible for preparing the directors’ report and the financial statements in accordance with applicable law and regulations.</w:t>
      </w:r>
    </w:p>
    <w:p w14:paraId="2388C187" w14:textId="77777777" w:rsidR="002E3B76" w:rsidRPr="002E3B76" w:rsidRDefault="002E3B76" w:rsidP="002E3B76">
      <w:pPr>
        <w:ind w:left="567"/>
        <w:jc w:val="both"/>
        <w:rPr>
          <w:rFonts w:asciiTheme="minorHAnsi" w:hAnsiTheme="minorHAnsi" w:cstheme="minorHAnsi"/>
          <w:sz w:val="20"/>
          <w:szCs w:val="20"/>
        </w:rPr>
      </w:pPr>
    </w:p>
    <w:p w14:paraId="4EC0BCC7" w14:textId="197241EB" w:rsidR="00DD0BAB" w:rsidRDefault="00DD0BAB"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Company law requires the directors to prepare financial statements for each financial period.  Under that law, the directors have elected to prepare the financial statements in accordance with International Financial Reporting Standards (“</w:t>
      </w:r>
      <w:r w:rsidRPr="002E3B76">
        <w:rPr>
          <w:rFonts w:asciiTheme="minorHAnsi" w:hAnsiTheme="minorHAnsi" w:cstheme="minorHAnsi"/>
          <w:b/>
          <w:sz w:val="20"/>
          <w:szCs w:val="20"/>
        </w:rPr>
        <w:t>IFRS</w:t>
      </w:r>
      <w:r w:rsidRPr="002E3B76">
        <w:rPr>
          <w:rFonts w:asciiTheme="minorHAnsi" w:hAnsiTheme="minorHAnsi" w:cstheme="minorHAnsi"/>
          <w:sz w:val="20"/>
          <w:szCs w:val="20"/>
        </w:rPr>
        <w:t xml:space="preserve">”) as adopted by the </w:t>
      </w:r>
      <w:r w:rsidR="004452F7" w:rsidRPr="002E3B76">
        <w:rPr>
          <w:rFonts w:asciiTheme="minorHAnsi" w:hAnsiTheme="minorHAnsi" w:cstheme="minorHAnsi"/>
          <w:sz w:val="20"/>
          <w:szCs w:val="20"/>
        </w:rPr>
        <w:t>United Kingdom</w:t>
      </w:r>
      <w:r w:rsidRPr="002E3B76">
        <w:rPr>
          <w:rFonts w:asciiTheme="minorHAnsi" w:hAnsiTheme="minorHAnsi" w:cstheme="minorHAnsi"/>
          <w:sz w:val="20"/>
          <w:szCs w:val="20"/>
        </w:rPr>
        <w:t xml:space="preserve">.  The financial statements are required by law to give a true and fair view of the state of affairs of the Company and the Group and of the Group’s results for that period.  </w:t>
      </w:r>
    </w:p>
    <w:p w14:paraId="4F5787D9" w14:textId="77777777" w:rsidR="002E3B76" w:rsidRPr="002E3B76" w:rsidRDefault="002E3B76" w:rsidP="002E3B76">
      <w:pPr>
        <w:ind w:left="567"/>
        <w:jc w:val="both"/>
        <w:rPr>
          <w:rFonts w:asciiTheme="minorHAnsi" w:hAnsiTheme="minorHAnsi" w:cstheme="minorHAnsi"/>
          <w:sz w:val="20"/>
          <w:szCs w:val="20"/>
        </w:rPr>
      </w:pPr>
    </w:p>
    <w:p w14:paraId="36421F1B" w14:textId="0CC8ECA5" w:rsidR="00DD0BAB" w:rsidRDefault="00DD0BAB"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In preparing these financial statements, the directors are required to:</w:t>
      </w:r>
    </w:p>
    <w:p w14:paraId="132B20BB" w14:textId="77777777" w:rsidR="002E3B76" w:rsidRPr="002E3B76" w:rsidRDefault="002E3B76" w:rsidP="002E3B76">
      <w:pPr>
        <w:ind w:left="567"/>
        <w:jc w:val="both"/>
        <w:rPr>
          <w:rFonts w:asciiTheme="minorHAnsi" w:hAnsiTheme="minorHAnsi" w:cstheme="minorHAnsi"/>
          <w:sz w:val="20"/>
          <w:szCs w:val="20"/>
        </w:rPr>
      </w:pPr>
    </w:p>
    <w:p w14:paraId="21B0280D" w14:textId="77777777" w:rsidR="00DD0BAB" w:rsidRPr="002E3B76" w:rsidRDefault="00DD0BAB" w:rsidP="002E3B76">
      <w:pPr>
        <w:pStyle w:val="ListParagraph"/>
        <w:numPr>
          <w:ilvl w:val="0"/>
          <w:numId w:val="15"/>
        </w:numPr>
        <w:ind w:left="924" w:hanging="357"/>
        <w:contextualSpacing w:val="0"/>
        <w:jc w:val="both"/>
        <w:rPr>
          <w:rFonts w:asciiTheme="minorHAnsi" w:hAnsiTheme="minorHAnsi" w:cstheme="minorHAnsi"/>
          <w:sz w:val="20"/>
          <w:szCs w:val="20"/>
        </w:rPr>
      </w:pPr>
      <w:r w:rsidRPr="002E3B76">
        <w:rPr>
          <w:rFonts w:asciiTheme="minorHAnsi" w:hAnsiTheme="minorHAnsi" w:cstheme="minorHAnsi"/>
          <w:sz w:val="20"/>
          <w:szCs w:val="20"/>
        </w:rPr>
        <w:t>select suitable accounting policies and then apply them consistently;</w:t>
      </w:r>
    </w:p>
    <w:p w14:paraId="7DFD3B02" w14:textId="77777777" w:rsidR="00DD0BAB" w:rsidRPr="002E3B76" w:rsidRDefault="00DD0BAB" w:rsidP="002E3B76">
      <w:pPr>
        <w:pStyle w:val="ListParagraph"/>
        <w:numPr>
          <w:ilvl w:val="0"/>
          <w:numId w:val="15"/>
        </w:numPr>
        <w:ind w:left="924" w:hanging="357"/>
        <w:contextualSpacing w:val="0"/>
        <w:jc w:val="both"/>
        <w:rPr>
          <w:rFonts w:asciiTheme="minorHAnsi" w:hAnsiTheme="minorHAnsi" w:cstheme="minorHAnsi"/>
          <w:sz w:val="20"/>
          <w:szCs w:val="20"/>
        </w:rPr>
      </w:pPr>
      <w:r w:rsidRPr="002E3B76">
        <w:rPr>
          <w:rFonts w:asciiTheme="minorHAnsi" w:hAnsiTheme="minorHAnsi" w:cstheme="minorHAnsi"/>
          <w:sz w:val="20"/>
          <w:szCs w:val="20"/>
        </w:rPr>
        <w:t>make judgments and estimates that are reasonable and prudent;</w:t>
      </w:r>
    </w:p>
    <w:p w14:paraId="76CDB615" w14:textId="354E408F" w:rsidR="00DD0BAB" w:rsidRPr="002E3B76" w:rsidRDefault="00DD0BAB" w:rsidP="002E3B76">
      <w:pPr>
        <w:pStyle w:val="ListParagraph"/>
        <w:numPr>
          <w:ilvl w:val="0"/>
          <w:numId w:val="15"/>
        </w:numPr>
        <w:ind w:left="924" w:hanging="357"/>
        <w:contextualSpacing w:val="0"/>
        <w:jc w:val="both"/>
        <w:rPr>
          <w:rFonts w:asciiTheme="minorHAnsi" w:hAnsiTheme="minorHAnsi" w:cstheme="minorHAnsi"/>
          <w:sz w:val="20"/>
          <w:szCs w:val="20"/>
        </w:rPr>
      </w:pPr>
      <w:r w:rsidRPr="002E3B76">
        <w:rPr>
          <w:rFonts w:asciiTheme="minorHAnsi" w:hAnsiTheme="minorHAnsi" w:cstheme="minorHAnsi"/>
          <w:sz w:val="20"/>
          <w:szCs w:val="20"/>
        </w:rPr>
        <w:lastRenderedPageBreak/>
        <w:t xml:space="preserve">state whether the financial statements comply with IFRS as adopted by the </w:t>
      </w:r>
      <w:r w:rsidR="004452F7" w:rsidRPr="002E3B76">
        <w:rPr>
          <w:rFonts w:asciiTheme="minorHAnsi" w:hAnsiTheme="minorHAnsi" w:cstheme="minorHAnsi"/>
          <w:sz w:val="20"/>
          <w:szCs w:val="20"/>
        </w:rPr>
        <w:t>United Kingdom</w:t>
      </w:r>
      <w:r w:rsidRPr="002E3B76">
        <w:rPr>
          <w:rFonts w:asciiTheme="minorHAnsi" w:hAnsiTheme="minorHAnsi" w:cstheme="minorHAnsi"/>
          <w:sz w:val="20"/>
          <w:szCs w:val="20"/>
        </w:rPr>
        <w:t xml:space="preserve">; and </w:t>
      </w:r>
    </w:p>
    <w:p w14:paraId="4CCF354B" w14:textId="232D41FC" w:rsidR="00DD0BAB" w:rsidRDefault="00DD0BAB" w:rsidP="002E3B76">
      <w:pPr>
        <w:pStyle w:val="ListParagraph"/>
        <w:numPr>
          <w:ilvl w:val="0"/>
          <w:numId w:val="15"/>
        </w:numPr>
        <w:ind w:left="924" w:hanging="357"/>
        <w:contextualSpacing w:val="0"/>
        <w:jc w:val="both"/>
        <w:rPr>
          <w:rFonts w:asciiTheme="minorHAnsi" w:hAnsiTheme="minorHAnsi" w:cstheme="minorHAnsi"/>
          <w:sz w:val="20"/>
          <w:szCs w:val="20"/>
        </w:rPr>
      </w:pPr>
      <w:r w:rsidRPr="002E3B76">
        <w:rPr>
          <w:rFonts w:asciiTheme="minorHAnsi" w:hAnsiTheme="minorHAnsi" w:cstheme="minorHAnsi"/>
          <w:sz w:val="20"/>
          <w:szCs w:val="20"/>
        </w:rPr>
        <w:t>prepare the financial statements on the going-concern basis unless it is inappropriate to presume that the Group and Company will continue in business.</w:t>
      </w:r>
    </w:p>
    <w:p w14:paraId="1A49147A" w14:textId="77777777" w:rsidR="002E3B76" w:rsidRPr="002E3B76" w:rsidRDefault="002E3B76" w:rsidP="00DE1C5E">
      <w:pPr>
        <w:pStyle w:val="ListParagraph"/>
        <w:ind w:left="924"/>
        <w:contextualSpacing w:val="0"/>
        <w:jc w:val="both"/>
        <w:rPr>
          <w:rFonts w:asciiTheme="minorHAnsi" w:hAnsiTheme="minorHAnsi" w:cstheme="minorHAnsi"/>
          <w:sz w:val="20"/>
          <w:szCs w:val="20"/>
        </w:rPr>
      </w:pPr>
    </w:p>
    <w:p w14:paraId="31203A83" w14:textId="4E0F4BE9" w:rsidR="00B33D7D" w:rsidRDefault="00DD0BAB" w:rsidP="002E3B76">
      <w:pPr>
        <w:tabs>
          <w:tab w:val="left" w:pos="8789"/>
        </w:tabs>
        <w:ind w:left="567"/>
        <w:jc w:val="both"/>
        <w:rPr>
          <w:rFonts w:asciiTheme="minorHAnsi" w:hAnsiTheme="minorHAnsi" w:cstheme="minorHAnsi"/>
          <w:sz w:val="20"/>
          <w:szCs w:val="20"/>
        </w:rPr>
      </w:pPr>
      <w:r w:rsidRPr="002E3B76">
        <w:rPr>
          <w:rFonts w:asciiTheme="minorHAnsi" w:hAnsiTheme="minorHAnsi" w:cstheme="minorHAnsi"/>
          <w:sz w:val="20"/>
          <w:szCs w:val="20"/>
        </w:rPr>
        <w:t>The directors are responsible for keeping adequate accounting records that are sufficient to show and explain the Group’s and Company’s transactions and disclose with reasonable accuracy at any time the financial position of the Group and enable them to ensure that the financial statements comply with the Companies Act 2006.  They are also responsible for safeguarding the assets of the Group and hence for taking reasonable steps for the prevention and detection of fraud and other irregularities.</w:t>
      </w:r>
    </w:p>
    <w:p w14:paraId="3BE00582" w14:textId="77777777" w:rsidR="002E3B76" w:rsidRPr="002E3B76" w:rsidRDefault="002E3B76" w:rsidP="002E3B76">
      <w:pPr>
        <w:tabs>
          <w:tab w:val="left" w:pos="8789"/>
        </w:tabs>
        <w:ind w:left="567"/>
        <w:jc w:val="both"/>
        <w:rPr>
          <w:rFonts w:asciiTheme="minorHAnsi" w:hAnsiTheme="minorHAnsi" w:cstheme="minorHAnsi"/>
          <w:b/>
          <w:sz w:val="20"/>
          <w:szCs w:val="20"/>
        </w:rPr>
      </w:pPr>
    </w:p>
    <w:p w14:paraId="74C91ED9" w14:textId="22246387" w:rsidR="00784BE8" w:rsidRDefault="00784BE8" w:rsidP="002E3B76">
      <w:pPr>
        <w:tabs>
          <w:tab w:val="left" w:pos="8789"/>
        </w:tabs>
        <w:ind w:left="567"/>
        <w:jc w:val="both"/>
        <w:rPr>
          <w:rFonts w:asciiTheme="minorHAnsi" w:hAnsiTheme="minorHAnsi" w:cstheme="minorHAnsi"/>
          <w:b/>
          <w:sz w:val="20"/>
          <w:szCs w:val="20"/>
        </w:rPr>
      </w:pPr>
      <w:r w:rsidRPr="002E3B76">
        <w:rPr>
          <w:rFonts w:asciiTheme="minorHAnsi" w:hAnsiTheme="minorHAnsi" w:cstheme="minorHAnsi"/>
          <w:b/>
          <w:sz w:val="20"/>
          <w:szCs w:val="20"/>
        </w:rPr>
        <w:t>Website Publication</w:t>
      </w:r>
    </w:p>
    <w:p w14:paraId="690AF780" w14:textId="77777777" w:rsidR="002E3B76" w:rsidRPr="002E3B76" w:rsidRDefault="002E3B76" w:rsidP="002E3B76">
      <w:pPr>
        <w:tabs>
          <w:tab w:val="left" w:pos="8789"/>
        </w:tabs>
        <w:ind w:left="567"/>
        <w:jc w:val="both"/>
        <w:rPr>
          <w:rFonts w:asciiTheme="minorHAnsi" w:hAnsiTheme="minorHAnsi" w:cstheme="minorHAnsi"/>
          <w:b/>
          <w:sz w:val="20"/>
          <w:szCs w:val="20"/>
        </w:rPr>
      </w:pPr>
    </w:p>
    <w:p w14:paraId="145E7D37" w14:textId="65ECA74D" w:rsidR="00DD0BAB" w:rsidRDefault="00784BE8" w:rsidP="002E3B76">
      <w:pPr>
        <w:tabs>
          <w:tab w:val="left" w:pos="8789"/>
        </w:tabs>
        <w:ind w:left="567"/>
        <w:jc w:val="both"/>
        <w:rPr>
          <w:rFonts w:asciiTheme="minorHAnsi" w:hAnsiTheme="minorHAnsi" w:cstheme="minorHAnsi"/>
          <w:sz w:val="20"/>
          <w:szCs w:val="20"/>
        </w:rPr>
      </w:pPr>
      <w:r w:rsidRPr="002E3B76">
        <w:rPr>
          <w:rFonts w:asciiTheme="minorHAnsi" w:hAnsiTheme="minorHAnsi" w:cstheme="minorHAnsi"/>
          <w:sz w:val="20"/>
          <w:szCs w:val="20"/>
        </w:rPr>
        <w:t>The directors are responsible for ensuring the Annual Report and financial statements are made available on the website. Financial statements are published on the Group’s website in accordance with legislation in the United Kingdom governing the preparation and dissemination of financial statements, which may vary from legislation in other jurisdictions. The directors are responsible for the maintenance and integrity of the corporate and financial information included on the Company’s website.  The directors’ responsibility also extends to the ongoing integrity of the financial statements contained therein.</w:t>
      </w:r>
    </w:p>
    <w:p w14:paraId="42DB29DC" w14:textId="77777777" w:rsidR="002E3B76" w:rsidRPr="002E3B76" w:rsidRDefault="002E3B76" w:rsidP="002E3B76">
      <w:pPr>
        <w:tabs>
          <w:tab w:val="left" w:pos="8789"/>
        </w:tabs>
        <w:ind w:left="567"/>
        <w:jc w:val="both"/>
        <w:rPr>
          <w:rFonts w:asciiTheme="minorHAnsi" w:hAnsiTheme="minorHAnsi" w:cstheme="minorHAnsi"/>
          <w:sz w:val="20"/>
          <w:szCs w:val="20"/>
        </w:rPr>
      </w:pPr>
    </w:p>
    <w:p w14:paraId="78B0F2A3" w14:textId="382C12CC" w:rsidR="008A1D07" w:rsidRDefault="008A1D07" w:rsidP="002E3B76">
      <w:pPr>
        <w:ind w:left="567"/>
        <w:jc w:val="both"/>
        <w:rPr>
          <w:rFonts w:asciiTheme="minorHAnsi" w:hAnsiTheme="minorHAnsi" w:cstheme="minorHAnsi"/>
          <w:b/>
          <w:sz w:val="20"/>
          <w:szCs w:val="20"/>
        </w:rPr>
      </w:pPr>
      <w:r w:rsidRPr="002E3B76">
        <w:rPr>
          <w:rFonts w:asciiTheme="minorHAnsi" w:hAnsiTheme="minorHAnsi" w:cstheme="minorHAnsi"/>
          <w:b/>
          <w:sz w:val="20"/>
          <w:szCs w:val="20"/>
        </w:rPr>
        <w:t>Directors’ Responsibilities Pursuant to DTR 4</w:t>
      </w:r>
    </w:p>
    <w:p w14:paraId="0DD9FC65" w14:textId="77777777" w:rsidR="002E3B76" w:rsidRPr="002E3B76" w:rsidRDefault="002E3B76" w:rsidP="002E3B76">
      <w:pPr>
        <w:ind w:left="567"/>
        <w:jc w:val="both"/>
        <w:rPr>
          <w:rFonts w:asciiTheme="minorHAnsi" w:hAnsiTheme="minorHAnsi" w:cstheme="minorHAnsi"/>
          <w:b/>
          <w:sz w:val="20"/>
          <w:szCs w:val="20"/>
        </w:rPr>
      </w:pPr>
    </w:p>
    <w:p w14:paraId="09B88E20" w14:textId="53BBC45A" w:rsidR="008A1D07" w:rsidRDefault="008A1D07"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The directors confirm that to the best of their knowledge:</w:t>
      </w:r>
    </w:p>
    <w:p w14:paraId="6568964C" w14:textId="77777777" w:rsidR="002E3B76" w:rsidRPr="002E3B76" w:rsidRDefault="002E3B76" w:rsidP="002E3B76">
      <w:pPr>
        <w:ind w:left="567"/>
        <w:jc w:val="both"/>
        <w:rPr>
          <w:rFonts w:asciiTheme="minorHAnsi" w:hAnsiTheme="minorHAnsi" w:cstheme="minorHAnsi"/>
          <w:sz w:val="20"/>
          <w:szCs w:val="20"/>
        </w:rPr>
      </w:pPr>
    </w:p>
    <w:p w14:paraId="49A943A8" w14:textId="650419E1" w:rsidR="008A1D07" w:rsidRPr="002E3B76" w:rsidRDefault="008A1D07" w:rsidP="002E3B76">
      <w:pPr>
        <w:pStyle w:val="ListParagraph"/>
        <w:numPr>
          <w:ilvl w:val="0"/>
          <w:numId w:val="19"/>
        </w:numPr>
        <w:contextualSpacing w:val="0"/>
        <w:jc w:val="both"/>
        <w:rPr>
          <w:rFonts w:asciiTheme="minorHAnsi" w:hAnsiTheme="minorHAnsi" w:cstheme="minorHAnsi"/>
          <w:sz w:val="20"/>
          <w:szCs w:val="20"/>
        </w:rPr>
      </w:pPr>
      <w:r w:rsidRPr="002E3B76">
        <w:rPr>
          <w:rFonts w:asciiTheme="minorHAnsi" w:hAnsiTheme="minorHAnsi" w:cstheme="minorHAnsi"/>
          <w:sz w:val="20"/>
          <w:szCs w:val="20"/>
        </w:rPr>
        <w:t xml:space="preserve">the Group financial statements have been prepared in accordance with international Financial Reporting Standards (IFRS) as adopted by the </w:t>
      </w:r>
      <w:r w:rsidR="004452F7" w:rsidRPr="002E3B76">
        <w:rPr>
          <w:rFonts w:asciiTheme="minorHAnsi" w:hAnsiTheme="minorHAnsi" w:cstheme="minorHAnsi"/>
          <w:sz w:val="20"/>
          <w:szCs w:val="20"/>
        </w:rPr>
        <w:t>United Kingdom</w:t>
      </w:r>
      <w:r w:rsidRPr="002E3B76">
        <w:rPr>
          <w:rFonts w:asciiTheme="minorHAnsi" w:hAnsiTheme="minorHAnsi" w:cstheme="minorHAnsi"/>
          <w:sz w:val="20"/>
          <w:szCs w:val="20"/>
        </w:rPr>
        <w:t xml:space="preserve"> and Article 4 of the IAS regulation and give a true and fair view of the assets, liabilities, financial position and profit and loss of the Group; and </w:t>
      </w:r>
    </w:p>
    <w:p w14:paraId="05AA9876" w14:textId="16803536" w:rsidR="002E3B76" w:rsidRPr="002E3B76" w:rsidRDefault="008A1D07" w:rsidP="002E3B76">
      <w:pPr>
        <w:pStyle w:val="ListParagraph"/>
        <w:numPr>
          <w:ilvl w:val="0"/>
          <w:numId w:val="19"/>
        </w:numPr>
        <w:contextualSpacing w:val="0"/>
        <w:jc w:val="both"/>
        <w:rPr>
          <w:rFonts w:asciiTheme="minorHAnsi" w:hAnsiTheme="minorHAnsi" w:cstheme="minorHAnsi"/>
          <w:sz w:val="20"/>
          <w:szCs w:val="20"/>
        </w:rPr>
      </w:pPr>
      <w:r w:rsidRPr="002E3B76">
        <w:rPr>
          <w:rFonts w:asciiTheme="minorHAnsi" w:hAnsiTheme="minorHAnsi" w:cstheme="minorHAnsi"/>
          <w:sz w:val="20"/>
          <w:szCs w:val="20"/>
        </w:rPr>
        <w:t>the annual report includes a fair review of the development and performance of the business and the position of the Group, and the parent company, together with a description of the principal risks and uncertainties that they face.</w:t>
      </w:r>
    </w:p>
    <w:p w14:paraId="38735DCC" w14:textId="1446C211" w:rsidR="006A4861" w:rsidRPr="002E3B76" w:rsidRDefault="006A4861" w:rsidP="002E3B76">
      <w:pPr>
        <w:pStyle w:val="ListParagraph"/>
        <w:ind w:left="927"/>
        <w:contextualSpacing w:val="0"/>
        <w:jc w:val="both"/>
      </w:pPr>
    </w:p>
    <w:p w14:paraId="0F835CFE" w14:textId="4A0A4B46" w:rsidR="00DD0BAB" w:rsidRDefault="00DD0BAB" w:rsidP="002E3B76">
      <w:pPr>
        <w:ind w:left="567"/>
        <w:jc w:val="both"/>
        <w:rPr>
          <w:rFonts w:asciiTheme="minorHAnsi" w:hAnsiTheme="minorHAnsi" w:cstheme="minorHAnsi"/>
          <w:b/>
          <w:sz w:val="20"/>
          <w:szCs w:val="20"/>
        </w:rPr>
      </w:pPr>
      <w:r w:rsidRPr="002E3B76">
        <w:rPr>
          <w:rFonts w:asciiTheme="minorHAnsi" w:hAnsiTheme="minorHAnsi" w:cstheme="minorHAnsi"/>
          <w:b/>
          <w:sz w:val="20"/>
          <w:szCs w:val="20"/>
        </w:rPr>
        <w:t>Statement of disclosure to auditor</w:t>
      </w:r>
    </w:p>
    <w:p w14:paraId="07F6972C" w14:textId="77777777" w:rsidR="002E3B76" w:rsidRPr="002E3B76" w:rsidRDefault="002E3B76" w:rsidP="002E3B76">
      <w:pPr>
        <w:ind w:left="567"/>
        <w:jc w:val="both"/>
        <w:rPr>
          <w:rFonts w:asciiTheme="minorHAnsi" w:hAnsiTheme="minorHAnsi" w:cstheme="minorHAnsi"/>
          <w:b/>
          <w:sz w:val="20"/>
          <w:szCs w:val="20"/>
        </w:rPr>
      </w:pPr>
    </w:p>
    <w:p w14:paraId="3D932DF4" w14:textId="1FD1C6D7" w:rsidR="00DD0BAB" w:rsidRDefault="00DD0BAB" w:rsidP="002E3B76">
      <w:pPr>
        <w:ind w:left="567"/>
        <w:jc w:val="both"/>
        <w:rPr>
          <w:rFonts w:asciiTheme="minorHAnsi" w:hAnsiTheme="minorHAnsi" w:cstheme="minorHAnsi"/>
          <w:sz w:val="20"/>
          <w:szCs w:val="20"/>
        </w:rPr>
      </w:pPr>
      <w:r w:rsidRPr="002E3B76">
        <w:rPr>
          <w:rFonts w:asciiTheme="minorHAnsi" w:hAnsiTheme="minorHAnsi" w:cstheme="minorHAnsi"/>
          <w:sz w:val="20"/>
          <w:szCs w:val="20"/>
        </w:rPr>
        <w:t>Each director at the date of approval of this annual report confirms that:</w:t>
      </w:r>
    </w:p>
    <w:p w14:paraId="4DC5E725" w14:textId="77777777" w:rsidR="002E3B76" w:rsidRPr="002E3B76" w:rsidRDefault="002E3B76" w:rsidP="002E3B76">
      <w:pPr>
        <w:ind w:left="567"/>
        <w:jc w:val="both"/>
        <w:rPr>
          <w:rFonts w:asciiTheme="minorHAnsi" w:hAnsiTheme="minorHAnsi" w:cstheme="minorHAnsi"/>
          <w:sz w:val="20"/>
          <w:szCs w:val="20"/>
        </w:rPr>
      </w:pPr>
    </w:p>
    <w:p w14:paraId="5256AD86" w14:textId="77777777" w:rsidR="00DD0BAB" w:rsidRPr="002E3B76" w:rsidRDefault="00DD0BAB" w:rsidP="002E3B76">
      <w:pPr>
        <w:pStyle w:val="ListParagraph"/>
        <w:numPr>
          <w:ilvl w:val="0"/>
          <w:numId w:val="20"/>
        </w:numPr>
        <w:contextualSpacing w:val="0"/>
        <w:jc w:val="both"/>
        <w:rPr>
          <w:rFonts w:asciiTheme="minorHAnsi" w:hAnsiTheme="minorHAnsi" w:cstheme="minorHAnsi"/>
          <w:sz w:val="20"/>
          <w:szCs w:val="20"/>
        </w:rPr>
      </w:pPr>
      <w:r w:rsidRPr="002E3B76">
        <w:rPr>
          <w:rFonts w:asciiTheme="minorHAnsi" w:hAnsiTheme="minorHAnsi" w:cstheme="minorHAnsi"/>
          <w:sz w:val="20"/>
          <w:szCs w:val="20"/>
        </w:rPr>
        <w:t>so far as the directors are aware, there is no relevant audit information of which the Group’s and Company’s auditor is unaware; and</w:t>
      </w:r>
    </w:p>
    <w:p w14:paraId="624BDD3F" w14:textId="510333C1" w:rsidR="00DD0BAB" w:rsidRDefault="00DD0BAB" w:rsidP="002E3B76">
      <w:pPr>
        <w:pStyle w:val="ListParagraph"/>
        <w:numPr>
          <w:ilvl w:val="0"/>
          <w:numId w:val="20"/>
        </w:numPr>
        <w:contextualSpacing w:val="0"/>
        <w:jc w:val="both"/>
        <w:rPr>
          <w:rFonts w:asciiTheme="minorHAnsi" w:hAnsiTheme="minorHAnsi" w:cstheme="minorHAnsi"/>
          <w:sz w:val="20"/>
          <w:szCs w:val="20"/>
        </w:rPr>
      </w:pPr>
      <w:r w:rsidRPr="002E3B76">
        <w:rPr>
          <w:rFonts w:asciiTheme="minorHAnsi" w:hAnsiTheme="minorHAnsi" w:cstheme="minorHAnsi"/>
          <w:sz w:val="20"/>
          <w:szCs w:val="20"/>
        </w:rPr>
        <w:t>all the directors have taken all the steps that they ought to have taken as directors in order to make themselves aware of any relevant audit information and to establish that the auditor is aware of that information</w:t>
      </w:r>
    </w:p>
    <w:p w14:paraId="02E544B7" w14:textId="77777777" w:rsidR="002E3B76" w:rsidRPr="002E3B76" w:rsidRDefault="002E3B76" w:rsidP="002E3B76">
      <w:pPr>
        <w:pStyle w:val="ListParagraph"/>
        <w:ind w:left="927"/>
        <w:contextualSpacing w:val="0"/>
        <w:jc w:val="both"/>
        <w:rPr>
          <w:rFonts w:asciiTheme="minorHAnsi" w:hAnsiTheme="minorHAnsi" w:cstheme="minorHAnsi"/>
          <w:sz w:val="20"/>
          <w:szCs w:val="20"/>
        </w:rPr>
      </w:pPr>
    </w:p>
    <w:p w14:paraId="56A05997" w14:textId="2460F1A7" w:rsidR="00DD0BAB" w:rsidRDefault="00DD0BAB" w:rsidP="002E3B76">
      <w:pPr>
        <w:keepNext/>
        <w:keepLines/>
        <w:ind w:left="567"/>
        <w:jc w:val="both"/>
        <w:rPr>
          <w:rFonts w:asciiTheme="minorHAnsi" w:hAnsiTheme="minorHAnsi" w:cstheme="minorHAnsi"/>
          <w:b/>
          <w:sz w:val="20"/>
          <w:szCs w:val="20"/>
        </w:rPr>
      </w:pPr>
      <w:r w:rsidRPr="002E3B76">
        <w:rPr>
          <w:rFonts w:asciiTheme="minorHAnsi" w:hAnsiTheme="minorHAnsi" w:cstheme="minorHAnsi"/>
          <w:b/>
          <w:sz w:val="20"/>
          <w:szCs w:val="20"/>
        </w:rPr>
        <w:t>Auditor</w:t>
      </w:r>
    </w:p>
    <w:p w14:paraId="36235861" w14:textId="77777777" w:rsidR="002E3B76" w:rsidRPr="002E3B76" w:rsidRDefault="002E3B76" w:rsidP="002E3B76">
      <w:pPr>
        <w:keepNext/>
        <w:keepLines/>
        <w:ind w:left="567"/>
        <w:jc w:val="both"/>
        <w:rPr>
          <w:rFonts w:asciiTheme="minorHAnsi" w:hAnsiTheme="minorHAnsi" w:cstheme="minorHAnsi"/>
          <w:b/>
          <w:sz w:val="20"/>
          <w:szCs w:val="20"/>
        </w:rPr>
      </w:pPr>
    </w:p>
    <w:p w14:paraId="6099E400" w14:textId="1B0D8574" w:rsidR="00DD0BAB" w:rsidRPr="002E3B76" w:rsidRDefault="00DD0BAB" w:rsidP="002E3B76">
      <w:pPr>
        <w:pStyle w:val="ListParagraph"/>
        <w:keepNext/>
        <w:keepLines/>
        <w:ind w:left="567"/>
        <w:contextualSpacing w:val="0"/>
        <w:jc w:val="both"/>
        <w:rPr>
          <w:rFonts w:asciiTheme="minorHAnsi" w:hAnsiTheme="minorHAnsi" w:cstheme="minorHAnsi"/>
          <w:sz w:val="20"/>
          <w:szCs w:val="20"/>
        </w:rPr>
      </w:pPr>
      <w:r w:rsidRPr="002E3B76">
        <w:rPr>
          <w:rFonts w:asciiTheme="minorHAnsi" w:hAnsiTheme="minorHAnsi" w:cstheme="minorHAnsi"/>
          <w:sz w:val="20"/>
          <w:szCs w:val="20"/>
        </w:rPr>
        <w:t>The audito</w:t>
      </w:r>
      <w:r w:rsidR="005E37DE" w:rsidRPr="002E3B76">
        <w:rPr>
          <w:rFonts w:asciiTheme="minorHAnsi" w:hAnsiTheme="minorHAnsi" w:cstheme="minorHAnsi"/>
          <w:sz w:val="20"/>
          <w:szCs w:val="20"/>
        </w:rPr>
        <w:t>r, Nordens Audit Limited</w:t>
      </w:r>
      <w:r w:rsidRPr="002E3B76">
        <w:rPr>
          <w:rFonts w:asciiTheme="minorHAnsi" w:hAnsiTheme="minorHAnsi" w:cstheme="minorHAnsi"/>
          <w:sz w:val="20"/>
          <w:szCs w:val="20"/>
        </w:rPr>
        <w:t>, will be proposed for re-appointment at the forthcoming Annual General Meeting.</w:t>
      </w:r>
    </w:p>
    <w:p w14:paraId="0ACCAE4B" w14:textId="77777777" w:rsidR="00DD0BAB" w:rsidRPr="002E3B76" w:rsidRDefault="00DD0BAB" w:rsidP="002E3B76">
      <w:pPr>
        <w:keepNext/>
        <w:keepLines/>
        <w:tabs>
          <w:tab w:val="left" w:pos="8789"/>
        </w:tabs>
        <w:ind w:left="567" w:right="827"/>
        <w:jc w:val="both"/>
        <w:rPr>
          <w:rFonts w:asciiTheme="minorHAnsi" w:hAnsiTheme="minorHAnsi" w:cstheme="minorHAnsi"/>
          <w:iCs/>
          <w:sz w:val="20"/>
          <w:szCs w:val="20"/>
        </w:rPr>
      </w:pPr>
    </w:p>
    <w:p w14:paraId="1D5ECAC2" w14:textId="7855E0D0" w:rsidR="002E3B76" w:rsidRDefault="002E3B76" w:rsidP="00262360">
      <w:pPr>
        <w:pStyle w:val="BodyText"/>
        <w:keepNext/>
        <w:tabs>
          <w:tab w:val="clear" w:pos="1247"/>
          <w:tab w:val="left" w:pos="8789"/>
        </w:tabs>
        <w:spacing w:before="0"/>
        <w:ind w:left="0" w:right="828"/>
        <w:jc w:val="both"/>
        <w:rPr>
          <w:rFonts w:asciiTheme="minorHAnsi" w:hAnsiTheme="minorHAnsi" w:cstheme="minorHAnsi"/>
          <w:b/>
          <w:bCs/>
          <w:sz w:val="20"/>
        </w:rPr>
      </w:pPr>
    </w:p>
    <w:p w14:paraId="091B7A29" w14:textId="3EF73AC2" w:rsidR="002E3B76" w:rsidRPr="002E3B76" w:rsidRDefault="002E3B76" w:rsidP="002E3B76">
      <w:pPr>
        <w:pStyle w:val="BodyText"/>
        <w:keepNext/>
        <w:tabs>
          <w:tab w:val="clear" w:pos="1247"/>
          <w:tab w:val="left" w:pos="8789"/>
        </w:tabs>
        <w:spacing w:before="0"/>
        <w:ind w:left="567" w:right="828"/>
        <w:jc w:val="both"/>
        <w:rPr>
          <w:rFonts w:asciiTheme="minorHAnsi" w:hAnsiTheme="minorHAnsi" w:cstheme="minorHAnsi"/>
          <w:b/>
          <w:bCs/>
          <w:sz w:val="20"/>
        </w:rPr>
      </w:pPr>
    </w:p>
    <w:p w14:paraId="723886C8" w14:textId="182E9E00" w:rsidR="00E40305" w:rsidRDefault="00E40305" w:rsidP="002E3B76">
      <w:pPr>
        <w:pStyle w:val="BodyText"/>
        <w:keepLines w:val="0"/>
        <w:tabs>
          <w:tab w:val="clear" w:pos="1247"/>
        </w:tabs>
        <w:spacing w:before="0"/>
        <w:ind w:left="567" w:right="828"/>
        <w:jc w:val="both"/>
        <w:rPr>
          <w:rFonts w:asciiTheme="minorHAnsi" w:hAnsiTheme="minorHAnsi" w:cstheme="minorHAnsi"/>
          <w:b/>
          <w:bCs/>
          <w:sz w:val="20"/>
        </w:rPr>
      </w:pPr>
    </w:p>
    <w:p w14:paraId="68F04106" w14:textId="7D97A309" w:rsidR="00DD0BAB" w:rsidRPr="002E3B76" w:rsidRDefault="005E37DE" w:rsidP="002E3B76">
      <w:pPr>
        <w:pStyle w:val="BodyText"/>
        <w:keepLines w:val="0"/>
        <w:tabs>
          <w:tab w:val="clear" w:pos="1247"/>
        </w:tabs>
        <w:spacing w:before="0"/>
        <w:ind w:left="567" w:right="828"/>
        <w:jc w:val="both"/>
        <w:rPr>
          <w:rFonts w:asciiTheme="minorHAnsi" w:hAnsiTheme="minorHAnsi" w:cstheme="minorHAnsi"/>
          <w:b/>
          <w:bCs/>
          <w:sz w:val="20"/>
        </w:rPr>
      </w:pPr>
      <w:r w:rsidRPr="002E3B76">
        <w:rPr>
          <w:rFonts w:asciiTheme="minorHAnsi" w:hAnsiTheme="minorHAnsi" w:cstheme="minorHAnsi"/>
          <w:b/>
          <w:bCs/>
          <w:sz w:val="20"/>
        </w:rPr>
        <w:t>B</w:t>
      </w:r>
      <w:r w:rsidR="004452F7" w:rsidRPr="002E3B76">
        <w:rPr>
          <w:rFonts w:asciiTheme="minorHAnsi" w:hAnsiTheme="minorHAnsi" w:cstheme="minorHAnsi"/>
          <w:b/>
          <w:bCs/>
          <w:sz w:val="20"/>
        </w:rPr>
        <w:t>rad</w:t>
      </w:r>
      <w:r w:rsidRPr="002E3B76">
        <w:rPr>
          <w:rFonts w:asciiTheme="minorHAnsi" w:hAnsiTheme="minorHAnsi" w:cstheme="minorHAnsi"/>
          <w:b/>
          <w:bCs/>
          <w:sz w:val="20"/>
        </w:rPr>
        <w:t xml:space="preserve"> Taylor </w:t>
      </w:r>
    </w:p>
    <w:p w14:paraId="7C4345B2" w14:textId="00471138" w:rsidR="002B5392" w:rsidRPr="002E3B76" w:rsidRDefault="00114C09" w:rsidP="00E40305">
      <w:pPr>
        <w:pStyle w:val="BodyText"/>
        <w:keepNext/>
        <w:tabs>
          <w:tab w:val="clear" w:pos="1247"/>
          <w:tab w:val="left" w:pos="8789"/>
        </w:tabs>
        <w:spacing w:before="0"/>
        <w:ind w:left="567" w:right="828"/>
        <w:jc w:val="both"/>
        <w:rPr>
          <w:rFonts w:asciiTheme="minorHAnsi" w:hAnsiTheme="minorHAnsi" w:cstheme="minorHAnsi"/>
          <w:b/>
          <w:bCs/>
          <w:sz w:val="20"/>
        </w:rPr>
      </w:pPr>
      <w:r w:rsidRPr="002E3B76">
        <w:rPr>
          <w:rFonts w:asciiTheme="minorHAnsi" w:hAnsiTheme="minorHAnsi" w:cstheme="minorHAnsi"/>
          <w:b/>
          <w:bCs/>
          <w:sz w:val="20"/>
        </w:rPr>
        <w:t>On behalf of the Board</w:t>
      </w:r>
    </w:p>
    <w:p w14:paraId="2A5F51D0" w14:textId="5DD9D0B5" w:rsidR="002E3B76" w:rsidRDefault="00AF670B" w:rsidP="002E3B76">
      <w:pPr>
        <w:pStyle w:val="BodyText"/>
        <w:keepLines w:val="0"/>
        <w:tabs>
          <w:tab w:val="clear" w:pos="1247"/>
          <w:tab w:val="left" w:pos="567"/>
          <w:tab w:val="left" w:pos="709"/>
        </w:tabs>
        <w:spacing w:before="0"/>
        <w:ind w:left="567" w:right="828"/>
        <w:rPr>
          <w:rFonts w:asciiTheme="minorHAnsi" w:hAnsiTheme="minorHAnsi" w:cstheme="minorHAnsi"/>
          <w:b/>
          <w:bCs/>
          <w:sz w:val="20"/>
        </w:rPr>
      </w:pPr>
      <w:r w:rsidRPr="002E3B76">
        <w:rPr>
          <w:rFonts w:asciiTheme="minorHAnsi" w:hAnsiTheme="minorHAnsi" w:cstheme="minorHAnsi"/>
          <w:b/>
          <w:bCs/>
          <w:sz w:val="20"/>
        </w:rPr>
        <w:t>Date:</w:t>
      </w:r>
      <w:r w:rsidR="002E3B76">
        <w:rPr>
          <w:rFonts w:asciiTheme="minorHAnsi" w:hAnsiTheme="minorHAnsi" w:cstheme="minorHAnsi"/>
          <w:b/>
          <w:bCs/>
          <w:sz w:val="20"/>
        </w:rPr>
        <w:t xml:space="preserve">    </w:t>
      </w:r>
      <w:r w:rsidR="00262360">
        <w:rPr>
          <w:rFonts w:asciiTheme="minorHAnsi" w:hAnsiTheme="minorHAnsi" w:cstheme="minorHAnsi"/>
          <w:b/>
          <w:bCs/>
          <w:sz w:val="20"/>
        </w:rPr>
        <w:t>27</w:t>
      </w:r>
      <w:r w:rsidR="002E3B76">
        <w:rPr>
          <w:rFonts w:asciiTheme="minorHAnsi" w:hAnsiTheme="minorHAnsi" w:cstheme="minorHAnsi"/>
          <w:b/>
          <w:bCs/>
          <w:sz w:val="20"/>
        </w:rPr>
        <w:t xml:space="preserve"> December 2022</w:t>
      </w:r>
    </w:p>
    <w:p w14:paraId="508D1936" w14:textId="42C467BC" w:rsidR="00DD0BAB" w:rsidRPr="002E3B76" w:rsidRDefault="00DD0BAB" w:rsidP="00906E88">
      <w:pPr>
        <w:pStyle w:val="BodyText"/>
        <w:keepLines w:val="0"/>
        <w:tabs>
          <w:tab w:val="clear" w:pos="1247"/>
          <w:tab w:val="left" w:pos="567"/>
          <w:tab w:val="left" w:pos="709"/>
        </w:tabs>
        <w:spacing w:before="0"/>
        <w:ind w:left="0" w:right="828"/>
        <w:rPr>
          <w:rFonts w:asciiTheme="minorHAnsi" w:hAnsiTheme="minorHAnsi" w:cstheme="minorHAnsi"/>
          <w:b/>
          <w:bCs/>
          <w:sz w:val="20"/>
        </w:rPr>
        <w:sectPr w:rsidR="00DD0BAB" w:rsidRPr="002E3B76" w:rsidSect="00DD0BAB">
          <w:headerReference w:type="even" r:id="rId48"/>
          <w:headerReference w:type="default" r:id="rId49"/>
          <w:headerReference w:type="first" r:id="rId50"/>
          <w:type w:val="continuous"/>
          <w:pgSz w:w="11906" w:h="16838"/>
          <w:pgMar w:top="720" w:right="1558" w:bottom="720" w:left="993" w:header="708" w:footer="708" w:gutter="0"/>
          <w:cols w:space="708"/>
          <w:docGrid w:linePitch="360"/>
        </w:sectPr>
      </w:pPr>
    </w:p>
    <w:p w14:paraId="4B30BCD3" w14:textId="77777777" w:rsidR="00AA3CB4" w:rsidRPr="0012333C" w:rsidRDefault="00AA3CB4" w:rsidP="00F91FC3">
      <w:pPr>
        <w:ind w:right="248"/>
        <w:jc w:val="both"/>
        <w:rPr>
          <w:rFonts w:ascii="Arial" w:hAnsi="Arial" w:cs="Arial"/>
          <w:b/>
          <w:sz w:val="20"/>
          <w:szCs w:val="20"/>
          <w:highlight w:val="yellow"/>
          <w:lang w:eastAsia="en-US"/>
        </w:rPr>
        <w:sectPr w:rsidR="00AA3CB4" w:rsidRPr="0012333C" w:rsidSect="00DD0BAB">
          <w:headerReference w:type="even" r:id="rId51"/>
          <w:headerReference w:type="default" r:id="rId52"/>
          <w:headerReference w:type="first" r:id="rId53"/>
          <w:type w:val="continuous"/>
          <w:pgSz w:w="11906" w:h="16838"/>
          <w:pgMar w:top="720" w:right="1558" w:bottom="720" w:left="993" w:header="708" w:footer="708" w:gutter="0"/>
          <w:cols w:space="708"/>
          <w:docGrid w:linePitch="360"/>
        </w:sectPr>
      </w:pPr>
    </w:p>
    <w:p w14:paraId="5C520581" w14:textId="77777777" w:rsidR="00AA3CB4" w:rsidRPr="0012333C" w:rsidRDefault="00AA3CB4" w:rsidP="00F91FC3">
      <w:pPr>
        <w:ind w:right="248"/>
        <w:jc w:val="both"/>
        <w:rPr>
          <w:rFonts w:ascii="Arial" w:hAnsi="Arial" w:cs="Arial"/>
          <w:b/>
          <w:sz w:val="20"/>
          <w:szCs w:val="20"/>
          <w:highlight w:val="yellow"/>
          <w:lang w:eastAsia="en-US"/>
        </w:rPr>
        <w:sectPr w:rsidR="00AA3CB4" w:rsidRPr="0012333C" w:rsidSect="00DD0BAB">
          <w:type w:val="continuous"/>
          <w:pgSz w:w="11906" w:h="16838"/>
          <w:pgMar w:top="720" w:right="1558" w:bottom="720" w:left="993" w:header="708" w:footer="708" w:gutter="0"/>
          <w:cols w:space="708"/>
          <w:docGrid w:linePitch="360"/>
        </w:sectPr>
      </w:pPr>
    </w:p>
    <w:p w14:paraId="780E938E" w14:textId="662469FF" w:rsidR="00021C79" w:rsidRDefault="00906E88" w:rsidP="00906E88">
      <w:pPr>
        <w:tabs>
          <w:tab w:val="left" w:pos="600"/>
        </w:tabs>
        <w:spacing w:line="320" w:lineRule="exact"/>
        <w:jc w:val="both"/>
        <w:rPr>
          <w:rFonts w:asciiTheme="minorHAnsi" w:hAnsiTheme="minorHAnsi" w:cstheme="minorHAnsi"/>
          <w:b/>
          <w:bCs/>
          <w:sz w:val="20"/>
          <w:szCs w:val="20"/>
        </w:rPr>
      </w:pPr>
      <w:r>
        <w:rPr>
          <w:rFonts w:asciiTheme="minorHAnsi" w:hAnsiTheme="minorHAnsi" w:cstheme="minorHAnsi"/>
          <w:b/>
          <w:bCs/>
          <w:sz w:val="20"/>
          <w:szCs w:val="20"/>
        </w:rPr>
        <w:lastRenderedPageBreak/>
        <w:tab/>
      </w:r>
      <w:r w:rsidR="00021C79">
        <w:rPr>
          <w:rFonts w:asciiTheme="minorHAnsi" w:hAnsiTheme="minorHAnsi" w:cstheme="minorHAnsi"/>
          <w:b/>
          <w:bCs/>
          <w:sz w:val="20"/>
          <w:szCs w:val="20"/>
        </w:rPr>
        <w:t>What we have audited</w:t>
      </w:r>
      <w:r w:rsidR="00021C79" w:rsidRPr="00293FAE">
        <w:rPr>
          <w:rFonts w:asciiTheme="minorHAnsi" w:hAnsiTheme="minorHAnsi" w:cstheme="minorHAnsi"/>
          <w:b/>
          <w:bCs/>
          <w:sz w:val="20"/>
          <w:szCs w:val="20"/>
        </w:rPr>
        <w:t xml:space="preserve"> </w:t>
      </w:r>
      <w:bookmarkStart w:id="0" w:name="Independent_Auditor_s_Report"/>
      <w:bookmarkEnd w:id="0"/>
    </w:p>
    <w:p w14:paraId="1E035938" w14:textId="77777777" w:rsidR="00906E88" w:rsidRPr="00293FAE" w:rsidRDefault="00906E88" w:rsidP="00906E88">
      <w:pPr>
        <w:tabs>
          <w:tab w:val="left" w:pos="600"/>
        </w:tabs>
        <w:spacing w:line="320" w:lineRule="exact"/>
        <w:jc w:val="both"/>
        <w:rPr>
          <w:rFonts w:asciiTheme="minorHAnsi" w:hAnsiTheme="minorHAnsi" w:cstheme="minorHAnsi"/>
          <w:b/>
          <w:bCs/>
          <w:sz w:val="20"/>
          <w:szCs w:val="20"/>
        </w:rPr>
      </w:pPr>
    </w:p>
    <w:p w14:paraId="623F9FF3" w14:textId="316D1586" w:rsidR="00021C79" w:rsidRDefault="00021C79" w:rsidP="00906E88">
      <w:pPr>
        <w:tabs>
          <w:tab w:val="left" w:pos="8789"/>
        </w:tabs>
        <w:ind w:left="562"/>
        <w:jc w:val="both"/>
        <w:rPr>
          <w:rFonts w:asciiTheme="minorHAnsi" w:hAnsiTheme="minorHAnsi" w:cstheme="minorHAnsi"/>
          <w:sz w:val="20"/>
          <w:szCs w:val="20"/>
        </w:rPr>
      </w:pPr>
      <w:r w:rsidRPr="00293FAE">
        <w:rPr>
          <w:rFonts w:asciiTheme="minorHAnsi" w:hAnsiTheme="minorHAnsi" w:cstheme="minorHAnsi"/>
          <w:sz w:val="20"/>
          <w:szCs w:val="20"/>
        </w:rPr>
        <w:t>We have audited the financial statements of Iconic Labs PLC (the “Parent Company”) and its subsidiaries (the “Group”) for the year ended 30 June 202</w:t>
      </w:r>
      <w:r>
        <w:rPr>
          <w:rFonts w:asciiTheme="minorHAnsi" w:hAnsiTheme="minorHAnsi" w:cstheme="minorHAnsi"/>
          <w:sz w:val="20"/>
          <w:szCs w:val="20"/>
        </w:rPr>
        <w:t>2</w:t>
      </w:r>
      <w:r w:rsidRPr="00293FAE">
        <w:rPr>
          <w:rFonts w:asciiTheme="minorHAnsi" w:hAnsiTheme="minorHAnsi" w:cstheme="minorHAnsi"/>
          <w:sz w:val="20"/>
          <w:szCs w:val="20"/>
        </w:rPr>
        <w:t>, which comprise the: Consolidated Statement of Comprehensive Income, Consolidated Statement of Financial Position, Consolidated Statement of Changes in Equity, Consolidated Statement of Cash Flows, Company Statement of Financial Position, Company Statement of Changes in Equity and the notes to the consolidated financial statements, including a summary of significant accounting policies.</w:t>
      </w:r>
    </w:p>
    <w:p w14:paraId="40DF743F" w14:textId="77777777" w:rsidR="00906E88" w:rsidRPr="00293FAE" w:rsidRDefault="00906E88" w:rsidP="00906E88">
      <w:pPr>
        <w:tabs>
          <w:tab w:val="left" w:pos="8789"/>
        </w:tabs>
        <w:ind w:left="562"/>
        <w:jc w:val="both"/>
        <w:rPr>
          <w:rFonts w:asciiTheme="minorHAnsi" w:hAnsiTheme="minorHAnsi" w:cstheme="minorHAnsi"/>
          <w:b/>
          <w:bCs/>
          <w:sz w:val="20"/>
          <w:szCs w:val="20"/>
        </w:rPr>
      </w:pPr>
    </w:p>
    <w:p w14:paraId="3DE826BD" w14:textId="2D82E1BD" w:rsidR="00021C79" w:rsidRPr="00293FAE" w:rsidRDefault="00021C79" w:rsidP="00906E88">
      <w:pPr>
        <w:tabs>
          <w:tab w:val="left" w:pos="8789"/>
        </w:tabs>
        <w:ind w:left="562"/>
        <w:jc w:val="both"/>
        <w:rPr>
          <w:rFonts w:asciiTheme="minorHAnsi" w:hAnsiTheme="minorHAnsi" w:cstheme="minorHAnsi"/>
          <w:sz w:val="20"/>
          <w:szCs w:val="20"/>
        </w:rPr>
      </w:pPr>
      <w:r w:rsidRPr="00293FAE">
        <w:rPr>
          <w:rFonts w:asciiTheme="minorHAnsi" w:hAnsiTheme="minorHAnsi" w:cstheme="minorHAnsi"/>
          <w:sz w:val="20"/>
          <w:szCs w:val="20"/>
        </w:rPr>
        <w:t xml:space="preserve">The financial reporting framework that has been applied in the preparation of the Group financial statements is applicable law and International Financial Reporting Standards (IFRSs) as adopted by the </w:t>
      </w:r>
      <w:r w:rsidR="0053684A">
        <w:rPr>
          <w:rFonts w:asciiTheme="minorHAnsi" w:hAnsiTheme="minorHAnsi" w:cstheme="minorHAnsi"/>
          <w:sz w:val="20"/>
          <w:szCs w:val="20"/>
        </w:rPr>
        <w:t>United Kingdom</w:t>
      </w:r>
      <w:r w:rsidRPr="00293FAE">
        <w:rPr>
          <w:rFonts w:asciiTheme="minorHAnsi" w:hAnsiTheme="minorHAnsi" w:cstheme="minorHAnsi"/>
          <w:sz w:val="20"/>
          <w:szCs w:val="20"/>
        </w:rPr>
        <w:t>.  The financial reporting framework that has been applied in the preparation of the Parent Company financial statements is applicable law and United Kingdom Accounting Standards, including Financial Reporting Standard 102 The Financial Reporting Standard applicable in the UK and Republic of Ireland (United Kingdom Generally Accepted Accounting Practice).</w:t>
      </w:r>
    </w:p>
    <w:p w14:paraId="0E22E500" w14:textId="77777777" w:rsidR="00021C79" w:rsidRDefault="00021C79" w:rsidP="00021C79">
      <w:pPr>
        <w:spacing w:line="288" w:lineRule="auto"/>
        <w:jc w:val="both"/>
        <w:rPr>
          <w:rFonts w:ascii="Arial" w:eastAsia="Arial Narrow" w:hAnsi="Arial" w:cs="Arial"/>
        </w:rPr>
      </w:pPr>
    </w:p>
    <w:p w14:paraId="6BB7D749" w14:textId="60BC7854" w:rsidR="00021C79" w:rsidRDefault="00021C79" w:rsidP="00021C79">
      <w:pPr>
        <w:tabs>
          <w:tab w:val="left" w:pos="8789"/>
        </w:tabs>
        <w:spacing w:line="320" w:lineRule="exact"/>
        <w:ind w:left="567"/>
        <w:jc w:val="both"/>
        <w:rPr>
          <w:rFonts w:asciiTheme="minorHAnsi" w:hAnsiTheme="minorHAnsi" w:cstheme="minorHAnsi"/>
          <w:b/>
          <w:bCs/>
          <w:sz w:val="20"/>
          <w:szCs w:val="20"/>
        </w:rPr>
      </w:pPr>
      <w:r w:rsidRPr="00761ECD">
        <w:rPr>
          <w:rFonts w:asciiTheme="minorHAnsi" w:hAnsiTheme="minorHAnsi" w:cstheme="minorHAnsi"/>
          <w:b/>
          <w:bCs/>
          <w:sz w:val="20"/>
          <w:szCs w:val="20"/>
        </w:rPr>
        <w:t>Opinion</w:t>
      </w:r>
    </w:p>
    <w:p w14:paraId="3961261A" w14:textId="77777777" w:rsidR="00906E88" w:rsidRPr="00761ECD" w:rsidRDefault="00906E88" w:rsidP="00021C79">
      <w:pPr>
        <w:tabs>
          <w:tab w:val="left" w:pos="8789"/>
        </w:tabs>
        <w:spacing w:line="320" w:lineRule="exact"/>
        <w:ind w:left="567"/>
        <w:jc w:val="both"/>
        <w:rPr>
          <w:rFonts w:asciiTheme="minorHAnsi" w:hAnsiTheme="minorHAnsi" w:cstheme="minorHAnsi"/>
          <w:b/>
          <w:bCs/>
          <w:sz w:val="20"/>
          <w:szCs w:val="20"/>
        </w:rPr>
      </w:pPr>
    </w:p>
    <w:p w14:paraId="06CB04C2" w14:textId="5EFF8963" w:rsidR="00021C79" w:rsidRDefault="00021C79" w:rsidP="00906E88">
      <w:pPr>
        <w:tabs>
          <w:tab w:val="left" w:pos="8789"/>
        </w:tabs>
        <w:ind w:left="567"/>
        <w:jc w:val="both"/>
        <w:rPr>
          <w:rFonts w:asciiTheme="minorHAnsi" w:hAnsiTheme="minorHAnsi" w:cstheme="minorHAnsi"/>
          <w:sz w:val="20"/>
          <w:szCs w:val="20"/>
        </w:rPr>
      </w:pPr>
      <w:r w:rsidRPr="00293FAE">
        <w:rPr>
          <w:rFonts w:asciiTheme="minorHAnsi" w:hAnsiTheme="minorHAnsi" w:cstheme="minorHAnsi"/>
          <w:sz w:val="20"/>
          <w:szCs w:val="20"/>
        </w:rPr>
        <w:t>In our opinion:</w:t>
      </w:r>
    </w:p>
    <w:p w14:paraId="0C4681EB" w14:textId="77777777" w:rsidR="00906E88" w:rsidRPr="00293FAE" w:rsidRDefault="00906E88" w:rsidP="00906E88">
      <w:pPr>
        <w:tabs>
          <w:tab w:val="left" w:pos="8789"/>
        </w:tabs>
        <w:ind w:left="567"/>
        <w:jc w:val="both"/>
        <w:rPr>
          <w:rFonts w:asciiTheme="minorHAnsi" w:hAnsiTheme="minorHAnsi" w:cstheme="minorHAnsi"/>
          <w:sz w:val="20"/>
          <w:szCs w:val="20"/>
        </w:rPr>
      </w:pPr>
    </w:p>
    <w:p w14:paraId="3582360F" w14:textId="77777777" w:rsidR="00021C79" w:rsidRPr="00293FAE" w:rsidRDefault="00021C79" w:rsidP="00906E88">
      <w:pPr>
        <w:pStyle w:val="ListParagraph"/>
        <w:numPr>
          <w:ilvl w:val="0"/>
          <w:numId w:val="27"/>
        </w:numPr>
        <w:tabs>
          <w:tab w:val="left" w:pos="8789"/>
        </w:tabs>
        <w:jc w:val="both"/>
        <w:rPr>
          <w:rFonts w:asciiTheme="minorHAnsi" w:hAnsiTheme="minorHAnsi" w:cstheme="minorHAnsi"/>
          <w:sz w:val="20"/>
          <w:szCs w:val="20"/>
        </w:rPr>
      </w:pPr>
      <w:r w:rsidRPr="00293FAE">
        <w:rPr>
          <w:rFonts w:asciiTheme="minorHAnsi" w:hAnsiTheme="minorHAnsi" w:cstheme="minorHAnsi"/>
          <w:sz w:val="20"/>
          <w:szCs w:val="20"/>
        </w:rPr>
        <w:t>the financial statements give a true and fair view of the state of the Group’s and of the Parent Company's affairs as at 30 June 202</w:t>
      </w:r>
      <w:r>
        <w:rPr>
          <w:rFonts w:asciiTheme="minorHAnsi" w:hAnsiTheme="minorHAnsi" w:cstheme="minorHAnsi"/>
          <w:sz w:val="20"/>
          <w:szCs w:val="20"/>
        </w:rPr>
        <w:t>2</w:t>
      </w:r>
      <w:r w:rsidRPr="00293FAE">
        <w:rPr>
          <w:rFonts w:asciiTheme="minorHAnsi" w:hAnsiTheme="minorHAnsi" w:cstheme="minorHAnsi"/>
          <w:sz w:val="20"/>
          <w:szCs w:val="20"/>
        </w:rPr>
        <w:t xml:space="preserve"> and of the Group’s loss for the period then ended;</w:t>
      </w:r>
    </w:p>
    <w:p w14:paraId="5F609E09" w14:textId="73FA6951" w:rsidR="00021C79" w:rsidRPr="00293FAE" w:rsidRDefault="00021C79" w:rsidP="00906E88">
      <w:pPr>
        <w:pStyle w:val="ListParagraph"/>
        <w:numPr>
          <w:ilvl w:val="0"/>
          <w:numId w:val="27"/>
        </w:numPr>
        <w:tabs>
          <w:tab w:val="left" w:pos="8789"/>
        </w:tabs>
        <w:jc w:val="both"/>
        <w:rPr>
          <w:rFonts w:asciiTheme="minorHAnsi" w:hAnsiTheme="minorHAnsi" w:cstheme="minorHAnsi"/>
          <w:sz w:val="20"/>
          <w:szCs w:val="20"/>
        </w:rPr>
      </w:pPr>
      <w:r w:rsidRPr="00293FAE">
        <w:rPr>
          <w:rFonts w:asciiTheme="minorHAnsi" w:hAnsiTheme="minorHAnsi" w:cstheme="minorHAnsi"/>
          <w:sz w:val="20"/>
          <w:szCs w:val="20"/>
        </w:rPr>
        <w:t xml:space="preserve">the Group financial statements have been properly prepared in accordance with International Financial Reporting Standards as adopted by the </w:t>
      </w:r>
      <w:r w:rsidR="0053684A">
        <w:rPr>
          <w:rFonts w:asciiTheme="minorHAnsi" w:hAnsiTheme="minorHAnsi" w:cstheme="minorHAnsi"/>
          <w:sz w:val="20"/>
          <w:szCs w:val="20"/>
        </w:rPr>
        <w:t>United Kingdom</w:t>
      </w:r>
      <w:r w:rsidRPr="00293FAE">
        <w:rPr>
          <w:rFonts w:asciiTheme="minorHAnsi" w:hAnsiTheme="minorHAnsi" w:cstheme="minorHAnsi"/>
          <w:sz w:val="20"/>
          <w:szCs w:val="20"/>
        </w:rPr>
        <w:t xml:space="preserve">; </w:t>
      </w:r>
    </w:p>
    <w:p w14:paraId="189BAF24" w14:textId="77777777" w:rsidR="00021C79" w:rsidRPr="00293FAE" w:rsidRDefault="00021C79" w:rsidP="00906E88">
      <w:pPr>
        <w:pStyle w:val="ListParagraph"/>
        <w:numPr>
          <w:ilvl w:val="0"/>
          <w:numId w:val="27"/>
        </w:numPr>
        <w:tabs>
          <w:tab w:val="left" w:pos="8789"/>
        </w:tabs>
        <w:jc w:val="both"/>
        <w:rPr>
          <w:rFonts w:asciiTheme="minorHAnsi" w:hAnsiTheme="minorHAnsi" w:cstheme="minorHAnsi"/>
          <w:sz w:val="20"/>
          <w:szCs w:val="20"/>
        </w:rPr>
      </w:pPr>
      <w:r w:rsidRPr="00293FAE">
        <w:rPr>
          <w:rFonts w:asciiTheme="minorHAnsi" w:hAnsiTheme="minorHAnsi" w:cstheme="minorHAnsi"/>
          <w:sz w:val="20"/>
          <w:szCs w:val="20"/>
        </w:rPr>
        <w:t>the Parent Company financial statements have been properly prepared in accordance with United Kingdom Generally Accepted Accounting Practice; and</w:t>
      </w:r>
    </w:p>
    <w:p w14:paraId="279AB2D3" w14:textId="77777777" w:rsidR="00021C79" w:rsidRPr="00293FAE" w:rsidRDefault="00021C79" w:rsidP="00906E88">
      <w:pPr>
        <w:pStyle w:val="ListParagraph"/>
        <w:numPr>
          <w:ilvl w:val="0"/>
          <w:numId w:val="27"/>
        </w:numPr>
        <w:tabs>
          <w:tab w:val="left" w:pos="8789"/>
        </w:tabs>
        <w:jc w:val="both"/>
        <w:rPr>
          <w:rFonts w:asciiTheme="minorHAnsi" w:hAnsiTheme="minorHAnsi" w:cstheme="minorHAnsi"/>
          <w:sz w:val="20"/>
          <w:szCs w:val="20"/>
        </w:rPr>
      </w:pPr>
      <w:r w:rsidRPr="00293FAE">
        <w:rPr>
          <w:rFonts w:asciiTheme="minorHAnsi" w:hAnsiTheme="minorHAnsi" w:cstheme="minorHAnsi"/>
          <w:sz w:val="20"/>
          <w:szCs w:val="20"/>
        </w:rPr>
        <w:t>the financial statements have been prepared in accordance with the requirements of the Companies Act 2006.</w:t>
      </w:r>
    </w:p>
    <w:p w14:paraId="74CB0BB6" w14:textId="77777777" w:rsidR="00021C79" w:rsidRPr="00293FAE" w:rsidRDefault="00021C79" w:rsidP="00021C79">
      <w:pPr>
        <w:spacing w:line="288" w:lineRule="auto"/>
        <w:jc w:val="both"/>
        <w:rPr>
          <w:rFonts w:ascii="Arial" w:eastAsia="Arial Narrow" w:hAnsi="Arial" w:cs="Arial"/>
        </w:rPr>
      </w:pPr>
    </w:p>
    <w:p w14:paraId="2C8D34C3" w14:textId="35EFCB86" w:rsidR="00021C79" w:rsidRDefault="00021C79" w:rsidP="00906E88">
      <w:pPr>
        <w:tabs>
          <w:tab w:val="left" w:pos="8789"/>
        </w:tabs>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Basis for opinion</w:t>
      </w:r>
    </w:p>
    <w:p w14:paraId="4B5FA9EC" w14:textId="77777777" w:rsidR="00906E88" w:rsidRPr="00293FAE" w:rsidRDefault="00906E88" w:rsidP="00906E88">
      <w:pPr>
        <w:tabs>
          <w:tab w:val="left" w:pos="8789"/>
        </w:tabs>
        <w:ind w:left="567"/>
        <w:jc w:val="both"/>
        <w:rPr>
          <w:rFonts w:asciiTheme="minorHAnsi" w:hAnsiTheme="minorHAnsi" w:cstheme="minorHAnsi"/>
          <w:b/>
          <w:bCs/>
          <w:sz w:val="20"/>
          <w:szCs w:val="20"/>
        </w:rPr>
      </w:pPr>
    </w:p>
    <w:p w14:paraId="402DE931" w14:textId="77777777" w:rsidR="00021C79" w:rsidRPr="00293FAE" w:rsidRDefault="00021C79" w:rsidP="00906E88">
      <w:pPr>
        <w:tabs>
          <w:tab w:val="left" w:pos="8789"/>
        </w:tabs>
        <w:ind w:left="567"/>
        <w:jc w:val="both"/>
        <w:rPr>
          <w:rFonts w:asciiTheme="minorHAnsi" w:hAnsiTheme="minorHAnsi" w:cstheme="minorHAnsi"/>
          <w:b/>
          <w:bCs/>
          <w:sz w:val="20"/>
          <w:szCs w:val="20"/>
        </w:rPr>
      </w:pPr>
      <w:r w:rsidRPr="00293FAE">
        <w:rPr>
          <w:rFonts w:asciiTheme="minorHAnsi" w:hAnsiTheme="minorHAnsi" w:cstheme="minorHAnsi"/>
          <w:sz w:val="20"/>
          <w:szCs w:val="20"/>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Group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3C57DA29" w14:textId="77777777" w:rsidR="00021C79" w:rsidRDefault="00021C79" w:rsidP="00906E88">
      <w:pPr>
        <w:tabs>
          <w:tab w:val="left" w:pos="8789"/>
        </w:tabs>
        <w:ind w:left="567"/>
        <w:jc w:val="both"/>
        <w:rPr>
          <w:rFonts w:asciiTheme="minorHAnsi" w:hAnsiTheme="minorHAnsi" w:cstheme="minorHAnsi"/>
          <w:b/>
          <w:bCs/>
          <w:sz w:val="20"/>
          <w:szCs w:val="20"/>
        </w:rPr>
      </w:pPr>
    </w:p>
    <w:p w14:paraId="11593D2D" w14:textId="30069F32" w:rsidR="00021C79" w:rsidRDefault="00021C79" w:rsidP="00906E88">
      <w:pPr>
        <w:tabs>
          <w:tab w:val="left" w:pos="8789"/>
        </w:tabs>
        <w:ind w:left="567"/>
        <w:jc w:val="both"/>
        <w:rPr>
          <w:rFonts w:asciiTheme="minorHAnsi" w:hAnsiTheme="minorHAnsi" w:cstheme="minorHAnsi"/>
          <w:b/>
          <w:bCs/>
          <w:sz w:val="20"/>
          <w:szCs w:val="20"/>
        </w:rPr>
      </w:pPr>
      <w:r>
        <w:rPr>
          <w:rFonts w:asciiTheme="minorHAnsi" w:hAnsiTheme="minorHAnsi" w:cstheme="minorHAnsi"/>
          <w:b/>
          <w:bCs/>
          <w:sz w:val="20"/>
          <w:szCs w:val="20"/>
        </w:rPr>
        <w:t>Material uncertainty</w:t>
      </w:r>
      <w:r w:rsidRPr="00293FAE">
        <w:rPr>
          <w:rFonts w:asciiTheme="minorHAnsi" w:hAnsiTheme="minorHAnsi" w:cstheme="minorHAnsi"/>
          <w:b/>
          <w:bCs/>
          <w:sz w:val="20"/>
          <w:szCs w:val="20"/>
        </w:rPr>
        <w:t xml:space="preserve"> relating to going concern</w:t>
      </w:r>
    </w:p>
    <w:p w14:paraId="0916208D" w14:textId="77777777" w:rsidR="00906E88" w:rsidRPr="00293FAE" w:rsidRDefault="00906E88" w:rsidP="00906E88">
      <w:pPr>
        <w:tabs>
          <w:tab w:val="left" w:pos="8789"/>
        </w:tabs>
        <w:ind w:left="567"/>
        <w:jc w:val="both"/>
        <w:rPr>
          <w:rFonts w:asciiTheme="minorHAnsi" w:hAnsiTheme="minorHAnsi" w:cstheme="minorHAnsi"/>
          <w:b/>
          <w:bCs/>
          <w:sz w:val="20"/>
          <w:szCs w:val="20"/>
        </w:rPr>
      </w:pPr>
    </w:p>
    <w:p w14:paraId="278C9881" w14:textId="68A73D76" w:rsidR="00021C79" w:rsidRDefault="00021C79" w:rsidP="00906E88">
      <w:pPr>
        <w:tabs>
          <w:tab w:val="left" w:pos="8789"/>
        </w:tabs>
        <w:ind w:left="567"/>
        <w:jc w:val="both"/>
        <w:rPr>
          <w:rFonts w:asciiTheme="minorHAnsi" w:hAnsiTheme="minorHAnsi" w:cstheme="minorHAnsi"/>
          <w:sz w:val="20"/>
          <w:szCs w:val="20"/>
        </w:rPr>
      </w:pPr>
      <w:r w:rsidRPr="00293FAE">
        <w:rPr>
          <w:rFonts w:asciiTheme="minorHAnsi" w:hAnsiTheme="minorHAnsi" w:cstheme="minorHAnsi"/>
          <w:sz w:val="20"/>
          <w:szCs w:val="20"/>
        </w:rPr>
        <w:t xml:space="preserve">We draw attention to note 1 in the financial statements, concerning the Directors’ assessment of the Group and the Parent Company’s ability to continue as a going concern. </w:t>
      </w:r>
    </w:p>
    <w:p w14:paraId="6C049476" w14:textId="77777777" w:rsidR="0053684A" w:rsidRPr="00293FAE" w:rsidRDefault="0053684A" w:rsidP="00906E88">
      <w:pPr>
        <w:tabs>
          <w:tab w:val="left" w:pos="8789"/>
        </w:tabs>
        <w:ind w:left="567"/>
        <w:jc w:val="both"/>
        <w:rPr>
          <w:rFonts w:asciiTheme="minorHAnsi" w:hAnsiTheme="minorHAnsi" w:cstheme="minorHAnsi"/>
          <w:sz w:val="20"/>
          <w:szCs w:val="20"/>
        </w:rPr>
      </w:pPr>
    </w:p>
    <w:p w14:paraId="57C34655" w14:textId="30EB7D77" w:rsidR="00021C79" w:rsidRDefault="00021C79" w:rsidP="00906E88">
      <w:pPr>
        <w:tabs>
          <w:tab w:val="left" w:pos="8789"/>
        </w:tabs>
        <w:ind w:left="567"/>
        <w:jc w:val="both"/>
        <w:rPr>
          <w:rFonts w:asciiTheme="minorHAnsi" w:hAnsiTheme="minorHAnsi" w:cstheme="minorHAnsi"/>
          <w:sz w:val="20"/>
          <w:szCs w:val="20"/>
        </w:rPr>
      </w:pPr>
      <w:r w:rsidRPr="00293FAE">
        <w:rPr>
          <w:rFonts w:asciiTheme="minorHAnsi" w:hAnsiTheme="minorHAnsi" w:cstheme="minorHAnsi"/>
          <w:sz w:val="20"/>
          <w:szCs w:val="20"/>
        </w:rPr>
        <w:t>The directors have prepared cashflow forecasts for a period of at least 12 months from the date of approving these financial statements which indicate that the Group is at an early stage of development and it not currently profitable.  As stated in note 1, these events or conditions, along with the other matters as set forth in note 1 and the Group having net liabilities at the 30 June 202</w:t>
      </w:r>
      <w:r>
        <w:rPr>
          <w:rFonts w:asciiTheme="minorHAnsi" w:hAnsiTheme="minorHAnsi" w:cstheme="minorHAnsi"/>
          <w:sz w:val="20"/>
          <w:szCs w:val="20"/>
        </w:rPr>
        <w:t>2</w:t>
      </w:r>
      <w:r w:rsidRPr="00293FAE">
        <w:rPr>
          <w:rFonts w:asciiTheme="minorHAnsi" w:hAnsiTheme="minorHAnsi" w:cstheme="minorHAnsi"/>
          <w:sz w:val="20"/>
          <w:szCs w:val="20"/>
        </w:rPr>
        <w:t xml:space="preserve"> of £</w:t>
      </w:r>
      <w:r>
        <w:rPr>
          <w:rFonts w:asciiTheme="minorHAnsi" w:hAnsiTheme="minorHAnsi" w:cstheme="minorHAnsi"/>
          <w:sz w:val="20"/>
          <w:szCs w:val="20"/>
        </w:rPr>
        <w:t>8,938,520</w:t>
      </w:r>
      <w:r w:rsidRPr="00293FAE">
        <w:rPr>
          <w:rFonts w:asciiTheme="minorHAnsi" w:hAnsiTheme="minorHAnsi" w:cstheme="minorHAnsi"/>
          <w:sz w:val="20"/>
          <w:szCs w:val="20"/>
        </w:rPr>
        <w:t xml:space="preserve"> (20</w:t>
      </w:r>
      <w:r>
        <w:rPr>
          <w:rFonts w:asciiTheme="minorHAnsi" w:hAnsiTheme="minorHAnsi" w:cstheme="minorHAnsi"/>
          <w:sz w:val="20"/>
          <w:szCs w:val="20"/>
        </w:rPr>
        <w:t>21</w:t>
      </w:r>
      <w:r w:rsidRPr="00293FAE">
        <w:rPr>
          <w:rFonts w:asciiTheme="minorHAnsi" w:hAnsiTheme="minorHAnsi" w:cstheme="minorHAnsi"/>
          <w:sz w:val="20"/>
          <w:szCs w:val="20"/>
        </w:rPr>
        <w:t>: £</w:t>
      </w:r>
      <w:r>
        <w:rPr>
          <w:rFonts w:asciiTheme="minorHAnsi" w:hAnsiTheme="minorHAnsi" w:cstheme="minorHAnsi"/>
          <w:sz w:val="20"/>
          <w:szCs w:val="20"/>
        </w:rPr>
        <w:t>8,176,413</w:t>
      </w:r>
      <w:r w:rsidRPr="00293FAE">
        <w:rPr>
          <w:rFonts w:asciiTheme="minorHAnsi" w:hAnsiTheme="minorHAnsi" w:cstheme="minorHAnsi"/>
          <w:sz w:val="20"/>
          <w:szCs w:val="20"/>
        </w:rPr>
        <w:t xml:space="preserve">), indicate that a material uncertainty exists that may cast significant doubt on the ability of the Parent Company and the Group to continue as a going concern. </w:t>
      </w:r>
      <w:r>
        <w:rPr>
          <w:rFonts w:asciiTheme="minorHAnsi" w:hAnsiTheme="minorHAnsi" w:cstheme="minorHAnsi"/>
          <w:sz w:val="20"/>
          <w:szCs w:val="20"/>
        </w:rPr>
        <w:t xml:space="preserve">As mentioned in the Strategic Report earlier in these financial statements, the financing from EHGOSF is conditioned upon the Company trading again. In the event that the Company is not relisted and Iconic cannot obtain financing to acquire companies for its portfolio, there is a </w:t>
      </w:r>
      <w:r>
        <w:rPr>
          <w:rFonts w:asciiTheme="minorHAnsi" w:hAnsiTheme="minorHAnsi" w:cstheme="minorHAnsi"/>
          <w:sz w:val="20"/>
          <w:szCs w:val="20"/>
        </w:rPr>
        <w:lastRenderedPageBreak/>
        <w:t xml:space="preserve">risk that it will not generate the revenue and profitability to remain a going concern. </w:t>
      </w:r>
      <w:r w:rsidRPr="00293FAE">
        <w:rPr>
          <w:rFonts w:asciiTheme="minorHAnsi" w:hAnsiTheme="minorHAnsi" w:cstheme="minorHAnsi"/>
          <w:sz w:val="20"/>
          <w:szCs w:val="20"/>
        </w:rPr>
        <w:t>Our opinion is not modified in respect of this matter.</w:t>
      </w:r>
    </w:p>
    <w:p w14:paraId="55391991" w14:textId="77777777" w:rsidR="00906E88" w:rsidRDefault="00906E88" w:rsidP="00906E88">
      <w:pPr>
        <w:tabs>
          <w:tab w:val="left" w:pos="8789"/>
        </w:tabs>
        <w:ind w:left="567"/>
        <w:jc w:val="both"/>
        <w:rPr>
          <w:rFonts w:asciiTheme="minorHAnsi" w:hAnsiTheme="minorHAnsi" w:cstheme="minorHAnsi"/>
          <w:sz w:val="20"/>
          <w:szCs w:val="20"/>
        </w:rPr>
      </w:pPr>
    </w:p>
    <w:p w14:paraId="796E10EE" w14:textId="0A96B9A1"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Given the uncertainties note</w:t>
      </w:r>
      <w:r w:rsidR="008E6670">
        <w:rPr>
          <w:rFonts w:asciiTheme="minorHAnsi" w:hAnsiTheme="minorHAnsi" w:cstheme="minorHAnsi"/>
          <w:sz w:val="20"/>
          <w:szCs w:val="20"/>
        </w:rPr>
        <w:t>d</w:t>
      </w:r>
      <w:r>
        <w:rPr>
          <w:rFonts w:asciiTheme="minorHAnsi" w:hAnsiTheme="minorHAnsi" w:cstheme="minorHAnsi"/>
          <w:sz w:val="20"/>
          <w:szCs w:val="20"/>
        </w:rPr>
        <w:t xml:space="preserve"> above, we considered going concern to be a ‘Key Audit Matter’ and our audit response was as follows:</w:t>
      </w:r>
    </w:p>
    <w:p w14:paraId="535C02D2" w14:textId="77777777" w:rsidR="00906E88" w:rsidRDefault="00906E88" w:rsidP="00906E88">
      <w:pPr>
        <w:tabs>
          <w:tab w:val="left" w:pos="8789"/>
        </w:tabs>
        <w:ind w:left="567"/>
        <w:jc w:val="both"/>
        <w:rPr>
          <w:rFonts w:asciiTheme="minorHAnsi" w:hAnsiTheme="minorHAnsi" w:cstheme="minorHAnsi"/>
          <w:sz w:val="20"/>
          <w:szCs w:val="20"/>
        </w:rPr>
      </w:pPr>
    </w:p>
    <w:p w14:paraId="0E8C6370" w14:textId="77777777" w:rsidR="00021C79" w:rsidRDefault="00021C79" w:rsidP="00906E88">
      <w:pPr>
        <w:pStyle w:val="ListParagraph"/>
        <w:numPr>
          <w:ilvl w:val="0"/>
          <w:numId w:val="42"/>
        </w:numPr>
        <w:tabs>
          <w:tab w:val="left" w:pos="8789"/>
        </w:tabs>
        <w:ind w:left="960"/>
        <w:jc w:val="both"/>
        <w:rPr>
          <w:rFonts w:asciiTheme="minorHAnsi" w:hAnsiTheme="minorHAnsi" w:cstheme="minorHAnsi"/>
          <w:sz w:val="20"/>
          <w:szCs w:val="20"/>
        </w:rPr>
      </w:pPr>
      <w:r w:rsidRPr="00761ECD">
        <w:rPr>
          <w:rFonts w:asciiTheme="minorHAnsi" w:hAnsiTheme="minorHAnsi" w:cstheme="minorHAnsi"/>
          <w:sz w:val="20"/>
          <w:szCs w:val="20"/>
        </w:rPr>
        <w:t xml:space="preserve">Review of </w:t>
      </w:r>
      <w:r>
        <w:rPr>
          <w:rFonts w:asciiTheme="minorHAnsi" w:hAnsiTheme="minorHAnsi" w:cstheme="minorHAnsi"/>
          <w:sz w:val="20"/>
          <w:szCs w:val="20"/>
        </w:rPr>
        <w:t>documentation regarding the CVA that was approved and put in place on 22 September 2022.</w:t>
      </w:r>
    </w:p>
    <w:p w14:paraId="3ACF8599" w14:textId="77777777" w:rsidR="00021C79" w:rsidRDefault="00021C79" w:rsidP="00906E88">
      <w:pPr>
        <w:pStyle w:val="ListParagraph"/>
        <w:numPr>
          <w:ilvl w:val="0"/>
          <w:numId w:val="42"/>
        </w:numPr>
        <w:tabs>
          <w:tab w:val="left" w:pos="8789"/>
        </w:tabs>
        <w:ind w:left="960"/>
        <w:jc w:val="both"/>
        <w:rPr>
          <w:rFonts w:asciiTheme="minorHAnsi" w:hAnsiTheme="minorHAnsi" w:cstheme="minorHAnsi"/>
          <w:sz w:val="20"/>
          <w:szCs w:val="20"/>
        </w:rPr>
      </w:pPr>
      <w:r>
        <w:rPr>
          <w:rFonts w:asciiTheme="minorHAnsi" w:hAnsiTheme="minorHAnsi" w:cstheme="minorHAnsi"/>
          <w:sz w:val="20"/>
          <w:szCs w:val="20"/>
        </w:rPr>
        <w:t>Review of the Financing Facility in place with EHGOSF</w:t>
      </w:r>
    </w:p>
    <w:p w14:paraId="4645041E" w14:textId="0BE50803" w:rsidR="00021C79" w:rsidRDefault="00021C79" w:rsidP="00906E88">
      <w:pPr>
        <w:pStyle w:val="ListParagraph"/>
        <w:numPr>
          <w:ilvl w:val="0"/>
          <w:numId w:val="42"/>
        </w:numPr>
        <w:tabs>
          <w:tab w:val="left" w:pos="8789"/>
        </w:tabs>
        <w:ind w:left="960"/>
        <w:jc w:val="both"/>
        <w:rPr>
          <w:rFonts w:asciiTheme="minorHAnsi" w:hAnsiTheme="minorHAnsi" w:cstheme="minorHAnsi"/>
          <w:sz w:val="20"/>
          <w:szCs w:val="20"/>
        </w:rPr>
      </w:pPr>
      <w:r>
        <w:rPr>
          <w:rFonts w:asciiTheme="minorHAnsi" w:hAnsiTheme="minorHAnsi" w:cstheme="minorHAnsi"/>
          <w:sz w:val="20"/>
          <w:szCs w:val="20"/>
        </w:rPr>
        <w:t>Review of the confirmation of the Company exiting administration on 29 November 2022</w:t>
      </w:r>
    </w:p>
    <w:p w14:paraId="6C7106C5" w14:textId="77777777" w:rsidR="00906E88" w:rsidRDefault="00906E88" w:rsidP="00906E88">
      <w:pPr>
        <w:pStyle w:val="ListParagraph"/>
        <w:tabs>
          <w:tab w:val="left" w:pos="8789"/>
        </w:tabs>
        <w:jc w:val="both"/>
        <w:rPr>
          <w:rFonts w:asciiTheme="minorHAnsi" w:hAnsiTheme="minorHAnsi" w:cstheme="minorHAnsi"/>
          <w:sz w:val="20"/>
          <w:szCs w:val="20"/>
        </w:rPr>
      </w:pPr>
    </w:p>
    <w:p w14:paraId="60BBBBF4" w14:textId="0214DF25"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The Company has not currently prepared forecasts for a period of at least 12 months from the date of approval of the financial statements due to there being no confirmation of the relisting at the date of approval and therefore, we are unable to review these at this current time. We have confirmed with management that they are not aware of any other factors that might adversely impact on their assessment of the Group’s and Company’s ability to continue as a going concern other than those already noted in the financial statements. </w:t>
      </w:r>
    </w:p>
    <w:p w14:paraId="75C13746" w14:textId="77777777" w:rsidR="00906E88" w:rsidRPr="00427F9D" w:rsidRDefault="00906E88" w:rsidP="00906E88">
      <w:pPr>
        <w:tabs>
          <w:tab w:val="left" w:pos="8789"/>
        </w:tabs>
        <w:ind w:left="567"/>
        <w:jc w:val="both"/>
        <w:rPr>
          <w:rFonts w:asciiTheme="minorHAnsi" w:hAnsiTheme="minorHAnsi" w:cstheme="minorHAnsi"/>
          <w:sz w:val="20"/>
          <w:szCs w:val="20"/>
        </w:rPr>
      </w:pPr>
    </w:p>
    <w:p w14:paraId="63D62EC2" w14:textId="1072786A" w:rsidR="00021C79" w:rsidRDefault="00021C79" w:rsidP="00906E88">
      <w:pPr>
        <w:tabs>
          <w:tab w:val="left" w:pos="8789"/>
        </w:tabs>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Overview of our audit approach</w:t>
      </w:r>
    </w:p>
    <w:p w14:paraId="128227FE" w14:textId="77777777" w:rsidR="00906E88" w:rsidRPr="00293FAE" w:rsidRDefault="00906E88" w:rsidP="00906E88">
      <w:pPr>
        <w:tabs>
          <w:tab w:val="left" w:pos="8789"/>
        </w:tabs>
        <w:ind w:left="567"/>
        <w:jc w:val="both"/>
        <w:rPr>
          <w:rFonts w:asciiTheme="minorHAnsi" w:hAnsiTheme="minorHAnsi" w:cstheme="minorHAnsi"/>
          <w:b/>
          <w:bCs/>
          <w:sz w:val="20"/>
          <w:szCs w:val="20"/>
        </w:rPr>
      </w:pPr>
    </w:p>
    <w:p w14:paraId="2ACCB5E0" w14:textId="2644F891" w:rsidR="00021C79" w:rsidRDefault="00021C79" w:rsidP="00906E88">
      <w:pPr>
        <w:tabs>
          <w:tab w:val="left" w:pos="8789"/>
        </w:tabs>
        <w:ind w:left="567"/>
        <w:jc w:val="both"/>
        <w:rPr>
          <w:rFonts w:asciiTheme="minorHAnsi" w:hAnsiTheme="minorHAnsi" w:cstheme="minorHAnsi"/>
          <w:b/>
          <w:bCs/>
          <w:i/>
          <w:iCs/>
          <w:sz w:val="20"/>
          <w:szCs w:val="20"/>
        </w:rPr>
      </w:pPr>
      <w:r w:rsidRPr="001A1DB7">
        <w:rPr>
          <w:rFonts w:asciiTheme="minorHAnsi" w:hAnsiTheme="minorHAnsi" w:cstheme="minorHAnsi"/>
          <w:b/>
          <w:bCs/>
          <w:i/>
          <w:iCs/>
          <w:sz w:val="20"/>
          <w:szCs w:val="20"/>
        </w:rPr>
        <w:t>Materiality</w:t>
      </w:r>
    </w:p>
    <w:p w14:paraId="3F009C7B" w14:textId="77777777" w:rsidR="00906E88" w:rsidRPr="001A1DB7" w:rsidRDefault="00906E88" w:rsidP="00906E88">
      <w:pPr>
        <w:tabs>
          <w:tab w:val="left" w:pos="8789"/>
        </w:tabs>
        <w:ind w:left="567"/>
        <w:jc w:val="both"/>
        <w:rPr>
          <w:rFonts w:asciiTheme="minorHAnsi" w:hAnsiTheme="minorHAnsi" w:cstheme="minorHAnsi"/>
          <w:b/>
          <w:bCs/>
          <w:i/>
          <w:iCs/>
          <w:sz w:val="20"/>
          <w:szCs w:val="20"/>
        </w:rPr>
      </w:pPr>
    </w:p>
    <w:p w14:paraId="0A6A0D59" w14:textId="157FF14E" w:rsidR="00021C79" w:rsidRDefault="00021C79" w:rsidP="00906E88">
      <w:pPr>
        <w:tabs>
          <w:tab w:val="left" w:pos="8789"/>
        </w:tabs>
        <w:ind w:left="567"/>
        <w:jc w:val="both"/>
        <w:rPr>
          <w:rFonts w:asciiTheme="minorHAnsi" w:hAnsiTheme="minorHAnsi" w:cstheme="minorHAnsi"/>
          <w:sz w:val="20"/>
          <w:szCs w:val="20"/>
        </w:rPr>
      </w:pPr>
      <w:r w:rsidRPr="00293FAE">
        <w:rPr>
          <w:rFonts w:asciiTheme="minorHAnsi" w:hAnsiTheme="minorHAnsi" w:cstheme="minorHAnsi"/>
          <w:sz w:val="20"/>
          <w:szCs w:val="20"/>
        </w:rPr>
        <w:t>In planning and performing our audit we applied the concept of materiality. An item is considered material if it could reasonably be expected to change the economic decisions of a user of the financial statements. We used the concept of materiality to both focus our testing and to evaluate the impact of misstatements identified.</w:t>
      </w:r>
    </w:p>
    <w:p w14:paraId="6858EFE9" w14:textId="77777777" w:rsidR="00906E88" w:rsidRDefault="00906E88" w:rsidP="00906E88">
      <w:pPr>
        <w:tabs>
          <w:tab w:val="left" w:pos="8789"/>
        </w:tabs>
        <w:ind w:left="567"/>
        <w:jc w:val="both"/>
        <w:rPr>
          <w:rFonts w:asciiTheme="minorHAnsi" w:hAnsiTheme="minorHAnsi" w:cstheme="minorHAnsi"/>
          <w:sz w:val="20"/>
          <w:szCs w:val="20"/>
        </w:rPr>
      </w:pPr>
    </w:p>
    <w:p w14:paraId="218EC0F0" w14:textId="36F8AECA"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Based on our professional judgment, we determined overall materiality for the financial statements as a whole to be £38,000 (2021: £150,000), based on 5% of adjusted group loss before tax. Materiality for the parent Company financial statements as a whole was set at £35,000 (2021: £130,000) based on 5% of the adjusted loss before tax. </w:t>
      </w:r>
    </w:p>
    <w:p w14:paraId="7D56397F" w14:textId="77777777" w:rsidR="00906E88" w:rsidRDefault="00906E88" w:rsidP="00906E88">
      <w:pPr>
        <w:tabs>
          <w:tab w:val="left" w:pos="8789"/>
        </w:tabs>
        <w:ind w:left="567"/>
        <w:jc w:val="both"/>
        <w:rPr>
          <w:rFonts w:asciiTheme="minorHAnsi" w:hAnsiTheme="minorHAnsi" w:cstheme="minorHAnsi"/>
          <w:sz w:val="20"/>
          <w:szCs w:val="20"/>
        </w:rPr>
      </w:pPr>
    </w:p>
    <w:p w14:paraId="7C8C741A" w14:textId="6FE8AD3A"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We use a different level of materiality (‘performance materiality’) to determine the extent of our testing for the audit of the financial statements. Performance materiality is set based on the audit materiality as adjusted for the judgements made as to the entity risk and our evaluation of the specific risk of each audit area having regard to the internal control environment. </w:t>
      </w:r>
    </w:p>
    <w:p w14:paraId="4C4A8015" w14:textId="77777777" w:rsidR="00906E88" w:rsidRDefault="00906E88" w:rsidP="00906E88">
      <w:pPr>
        <w:tabs>
          <w:tab w:val="left" w:pos="8789"/>
        </w:tabs>
        <w:ind w:left="567"/>
        <w:jc w:val="both"/>
        <w:rPr>
          <w:rFonts w:asciiTheme="minorHAnsi" w:hAnsiTheme="minorHAnsi" w:cstheme="minorHAnsi"/>
          <w:sz w:val="20"/>
          <w:szCs w:val="20"/>
        </w:rPr>
      </w:pPr>
    </w:p>
    <w:p w14:paraId="334EFD23" w14:textId="612082C3"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Where considered appropriate, performance materiality may be reduced to a lower level, such as, for related party transactions and directors renumeration. </w:t>
      </w:r>
    </w:p>
    <w:p w14:paraId="37456A93" w14:textId="77777777" w:rsidR="00906E88" w:rsidRDefault="00906E88" w:rsidP="00906E88">
      <w:pPr>
        <w:tabs>
          <w:tab w:val="left" w:pos="8789"/>
        </w:tabs>
        <w:ind w:left="567"/>
        <w:jc w:val="both"/>
        <w:rPr>
          <w:rFonts w:asciiTheme="minorHAnsi" w:hAnsiTheme="minorHAnsi" w:cstheme="minorHAnsi"/>
          <w:sz w:val="20"/>
          <w:szCs w:val="20"/>
        </w:rPr>
      </w:pPr>
    </w:p>
    <w:p w14:paraId="7851EC92" w14:textId="7D166D47"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We agreed with the Audit Committee to report to it all identified errors in excess of £3,500 (2021: £13,000). Errors below that threshold would also be reported to it if, in our opinion as auditor, disclosure was required on qualitative grounds. </w:t>
      </w:r>
    </w:p>
    <w:p w14:paraId="606B41DD" w14:textId="77777777" w:rsidR="00906E88" w:rsidRPr="00293FAE" w:rsidRDefault="00906E88" w:rsidP="00906E88">
      <w:pPr>
        <w:tabs>
          <w:tab w:val="left" w:pos="8789"/>
        </w:tabs>
        <w:ind w:left="567"/>
        <w:jc w:val="both"/>
        <w:rPr>
          <w:rFonts w:asciiTheme="minorHAnsi" w:hAnsiTheme="minorHAnsi" w:cstheme="minorHAnsi"/>
          <w:sz w:val="20"/>
          <w:szCs w:val="20"/>
        </w:rPr>
      </w:pPr>
    </w:p>
    <w:p w14:paraId="79ED9A77" w14:textId="0DCAABE8" w:rsidR="00021C79" w:rsidRDefault="00021C79" w:rsidP="00906E88">
      <w:pPr>
        <w:tabs>
          <w:tab w:val="left" w:pos="8789"/>
        </w:tabs>
        <w:ind w:left="567"/>
        <w:jc w:val="both"/>
        <w:rPr>
          <w:rFonts w:asciiTheme="minorHAnsi" w:hAnsiTheme="minorHAnsi" w:cstheme="minorHAnsi"/>
          <w:b/>
          <w:bCs/>
          <w:i/>
          <w:iCs/>
          <w:sz w:val="20"/>
          <w:szCs w:val="20"/>
        </w:rPr>
      </w:pPr>
      <w:r w:rsidRPr="001A1DB7">
        <w:rPr>
          <w:rFonts w:asciiTheme="minorHAnsi" w:hAnsiTheme="minorHAnsi" w:cstheme="minorHAnsi"/>
          <w:b/>
          <w:bCs/>
          <w:i/>
          <w:iCs/>
          <w:sz w:val="20"/>
          <w:szCs w:val="20"/>
        </w:rPr>
        <w:t>Overview of the scope of our audit</w:t>
      </w:r>
    </w:p>
    <w:p w14:paraId="333196FC" w14:textId="77777777" w:rsidR="00906E88" w:rsidRPr="001A1DB7" w:rsidRDefault="00906E88" w:rsidP="00906E88">
      <w:pPr>
        <w:tabs>
          <w:tab w:val="left" w:pos="8789"/>
        </w:tabs>
        <w:ind w:left="567"/>
        <w:jc w:val="both"/>
        <w:rPr>
          <w:rFonts w:asciiTheme="minorHAnsi" w:hAnsiTheme="minorHAnsi" w:cstheme="minorHAnsi"/>
          <w:b/>
          <w:bCs/>
          <w:i/>
          <w:iCs/>
          <w:sz w:val="20"/>
          <w:szCs w:val="20"/>
        </w:rPr>
      </w:pPr>
    </w:p>
    <w:p w14:paraId="2B4BCA22" w14:textId="107A01C3" w:rsidR="00021C79" w:rsidRDefault="00021C79" w:rsidP="00906E88">
      <w:pPr>
        <w:tabs>
          <w:tab w:val="left" w:pos="8789"/>
        </w:tabs>
        <w:ind w:left="567"/>
        <w:jc w:val="both"/>
        <w:rPr>
          <w:rFonts w:asciiTheme="minorHAnsi" w:hAnsiTheme="minorHAnsi" w:cstheme="minorHAnsi"/>
          <w:sz w:val="20"/>
          <w:szCs w:val="20"/>
        </w:rPr>
      </w:pPr>
      <w:r w:rsidRPr="00293FAE">
        <w:rPr>
          <w:rFonts w:asciiTheme="minorHAnsi" w:hAnsiTheme="minorHAnsi" w:cstheme="minorHAnsi"/>
          <w:sz w:val="20"/>
          <w:szCs w:val="20"/>
        </w:rPr>
        <w:t>There are two significant components of the Group, located and operating in the United Kingdom. The audits of Iconic Labs PLC and its UK subsidiary undertakings were conducted from the UK by the engagement team.  Financial information from other components not considered to be individually significant individually was subject to limited review procedures carried out by the audit team.</w:t>
      </w:r>
    </w:p>
    <w:p w14:paraId="33A262DE" w14:textId="77777777" w:rsidR="00906E88" w:rsidRDefault="00906E88" w:rsidP="00906E88">
      <w:pPr>
        <w:tabs>
          <w:tab w:val="left" w:pos="8789"/>
        </w:tabs>
        <w:ind w:left="567"/>
        <w:jc w:val="both"/>
        <w:rPr>
          <w:rFonts w:asciiTheme="minorHAnsi" w:hAnsiTheme="minorHAnsi" w:cstheme="minorHAnsi"/>
          <w:sz w:val="20"/>
          <w:szCs w:val="20"/>
        </w:rPr>
      </w:pPr>
    </w:p>
    <w:p w14:paraId="15963A6B" w14:textId="77B7ADFF" w:rsidR="00021C79" w:rsidRDefault="00021C79" w:rsidP="00906E88">
      <w:pPr>
        <w:tabs>
          <w:tab w:val="left" w:pos="8789"/>
        </w:tabs>
        <w:ind w:left="567"/>
        <w:jc w:val="both"/>
        <w:rPr>
          <w:rFonts w:asciiTheme="minorHAnsi" w:hAnsiTheme="minorHAnsi" w:cstheme="minorHAnsi"/>
          <w:b/>
          <w:bCs/>
          <w:i/>
          <w:iCs/>
          <w:sz w:val="20"/>
          <w:szCs w:val="20"/>
        </w:rPr>
      </w:pPr>
      <w:r w:rsidRPr="001A1DB7">
        <w:rPr>
          <w:rFonts w:asciiTheme="minorHAnsi" w:hAnsiTheme="minorHAnsi" w:cstheme="minorHAnsi"/>
          <w:b/>
          <w:bCs/>
          <w:i/>
          <w:iCs/>
          <w:sz w:val="20"/>
          <w:szCs w:val="20"/>
        </w:rPr>
        <w:t>Extent to which the audit is capable of detecting irregularities, including fraud</w:t>
      </w:r>
    </w:p>
    <w:p w14:paraId="5C9AF730" w14:textId="77777777" w:rsidR="00906E88" w:rsidRPr="001A1DB7" w:rsidRDefault="00906E88" w:rsidP="00906E88">
      <w:pPr>
        <w:tabs>
          <w:tab w:val="left" w:pos="8789"/>
        </w:tabs>
        <w:ind w:left="567"/>
        <w:jc w:val="both"/>
        <w:rPr>
          <w:rFonts w:asciiTheme="minorHAnsi" w:hAnsiTheme="minorHAnsi" w:cstheme="minorHAnsi"/>
          <w:b/>
          <w:bCs/>
          <w:i/>
          <w:iCs/>
          <w:sz w:val="20"/>
          <w:szCs w:val="20"/>
        </w:rPr>
      </w:pPr>
    </w:p>
    <w:p w14:paraId="3F4BD9F6" w14:textId="77777777"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We design our procedures so as to obtain sufficient appropriate audit evidence that the financial statements are not materially misstated due to non-compliance with laws and regulations or due to fraud and error. </w:t>
      </w:r>
    </w:p>
    <w:p w14:paraId="5BF589F5" w14:textId="4009C77A"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lastRenderedPageBreak/>
        <w:t xml:space="preserve">We are not responsible for preventing non-compliance and cannot be expected to detect non-compliance with all laws and regulations – this responsibility lies with management with the oversight of the Directors and Audit Committee. </w:t>
      </w:r>
    </w:p>
    <w:p w14:paraId="52366165" w14:textId="77777777" w:rsidR="00906E88" w:rsidRDefault="00906E88" w:rsidP="00906E88">
      <w:pPr>
        <w:tabs>
          <w:tab w:val="left" w:pos="8789"/>
        </w:tabs>
        <w:ind w:left="567"/>
        <w:jc w:val="both"/>
        <w:rPr>
          <w:rFonts w:asciiTheme="minorHAnsi" w:hAnsiTheme="minorHAnsi" w:cstheme="minorHAnsi"/>
          <w:sz w:val="20"/>
          <w:szCs w:val="20"/>
        </w:rPr>
      </w:pPr>
    </w:p>
    <w:p w14:paraId="75BA62CD" w14:textId="0B4343E0"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Based on our understanding of the Group and industry, discussions with management and the Audit Committee, we identified financial reporting standards, and Companies Act 2006 as having a direct effect on the amounts and disclosures in the financial statements. </w:t>
      </w:r>
    </w:p>
    <w:p w14:paraId="2E8F963C" w14:textId="77777777" w:rsidR="00906E88" w:rsidRDefault="00906E88" w:rsidP="00906E88">
      <w:pPr>
        <w:tabs>
          <w:tab w:val="left" w:pos="8789"/>
        </w:tabs>
        <w:ind w:left="567"/>
        <w:jc w:val="both"/>
        <w:rPr>
          <w:rFonts w:asciiTheme="minorHAnsi" w:hAnsiTheme="minorHAnsi" w:cstheme="minorHAnsi"/>
          <w:sz w:val="20"/>
          <w:szCs w:val="20"/>
        </w:rPr>
      </w:pPr>
    </w:p>
    <w:p w14:paraId="0A6D5AC5" w14:textId="55833591"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We gained an understanding of the legal and regulatory framework applicable to the Group and the industry in which it operates, and considered the risks of acts by the Group which were contrary to applicable laws and regulations, including fraud. These included but were not limited to compliance with Companies Act 2006, the FCA listing rule and IFRS adopted by the </w:t>
      </w:r>
      <w:r w:rsidR="00ED1762">
        <w:rPr>
          <w:rFonts w:asciiTheme="minorHAnsi" w:hAnsiTheme="minorHAnsi" w:cstheme="minorHAnsi"/>
          <w:sz w:val="20"/>
          <w:szCs w:val="20"/>
        </w:rPr>
        <w:t>United Kingdom</w:t>
      </w:r>
      <w:r>
        <w:rPr>
          <w:rFonts w:asciiTheme="minorHAnsi" w:hAnsiTheme="minorHAnsi" w:cstheme="minorHAnsi"/>
          <w:sz w:val="20"/>
          <w:szCs w:val="20"/>
        </w:rPr>
        <w:t xml:space="preserve">. </w:t>
      </w:r>
    </w:p>
    <w:p w14:paraId="25AAD73D" w14:textId="77777777" w:rsidR="00906E88" w:rsidRDefault="00906E88" w:rsidP="00906E88">
      <w:pPr>
        <w:tabs>
          <w:tab w:val="left" w:pos="8789"/>
        </w:tabs>
        <w:ind w:left="567"/>
        <w:jc w:val="both"/>
        <w:rPr>
          <w:rFonts w:asciiTheme="minorHAnsi" w:hAnsiTheme="minorHAnsi" w:cstheme="minorHAnsi"/>
          <w:sz w:val="20"/>
          <w:szCs w:val="20"/>
        </w:rPr>
      </w:pPr>
    </w:p>
    <w:p w14:paraId="203FFAA1" w14:textId="261017A7"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As part of our discussion with internal engagement team about how and where the Group’s financial statements may be materially misstated due to fraud, we identified an increase risk of fraud in revenue completeness. </w:t>
      </w:r>
    </w:p>
    <w:p w14:paraId="52682900" w14:textId="77777777" w:rsidR="00906E88" w:rsidRDefault="00906E88" w:rsidP="00906E88">
      <w:pPr>
        <w:tabs>
          <w:tab w:val="left" w:pos="8789"/>
        </w:tabs>
        <w:ind w:left="567"/>
        <w:jc w:val="both"/>
        <w:rPr>
          <w:rFonts w:asciiTheme="minorHAnsi" w:hAnsiTheme="minorHAnsi" w:cstheme="minorHAnsi"/>
          <w:sz w:val="20"/>
          <w:szCs w:val="20"/>
        </w:rPr>
      </w:pPr>
    </w:p>
    <w:p w14:paraId="517EBBC4" w14:textId="00F9BBD9"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Our audit procedures included:</w:t>
      </w:r>
    </w:p>
    <w:p w14:paraId="07A814F4" w14:textId="77777777" w:rsidR="00906E88" w:rsidRDefault="00906E88" w:rsidP="00906E88">
      <w:pPr>
        <w:tabs>
          <w:tab w:val="left" w:pos="8789"/>
        </w:tabs>
        <w:ind w:left="567"/>
        <w:jc w:val="both"/>
        <w:rPr>
          <w:rFonts w:asciiTheme="minorHAnsi" w:hAnsiTheme="minorHAnsi" w:cstheme="minorHAnsi"/>
          <w:sz w:val="20"/>
          <w:szCs w:val="20"/>
        </w:rPr>
      </w:pPr>
    </w:p>
    <w:p w14:paraId="05F640C6" w14:textId="77777777"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sidRPr="001A1DB7">
        <w:rPr>
          <w:rFonts w:asciiTheme="minorHAnsi" w:hAnsiTheme="minorHAnsi" w:cstheme="minorHAnsi"/>
          <w:sz w:val="20"/>
          <w:szCs w:val="20"/>
        </w:rPr>
        <w:t>Enquiry of management about the Group’s policies, procedures and related controls regarding compliance with laws and regulations and if there are any known instances of non-compliance;</w:t>
      </w:r>
    </w:p>
    <w:p w14:paraId="531F94FD" w14:textId="77777777"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Pr>
          <w:rFonts w:asciiTheme="minorHAnsi" w:hAnsiTheme="minorHAnsi" w:cstheme="minorHAnsi"/>
          <w:sz w:val="20"/>
          <w:szCs w:val="20"/>
        </w:rPr>
        <w:t>Examining supporting documents for all material balances, transactions and disclosures;</w:t>
      </w:r>
    </w:p>
    <w:p w14:paraId="7DA39C6D" w14:textId="77777777"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Pr>
          <w:rFonts w:asciiTheme="minorHAnsi" w:hAnsiTheme="minorHAnsi" w:cstheme="minorHAnsi"/>
          <w:sz w:val="20"/>
          <w:szCs w:val="20"/>
        </w:rPr>
        <w:t>Review of the Board of Directors minutes;</w:t>
      </w:r>
    </w:p>
    <w:p w14:paraId="08B4FEBB" w14:textId="77777777"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Pr>
          <w:rFonts w:asciiTheme="minorHAnsi" w:hAnsiTheme="minorHAnsi" w:cstheme="minorHAnsi"/>
          <w:sz w:val="20"/>
          <w:szCs w:val="20"/>
        </w:rPr>
        <w:t>Enquiry of management about litigations and claims and inspection of relevant correspondence;</w:t>
      </w:r>
    </w:p>
    <w:p w14:paraId="229D0C99" w14:textId="77777777"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Pr>
          <w:rFonts w:asciiTheme="minorHAnsi" w:hAnsiTheme="minorHAnsi" w:cstheme="minorHAnsi"/>
          <w:sz w:val="20"/>
          <w:szCs w:val="20"/>
        </w:rPr>
        <w:t>Evaluation of the selection and application of accounting policies related to subjective measurements and complex transactions;</w:t>
      </w:r>
    </w:p>
    <w:p w14:paraId="7DF91A0D" w14:textId="77777777"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Pr>
          <w:rFonts w:asciiTheme="minorHAnsi" w:hAnsiTheme="minorHAnsi" w:cstheme="minorHAnsi"/>
          <w:sz w:val="20"/>
          <w:szCs w:val="20"/>
        </w:rPr>
        <w:t>Analytical procedures to identify any unusual or unexpected relationships;</w:t>
      </w:r>
    </w:p>
    <w:p w14:paraId="58696812" w14:textId="77777777"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Pr>
          <w:rFonts w:asciiTheme="minorHAnsi" w:hAnsiTheme="minorHAnsi" w:cstheme="minorHAnsi"/>
          <w:sz w:val="20"/>
          <w:szCs w:val="20"/>
        </w:rPr>
        <w:t>Testing the appropriateness of journal entries recorded in the general ledger and other adjustments made in the preparation of the financial statements;</w:t>
      </w:r>
    </w:p>
    <w:p w14:paraId="5ECA6469" w14:textId="5638930E" w:rsidR="00021C79" w:rsidRDefault="00021C79" w:rsidP="00906E88">
      <w:pPr>
        <w:pStyle w:val="ListParagraph"/>
        <w:numPr>
          <w:ilvl w:val="0"/>
          <w:numId w:val="43"/>
        </w:numPr>
        <w:tabs>
          <w:tab w:val="left" w:pos="8789"/>
        </w:tabs>
        <w:jc w:val="both"/>
        <w:rPr>
          <w:rFonts w:asciiTheme="minorHAnsi" w:hAnsiTheme="minorHAnsi" w:cstheme="minorHAnsi"/>
          <w:sz w:val="20"/>
          <w:szCs w:val="20"/>
        </w:rPr>
      </w:pPr>
      <w:r>
        <w:rPr>
          <w:rFonts w:asciiTheme="minorHAnsi" w:hAnsiTheme="minorHAnsi" w:cstheme="minorHAnsi"/>
          <w:sz w:val="20"/>
          <w:szCs w:val="20"/>
        </w:rPr>
        <w:t xml:space="preserve">Review of accounting estimates for bias. </w:t>
      </w:r>
    </w:p>
    <w:p w14:paraId="536E7130" w14:textId="77777777" w:rsidR="00906E88" w:rsidRDefault="00906E88" w:rsidP="00906E88">
      <w:pPr>
        <w:pStyle w:val="ListParagraph"/>
        <w:tabs>
          <w:tab w:val="left" w:pos="8789"/>
        </w:tabs>
        <w:ind w:left="1287"/>
        <w:jc w:val="both"/>
        <w:rPr>
          <w:rFonts w:asciiTheme="minorHAnsi" w:hAnsiTheme="minorHAnsi" w:cstheme="minorHAnsi"/>
          <w:sz w:val="20"/>
          <w:szCs w:val="20"/>
        </w:rPr>
      </w:pPr>
    </w:p>
    <w:p w14:paraId="157B033D" w14:textId="33462EC4" w:rsidR="00021C79" w:rsidRDefault="00B44D7B" w:rsidP="00906E88">
      <w:pPr>
        <w:tabs>
          <w:tab w:val="left" w:pos="8789"/>
        </w:tabs>
        <w:ind w:left="567" w:hanging="567"/>
        <w:jc w:val="both"/>
        <w:rPr>
          <w:rFonts w:asciiTheme="minorHAnsi" w:hAnsiTheme="minorHAnsi" w:cstheme="minorHAnsi"/>
          <w:sz w:val="20"/>
          <w:szCs w:val="20"/>
        </w:rPr>
      </w:pPr>
      <w:r>
        <w:rPr>
          <w:rFonts w:asciiTheme="minorHAnsi" w:hAnsiTheme="minorHAnsi" w:cstheme="minorHAnsi"/>
          <w:sz w:val="20"/>
          <w:szCs w:val="20"/>
        </w:rPr>
        <w:tab/>
      </w:r>
      <w:r w:rsidR="00021C79">
        <w:rPr>
          <w:rFonts w:asciiTheme="minorHAnsi" w:hAnsiTheme="minorHAnsi" w:cstheme="minorHAnsi"/>
          <w:sz w:val="20"/>
          <w:szCs w:val="20"/>
        </w:rPr>
        <w:t xml:space="preserve">Owing to the inherent limitations of an audit, there is an unavoidable risk that some material misstatements of the financial statements may not be detected, even though the audit is properly planned and performed in accordance with the ISAs (UK). </w:t>
      </w:r>
    </w:p>
    <w:p w14:paraId="267CF749" w14:textId="77777777" w:rsidR="00906E88" w:rsidRDefault="00906E88" w:rsidP="00906E88">
      <w:pPr>
        <w:tabs>
          <w:tab w:val="left" w:pos="8789"/>
        </w:tabs>
        <w:ind w:left="567" w:hanging="567"/>
        <w:jc w:val="both"/>
        <w:rPr>
          <w:rFonts w:asciiTheme="minorHAnsi" w:hAnsiTheme="minorHAnsi" w:cstheme="minorHAnsi"/>
          <w:sz w:val="20"/>
          <w:szCs w:val="20"/>
        </w:rPr>
      </w:pPr>
    </w:p>
    <w:p w14:paraId="2B37EEA3" w14:textId="76A8C473" w:rsidR="00021C79" w:rsidRPr="001A1DB7" w:rsidRDefault="00B44D7B" w:rsidP="00906E88">
      <w:pPr>
        <w:tabs>
          <w:tab w:val="left" w:pos="8789"/>
        </w:tabs>
        <w:ind w:left="567" w:hanging="567"/>
        <w:jc w:val="both"/>
        <w:rPr>
          <w:rFonts w:asciiTheme="minorHAnsi" w:hAnsiTheme="minorHAnsi" w:cstheme="minorHAnsi"/>
          <w:sz w:val="20"/>
          <w:szCs w:val="20"/>
        </w:rPr>
      </w:pPr>
      <w:r>
        <w:rPr>
          <w:rFonts w:asciiTheme="minorHAnsi" w:hAnsiTheme="minorHAnsi" w:cstheme="minorHAnsi"/>
          <w:sz w:val="20"/>
          <w:szCs w:val="20"/>
        </w:rPr>
        <w:tab/>
      </w:r>
      <w:r w:rsidR="00021C79">
        <w:rPr>
          <w:rFonts w:asciiTheme="minorHAnsi" w:hAnsiTheme="minorHAnsi" w:cstheme="minorHAnsi"/>
          <w:sz w:val="20"/>
          <w:szCs w:val="20"/>
        </w:rPr>
        <w:t xml:space="preserve">The potential effects of inherent limitations are particularly significant in the case of misstatement resulting from fraud because fraud may involve sophisticated and carefully organised schemes designed to conceal it, including deliberate failure to record transactions, collusion or intentional misrepresentations being made to us. </w:t>
      </w:r>
    </w:p>
    <w:p w14:paraId="23C89F44" w14:textId="77777777" w:rsidR="0027586A" w:rsidRDefault="0027586A" w:rsidP="00906E88">
      <w:pPr>
        <w:ind w:firstLine="567"/>
        <w:jc w:val="both"/>
        <w:rPr>
          <w:rFonts w:asciiTheme="minorHAnsi" w:hAnsiTheme="minorHAnsi" w:cstheme="minorHAnsi"/>
          <w:i/>
          <w:iCs/>
          <w:sz w:val="20"/>
          <w:szCs w:val="20"/>
        </w:rPr>
      </w:pPr>
    </w:p>
    <w:p w14:paraId="350D3CC9" w14:textId="23277C72" w:rsidR="00021C79" w:rsidRDefault="00021C79" w:rsidP="00906E88">
      <w:pPr>
        <w:ind w:firstLine="567"/>
        <w:jc w:val="both"/>
        <w:rPr>
          <w:rFonts w:asciiTheme="minorHAnsi" w:hAnsiTheme="minorHAnsi" w:cstheme="minorHAnsi"/>
          <w:i/>
          <w:iCs/>
          <w:sz w:val="20"/>
          <w:szCs w:val="20"/>
        </w:rPr>
      </w:pPr>
      <w:r w:rsidRPr="00293FAE">
        <w:rPr>
          <w:rFonts w:asciiTheme="minorHAnsi" w:hAnsiTheme="minorHAnsi" w:cstheme="minorHAnsi"/>
          <w:i/>
          <w:iCs/>
          <w:sz w:val="20"/>
          <w:szCs w:val="20"/>
        </w:rPr>
        <w:t>Key Audit Matters</w:t>
      </w:r>
    </w:p>
    <w:p w14:paraId="3CDDDB7C" w14:textId="77777777" w:rsidR="00906E88" w:rsidRPr="00293FAE" w:rsidRDefault="00906E88" w:rsidP="00906E88">
      <w:pPr>
        <w:ind w:firstLine="567"/>
        <w:jc w:val="both"/>
        <w:rPr>
          <w:rFonts w:asciiTheme="minorHAnsi" w:hAnsiTheme="minorHAnsi" w:cstheme="minorHAnsi"/>
          <w:i/>
          <w:iCs/>
          <w:sz w:val="20"/>
          <w:szCs w:val="20"/>
        </w:rPr>
      </w:pPr>
    </w:p>
    <w:p w14:paraId="57E1B6C5" w14:textId="2639F51F" w:rsidR="00021C79" w:rsidRDefault="00021C79" w:rsidP="00906E88">
      <w:pPr>
        <w:tabs>
          <w:tab w:val="left" w:pos="8789"/>
        </w:tabs>
        <w:ind w:left="567"/>
        <w:jc w:val="both"/>
        <w:rPr>
          <w:rFonts w:asciiTheme="minorHAnsi" w:hAnsiTheme="minorHAnsi" w:cstheme="minorHAnsi"/>
          <w:sz w:val="20"/>
          <w:szCs w:val="20"/>
        </w:rPr>
      </w:pPr>
      <w:r w:rsidRPr="00293FAE">
        <w:rPr>
          <w:rFonts w:asciiTheme="minorHAnsi" w:hAnsiTheme="minorHAnsi" w:cstheme="minorHAnsi"/>
          <w:sz w:val="20"/>
          <w:szCs w:val="20"/>
        </w:rPr>
        <w:t>Key audit matters are those matters that, in our professional judgement, were of most significance in our audit of the financial statements of the current period and include the most significant assessed risks of material misstatement (whether or not due to fraud) that we identified. These matters included those which had the greatest effect on: the overall audit strategy, the allocation of resources in the audit; and directing the efforts of the engagement team. These matters were addressed in the context of our audit of the financial statements as a whole, and in forming our opinion thereon, and we do not provide a separate opinion on these matters.</w:t>
      </w:r>
    </w:p>
    <w:p w14:paraId="187D6E45" w14:textId="77777777" w:rsidR="00906E88" w:rsidRPr="00293FAE" w:rsidRDefault="00906E88" w:rsidP="00906E88">
      <w:pPr>
        <w:tabs>
          <w:tab w:val="left" w:pos="8789"/>
        </w:tabs>
        <w:ind w:left="567"/>
        <w:jc w:val="both"/>
        <w:rPr>
          <w:rFonts w:asciiTheme="minorHAnsi" w:hAnsiTheme="minorHAnsi" w:cstheme="minorHAnsi"/>
          <w:sz w:val="20"/>
          <w:szCs w:val="20"/>
        </w:rPr>
      </w:pPr>
    </w:p>
    <w:p w14:paraId="092D95E9" w14:textId="77777777" w:rsidR="00021C79" w:rsidRDefault="00021C79" w:rsidP="00906E88">
      <w:pPr>
        <w:tabs>
          <w:tab w:val="left" w:pos="8789"/>
        </w:tabs>
        <w:ind w:left="567"/>
        <w:jc w:val="both"/>
        <w:rPr>
          <w:rFonts w:asciiTheme="minorHAnsi" w:hAnsiTheme="minorHAnsi" w:cstheme="minorHAnsi"/>
          <w:sz w:val="20"/>
          <w:szCs w:val="20"/>
        </w:rPr>
      </w:pPr>
      <w:r>
        <w:rPr>
          <w:rFonts w:asciiTheme="minorHAnsi" w:hAnsiTheme="minorHAnsi" w:cstheme="minorHAnsi"/>
          <w:sz w:val="20"/>
          <w:szCs w:val="20"/>
        </w:rPr>
        <w:t xml:space="preserve">We have identified above the going concern key audit matter and, given that the administration of the Company previously detected all known liabilities and there has been limited trading within the Group during the period, no further key audit matters were identified. </w:t>
      </w:r>
    </w:p>
    <w:p w14:paraId="34DCC62A" w14:textId="77777777" w:rsidR="00021C79" w:rsidRPr="00293FAE"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lastRenderedPageBreak/>
        <w:t>Our audit procedures in relation to these matters were designed in the context of our audit opinion as a whole. They were not designed to enable us to express an opinion on these matters individually and we express no such opinion.</w:t>
      </w:r>
    </w:p>
    <w:p w14:paraId="14AB0DC8" w14:textId="77777777" w:rsidR="00021C79" w:rsidRDefault="00021C79" w:rsidP="00906E88">
      <w:pPr>
        <w:ind w:left="567"/>
        <w:jc w:val="both"/>
        <w:rPr>
          <w:rFonts w:asciiTheme="minorHAnsi" w:hAnsiTheme="minorHAnsi" w:cstheme="minorHAnsi"/>
          <w:b/>
          <w:bCs/>
          <w:sz w:val="20"/>
          <w:szCs w:val="20"/>
        </w:rPr>
      </w:pPr>
    </w:p>
    <w:p w14:paraId="013C60F1" w14:textId="1EFC15E6" w:rsidR="00021C79" w:rsidRDefault="00021C79" w:rsidP="00906E88">
      <w:pPr>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Other information</w:t>
      </w:r>
    </w:p>
    <w:p w14:paraId="47E0E14F" w14:textId="77777777" w:rsidR="00906E88" w:rsidRPr="00293FAE" w:rsidRDefault="00906E88" w:rsidP="00906E88">
      <w:pPr>
        <w:ind w:left="567"/>
        <w:jc w:val="both"/>
        <w:rPr>
          <w:rFonts w:asciiTheme="minorHAnsi" w:hAnsiTheme="minorHAnsi" w:cstheme="minorHAnsi"/>
          <w:b/>
          <w:bCs/>
          <w:sz w:val="20"/>
          <w:szCs w:val="20"/>
        </w:rPr>
      </w:pPr>
    </w:p>
    <w:p w14:paraId="045FA245" w14:textId="19307BDA" w:rsidR="00021C79"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The directors are responsible for the other information. The other information comprises the information included in the annual report, other than the financial statements and our auditor’s report thereon. Our opinion on the financial statements does not cover the other information and, except to the extent otherwise explicitly stated in our report, we do not express any form of assurance conclusion thereon.</w:t>
      </w:r>
    </w:p>
    <w:p w14:paraId="740C201A" w14:textId="77777777" w:rsidR="00906E88" w:rsidRPr="00293FAE" w:rsidRDefault="00906E88" w:rsidP="00906E88">
      <w:pPr>
        <w:ind w:left="567"/>
        <w:jc w:val="both"/>
        <w:rPr>
          <w:rFonts w:asciiTheme="minorHAnsi" w:hAnsiTheme="minorHAnsi" w:cstheme="minorHAnsi"/>
          <w:sz w:val="20"/>
          <w:szCs w:val="20"/>
        </w:rPr>
      </w:pPr>
    </w:p>
    <w:p w14:paraId="63E0E4B1" w14:textId="1A358B9A" w:rsidR="00021C79"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 xml:space="preserve">In connection with our audit of the financial statements, our responsibility is to read the other information and, in doing so, consider whether the other information is materially inconsistent with the financial </w:t>
      </w:r>
      <w:r w:rsidR="00906E88" w:rsidRPr="00293FAE">
        <w:rPr>
          <w:rFonts w:asciiTheme="minorHAnsi" w:hAnsiTheme="minorHAnsi" w:cstheme="minorHAnsi"/>
          <w:sz w:val="20"/>
          <w:szCs w:val="20"/>
        </w:rPr>
        <w:t>statements,</w:t>
      </w:r>
      <w:r w:rsidRPr="00293FAE">
        <w:rPr>
          <w:rFonts w:asciiTheme="minorHAnsi" w:hAnsiTheme="minorHAnsi" w:cstheme="minorHAnsi"/>
          <w:sz w:val="20"/>
          <w:szCs w:val="20"/>
        </w:rPr>
        <w:t xml:space="preserve">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14:paraId="60610606" w14:textId="77777777" w:rsidR="00906E88" w:rsidRPr="00293FAE" w:rsidRDefault="00906E88" w:rsidP="00906E88">
      <w:pPr>
        <w:ind w:left="567"/>
        <w:jc w:val="both"/>
        <w:rPr>
          <w:rFonts w:asciiTheme="minorHAnsi" w:hAnsiTheme="minorHAnsi" w:cstheme="minorHAnsi"/>
          <w:sz w:val="20"/>
          <w:szCs w:val="20"/>
        </w:rPr>
      </w:pPr>
    </w:p>
    <w:p w14:paraId="45B24568" w14:textId="77777777" w:rsidR="00021C79" w:rsidRPr="00293FAE"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We have nothing to report in this regard.</w:t>
      </w:r>
    </w:p>
    <w:p w14:paraId="00DA16F5" w14:textId="77777777" w:rsidR="00021C79" w:rsidRDefault="00021C79" w:rsidP="00906E88">
      <w:pPr>
        <w:jc w:val="both"/>
        <w:rPr>
          <w:rFonts w:asciiTheme="minorHAnsi" w:hAnsiTheme="minorHAnsi" w:cstheme="minorHAnsi"/>
          <w:b/>
          <w:bCs/>
          <w:sz w:val="20"/>
          <w:szCs w:val="20"/>
        </w:rPr>
      </w:pPr>
    </w:p>
    <w:p w14:paraId="7D9CE846" w14:textId="0530F1D8" w:rsidR="00021C79" w:rsidRDefault="00021C79" w:rsidP="00906E88">
      <w:pPr>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Opinion on other matter prescribed by the Companies Act 2006</w:t>
      </w:r>
    </w:p>
    <w:p w14:paraId="41BAA0E5" w14:textId="77777777" w:rsidR="00906E88" w:rsidRPr="00293FAE" w:rsidRDefault="00906E88" w:rsidP="00906E88">
      <w:pPr>
        <w:ind w:left="567"/>
        <w:jc w:val="both"/>
        <w:rPr>
          <w:rFonts w:asciiTheme="minorHAnsi" w:hAnsiTheme="minorHAnsi" w:cstheme="minorHAnsi"/>
          <w:b/>
          <w:bCs/>
          <w:sz w:val="20"/>
          <w:szCs w:val="20"/>
        </w:rPr>
      </w:pPr>
    </w:p>
    <w:p w14:paraId="0787D31F" w14:textId="77777777" w:rsidR="00021C79" w:rsidRPr="00293FAE" w:rsidRDefault="00021C79" w:rsidP="00906E88">
      <w:pPr>
        <w:ind w:left="567"/>
        <w:jc w:val="both"/>
        <w:rPr>
          <w:rFonts w:asciiTheme="minorHAnsi" w:hAnsiTheme="minorHAnsi" w:cstheme="minorHAnsi"/>
          <w:b/>
          <w:bCs/>
          <w:sz w:val="20"/>
          <w:szCs w:val="20"/>
        </w:rPr>
      </w:pPr>
      <w:r w:rsidRPr="00293FAE">
        <w:rPr>
          <w:rFonts w:asciiTheme="minorHAnsi" w:hAnsiTheme="minorHAnsi" w:cstheme="minorHAnsi"/>
          <w:sz w:val="20"/>
          <w:szCs w:val="20"/>
        </w:rPr>
        <w:t>In our opinion based on the work undertaken in the course of our audit</w:t>
      </w:r>
    </w:p>
    <w:p w14:paraId="00BB1253" w14:textId="77777777" w:rsidR="00021C79" w:rsidRPr="00293FAE" w:rsidRDefault="00021C79" w:rsidP="00906E88">
      <w:pPr>
        <w:pStyle w:val="ListParagraph"/>
        <w:numPr>
          <w:ilvl w:val="0"/>
          <w:numId w:val="28"/>
        </w:numPr>
        <w:jc w:val="both"/>
        <w:rPr>
          <w:rFonts w:asciiTheme="minorHAnsi" w:hAnsiTheme="minorHAnsi" w:cstheme="minorHAnsi"/>
          <w:sz w:val="20"/>
          <w:szCs w:val="20"/>
        </w:rPr>
      </w:pPr>
      <w:r w:rsidRPr="00293FAE">
        <w:rPr>
          <w:rFonts w:asciiTheme="minorHAnsi" w:hAnsiTheme="minorHAnsi" w:cstheme="minorHAnsi"/>
          <w:sz w:val="20"/>
          <w:szCs w:val="20"/>
        </w:rPr>
        <w:t>the information given in the strategic report and the directors' report for the financial year for which the financial statements are prepared is consistent with the financial statements; and</w:t>
      </w:r>
    </w:p>
    <w:p w14:paraId="23BAA743" w14:textId="77777777" w:rsidR="00021C79" w:rsidRPr="00293FAE" w:rsidRDefault="00021C79" w:rsidP="00906E88">
      <w:pPr>
        <w:pStyle w:val="ListParagraph"/>
        <w:numPr>
          <w:ilvl w:val="0"/>
          <w:numId w:val="28"/>
        </w:numPr>
        <w:jc w:val="both"/>
        <w:rPr>
          <w:rFonts w:asciiTheme="minorHAnsi" w:hAnsiTheme="minorHAnsi" w:cstheme="minorHAnsi"/>
          <w:sz w:val="20"/>
          <w:szCs w:val="20"/>
        </w:rPr>
      </w:pPr>
      <w:r w:rsidRPr="00293FAE">
        <w:rPr>
          <w:rFonts w:asciiTheme="minorHAnsi" w:hAnsiTheme="minorHAnsi" w:cstheme="minorHAnsi"/>
          <w:sz w:val="20"/>
          <w:szCs w:val="20"/>
        </w:rPr>
        <w:t>the strategic report and directors’ report have been prepared in accordance with applicable legal requirements.</w:t>
      </w:r>
    </w:p>
    <w:p w14:paraId="4AAF7627" w14:textId="77777777" w:rsidR="00021C79" w:rsidRPr="00293FAE" w:rsidRDefault="00021C79" w:rsidP="00906E88">
      <w:pPr>
        <w:pStyle w:val="ListParagraph"/>
        <w:ind w:left="1287"/>
        <w:jc w:val="both"/>
        <w:rPr>
          <w:rFonts w:asciiTheme="minorHAnsi" w:hAnsiTheme="minorHAnsi" w:cstheme="minorHAnsi"/>
          <w:sz w:val="20"/>
          <w:szCs w:val="20"/>
        </w:rPr>
      </w:pPr>
    </w:p>
    <w:p w14:paraId="4854A014" w14:textId="13394FDD" w:rsidR="00021C79" w:rsidRDefault="00021C79" w:rsidP="00906E88">
      <w:pPr>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Matters on which we are required to report by exception</w:t>
      </w:r>
    </w:p>
    <w:p w14:paraId="18B99E9D" w14:textId="77777777" w:rsidR="00906E88" w:rsidRPr="00293FAE" w:rsidRDefault="00906E88" w:rsidP="00906E88">
      <w:pPr>
        <w:ind w:left="567"/>
        <w:jc w:val="both"/>
        <w:rPr>
          <w:rFonts w:asciiTheme="minorHAnsi" w:hAnsiTheme="minorHAnsi" w:cstheme="minorHAnsi"/>
          <w:b/>
          <w:bCs/>
          <w:sz w:val="20"/>
          <w:szCs w:val="20"/>
        </w:rPr>
      </w:pPr>
    </w:p>
    <w:p w14:paraId="718E029E" w14:textId="2406B1E5" w:rsidR="00021C79"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In light of the knowledge and understanding of the Group and the Parent Company and their environment obtained in the course of the audit, we have not identified material misstatements in the strategic report or the directors’ report.</w:t>
      </w:r>
    </w:p>
    <w:p w14:paraId="2FE37542" w14:textId="77777777" w:rsidR="00906E88" w:rsidRPr="00293FAE" w:rsidRDefault="00906E88" w:rsidP="00906E88">
      <w:pPr>
        <w:ind w:left="567"/>
        <w:jc w:val="both"/>
        <w:rPr>
          <w:rFonts w:asciiTheme="minorHAnsi" w:hAnsiTheme="minorHAnsi" w:cstheme="minorHAnsi"/>
          <w:b/>
          <w:bCs/>
          <w:sz w:val="20"/>
          <w:szCs w:val="20"/>
        </w:rPr>
      </w:pPr>
    </w:p>
    <w:p w14:paraId="4FF53C41" w14:textId="1CB87B50" w:rsidR="00906E88"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We have nothing to report in respect of the following matters where the Companies Act 2006 requires us to report to you if, in our opinion:</w:t>
      </w:r>
    </w:p>
    <w:p w14:paraId="6C5F7FE8" w14:textId="77777777" w:rsidR="00906E88" w:rsidRPr="00293FAE" w:rsidRDefault="00906E88" w:rsidP="00906E88">
      <w:pPr>
        <w:ind w:left="567"/>
        <w:jc w:val="both"/>
        <w:rPr>
          <w:rFonts w:asciiTheme="minorHAnsi" w:hAnsiTheme="minorHAnsi" w:cstheme="minorHAnsi"/>
          <w:sz w:val="20"/>
          <w:szCs w:val="20"/>
        </w:rPr>
      </w:pPr>
    </w:p>
    <w:p w14:paraId="66499A43" w14:textId="77777777" w:rsidR="00021C79" w:rsidRPr="00293FAE" w:rsidRDefault="00021C79" w:rsidP="00906E88">
      <w:pPr>
        <w:pStyle w:val="ListParagraph"/>
        <w:numPr>
          <w:ilvl w:val="0"/>
          <w:numId w:val="29"/>
        </w:numPr>
        <w:jc w:val="both"/>
        <w:rPr>
          <w:rFonts w:asciiTheme="minorHAnsi" w:hAnsiTheme="minorHAnsi" w:cstheme="minorHAnsi"/>
          <w:sz w:val="20"/>
          <w:szCs w:val="20"/>
        </w:rPr>
      </w:pPr>
      <w:r w:rsidRPr="00293FAE">
        <w:rPr>
          <w:rFonts w:asciiTheme="minorHAnsi" w:hAnsiTheme="minorHAnsi" w:cstheme="minorHAnsi"/>
          <w:sz w:val="20"/>
          <w:szCs w:val="20"/>
        </w:rPr>
        <w:t xml:space="preserve">adequate accounting records have not been kept by the parent </w:t>
      </w:r>
      <w:r>
        <w:rPr>
          <w:rFonts w:asciiTheme="minorHAnsi" w:hAnsiTheme="minorHAnsi" w:cstheme="minorHAnsi"/>
          <w:sz w:val="20"/>
          <w:szCs w:val="20"/>
        </w:rPr>
        <w:t>Company</w:t>
      </w:r>
      <w:r w:rsidRPr="00293FAE">
        <w:rPr>
          <w:rFonts w:asciiTheme="minorHAnsi" w:hAnsiTheme="minorHAnsi" w:cstheme="minorHAnsi"/>
          <w:sz w:val="20"/>
          <w:szCs w:val="20"/>
        </w:rPr>
        <w:t>, or returns adequate for our audit have not been received from branches not visited by us; or</w:t>
      </w:r>
    </w:p>
    <w:p w14:paraId="30AFDAD3" w14:textId="77777777" w:rsidR="00021C79" w:rsidRPr="00293FAE" w:rsidRDefault="00021C79" w:rsidP="00906E88">
      <w:pPr>
        <w:pStyle w:val="ListParagraph"/>
        <w:numPr>
          <w:ilvl w:val="0"/>
          <w:numId w:val="29"/>
        </w:numPr>
        <w:jc w:val="both"/>
        <w:rPr>
          <w:rFonts w:asciiTheme="minorHAnsi" w:hAnsiTheme="minorHAnsi" w:cstheme="minorHAnsi"/>
          <w:sz w:val="20"/>
          <w:szCs w:val="20"/>
        </w:rPr>
      </w:pPr>
      <w:r w:rsidRPr="00293FAE">
        <w:rPr>
          <w:rFonts w:asciiTheme="minorHAnsi" w:hAnsiTheme="minorHAnsi" w:cstheme="minorHAnsi"/>
          <w:sz w:val="20"/>
          <w:szCs w:val="20"/>
        </w:rPr>
        <w:t xml:space="preserve">the parent </w:t>
      </w:r>
      <w:r>
        <w:rPr>
          <w:rFonts w:asciiTheme="minorHAnsi" w:hAnsiTheme="minorHAnsi" w:cstheme="minorHAnsi"/>
          <w:sz w:val="20"/>
          <w:szCs w:val="20"/>
        </w:rPr>
        <w:t>Company</w:t>
      </w:r>
      <w:r w:rsidRPr="00293FAE">
        <w:rPr>
          <w:rFonts w:asciiTheme="minorHAnsi" w:hAnsiTheme="minorHAnsi" w:cstheme="minorHAnsi"/>
          <w:sz w:val="20"/>
          <w:szCs w:val="20"/>
        </w:rPr>
        <w:t xml:space="preserve"> financial statements are not in agreement with the accounting records and returns; or</w:t>
      </w:r>
    </w:p>
    <w:p w14:paraId="656AAC5D" w14:textId="77777777" w:rsidR="00021C79" w:rsidRPr="00293FAE" w:rsidRDefault="00021C79" w:rsidP="00906E88">
      <w:pPr>
        <w:pStyle w:val="ListParagraph"/>
        <w:numPr>
          <w:ilvl w:val="0"/>
          <w:numId w:val="29"/>
        </w:numPr>
        <w:jc w:val="both"/>
        <w:rPr>
          <w:rFonts w:asciiTheme="minorHAnsi" w:hAnsiTheme="minorHAnsi" w:cstheme="minorHAnsi"/>
          <w:sz w:val="20"/>
          <w:szCs w:val="20"/>
        </w:rPr>
      </w:pPr>
      <w:r w:rsidRPr="00293FAE">
        <w:rPr>
          <w:rFonts w:asciiTheme="minorHAnsi" w:hAnsiTheme="minorHAnsi" w:cstheme="minorHAnsi"/>
          <w:sz w:val="20"/>
          <w:szCs w:val="20"/>
        </w:rPr>
        <w:t>certain disclosures of directors' remuneration specified by law are not made; or</w:t>
      </w:r>
    </w:p>
    <w:p w14:paraId="48635236" w14:textId="77777777" w:rsidR="00021C79" w:rsidRPr="00293FAE" w:rsidRDefault="00021C79" w:rsidP="00906E88">
      <w:pPr>
        <w:pStyle w:val="ListParagraph"/>
        <w:numPr>
          <w:ilvl w:val="0"/>
          <w:numId w:val="29"/>
        </w:numPr>
        <w:jc w:val="both"/>
        <w:rPr>
          <w:rFonts w:asciiTheme="minorHAnsi" w:hAnsiTheme="minorHAnsi" w:cstheme="minorHAnsi"/>
          <w:sz w:val="20"/>
          <w:szCs w:val="20"/>
        </w:rPr>
      </w:pPr>
      <w:r w:rsidRPr="00293FAE">
        <w:rPr>
          <w:rFonts w:asciiTheme="minorHAnsi" w:hAnsiTheme="minorHAnsi" w:cstheme="minorHAnsi"/>
          <w:sz w:val="20"/>
          <w:szCs w:val="20"/>
        </w:rPr>
        <w:t>we have not received all the information and explanations we require for our audit.</w:t>
      </w:r>
    </w:p>
    <w:p w14:paraId="2555C712" w14:textId="77777777" w:rsidR="00021C79" w:rsidRPr="00293FAE" w:rsidRDefault="00021C79" w:rsidP="00906E88">
      <w:pPr>
        <w:pStyle w:val="ListParagraph"/>
        <w:ind w:left="1287"/>
        <w:jc w:val="both"/>
        <w:rPr>
          <w:rFonts w:asciiTheme="minorHAnsi" w:hAnsiTheme="minorHAnsi" w:cstheme="minorHAnsi"/>
          <w:sz w:val="20"/>
          <w:szCs w:val="20"/>
        </w:rPr>
      </w:pPr>
    </w:p>
    <w:p w14:paraId="66C2D521" w14:textId="26BACAF0" w:rsidR="00021C79" w:rsidRDefault="00021C79" w:rsidP="00906E88">
      <w:pPr>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Responsibilities of the directors for the financial statements</w:t>
      </w:r>
    </w:p>
    <w:p w14:paraId="67082324" w14:textId="77777777" w:rsidR="00906E88" w:rsidRPr="00293FAE" w:rsidRDefault="00906E88" w:rsidP="00906E88">
      <w:pPr>
        <w:ind w:left="567"/>
        <w:jc w:val="both"/>
        <w:rPr>
          <w:rFonts w:asciiTheme="minorHAnsi" w:hAnsiTheme="minorHAnsi" w:cstheme="minorHAnsi"/>
          <w:b/>
          <w:bCs/>
          <w:sz w:val="20"/>
          <w:szCs w:val="20"/>
        </w:rPr>
      </w:pPr>
    </w:p>
    <w:p w14:paraId="5B7739CA" w14:textId="407ACF6B" w:rsidR="00021C79" w:rsidRPr="00293FAE"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As explained more fully in the directors’ responsibilities statement set out on page</w:t>
      </w:r>
      <w:r w:rsidR="0027586A">
        <w:rPr>
          <w:rFonts w:asciiTheme="minorHAnsi" w:hAnsiTheme="minorHAnsi" w:cstheme="minorHAnsi"/>
          <w:sz w:val="20"/>
          <w:szCs w:val="20"/>
        </w:rPr>
        <w:t>s</w:t>
      </w:r>
      <w:r w:rsidRPr="00293FAE">
        <w:rPr>
          <w:rFonts w:asciiTheme="minorHAnsi" w:hAnsiTheme="minorHAnsi" w:cstheme="minorHAnsi"/>
          <w:sz w:val="20"/>
          <w:szCs w:val="20"/>
        </w:rPr>
        <w:t xml:space="preserve"> </w:t>
      </w:r>
      <w:r>
        <w:rPr>
          <w:rFonts w:asciiTheme="minorHAnsi" w:hAnsiTheme="minorHAnsi" w:cstheme="minorHAnsi"/>
          <w:sz w:val="20"/>
          <w:szCs w:val="20"/>
        </w:rPr>
        <w:t>21</w:t>
      </w:r>
      <w:r w:rsidR="0027586A">
        <w:rPr>
          <w:rFonts w:asciiTheme="minorHAnsi" w:hAnsiTheme="minorHAnsi" w:cstheme="minorHAnsi"/>
          <w:sz w:val="20"/>
          <w:szCs w:val="20"/>
        </w:rPr>
        <w:t xml:space="preserve"> and 22</w:t>
      </w:r>
      <w:r w:rsidRPr="00293FAE">
        <w:rPr>
          <w:rFonts w:asciiTheme="minorHAnsi" w:hAnsiTheme="minorHAnsi" w:cstheme="minorHAnsi"/>
          <w:sz w:val="20"/>
          <w:szCs w:val="20"/>
        </w:rPr>
        <w:t xml:space="preserve"> the directors are responsible for the preparation of the financial statements and for being satisfied that they give a true and fair view, and for such internal control as the directors determine is necessary to enable the preparation of financial statements that are free from material misstatement, whether due to fraud or error.</w:t>
      </w:r>
    </w:p>
    <w:p w14:paraId="07F0DC51" w14:textId="77777777" w:rsidR="00021C79" w:rsidRPr="00293FAE" w:rsidRDefault="00021C79" w:rsidP="00906E88">
      <w:pPr>
        <w:ind w:left="567"/>
        <w:jc w:val="both"/>
        <w:rPr>
          <w:rFonts w:asciiTheme="minorHAnsi" w:hAnsiTheme="minorHAnsi" w:cstheme="minorHAnsi"/>
          <w:sz w:val="20"/>
          <w:szCs w:val="20"/>
        </w:rPr>
      </w:pPr>
    </w:p>
    <w:p w14:paraId="3E40D269" w14:textId="77777777" w:rsidR="00021C79" w:rsidRPr="00293FAE"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 xml:space="preserve">In preparing the financial statements, the directors are responsible for assessing the Group’s and Parent Company’s ability to continue as a going concern, disclosing, as applicable, matters related to going concern </w:t>
      </w:r>
      <w:r w:rsidRPr="00293FAE">
        <w:rPr>
          <w:rFonts w:asciiTheme="minorHAnsi" w:hAnsiTheme="minorHAnsi" w:cstheme="minorHAnsi"/>
          <w:sz w:val="20"/>
          <w:szCs w:val="20"/>
        </w:rPr>
        <w:lastRenderedPageBreak/>
        <w:t>and using the going concern basis of accounting unless the directors either intend to liquidate the group or the Parent Company or to cease operations, or have no realistic alternative but to do so.</w:t>
      </w:r>
    </w:p>
    <w:p w14:paraId="57D4EED1" w14:textId="77777777" w:rsidR="00021C79" w:rsidRPr="00293FAE" w:rsidRDefault="00021C79" w:rsidP="00906E88">
      <w:pPr>
        <w:ind w:left="567"/>
        <w:jc w:val="both"/>
        <w:rPr>
          <w:rFonts w:asciiTheme="minorHAnsi" w:hAnsiTheme="minorHAnsi" w:cstheme="minorHAnsi"/>
          <w:sz w:val="20"/>
          <w:szCs w:val="20"/>
        </w:rPr>
      </w:pPr>
    </w:p>
    <w:p w14:paraId="1EDABE9D" w14:textId="3E3900A2" w:rsidR="00021C79" w:rsidRDefault="00021C79" w:rsidP="00906E88">
      <w:pPr>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Auditor’s responsibilities for the audit of the financial statements</w:t>
      </w:r>
    </w:p>
    <w:p w14:paraId="2BDA178D" w14:textId="77777777" w:rsidR="00906E88" w:rsidRPr="00293FAE" w:rsidRDefault="00906E88" w:rsidP="00906E88">
      <w:pPr>
        <w:ind w:left="567"/>
        <w:jc w:val="both"/>
        <w:rPr>
          <w:rFonts w:asciiTheme="minorHAnsi" w:hAnsiTheme="minorHAnsi" w:cstheme="minorHAnsi"/>
          <w:b/>
          <w:bCs/>
          <w:sz w:val="20"/>
          <w:szCs w:val="20"/>
        </w:rPr>
      </w:pPr>
    </w:p>
    <w:p w14:paraId="48CF5C16" w14:textId="77777777" w:rsidR="00021C79" w:rsidRPr="00293FAE"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w:t>
      </w:r>
    </w:p>
    <w:p w14:paraId="560C83AB" w14:textId="77777777" w:rsidR="00021C79" w:rsidRPr="00293FAE" w:rsidRDefault="00021C79" w:rsidP="00906E88">
      <w:pPr>
        <w:ind w:left="567"/>
        <w:jc w:val="both"/>
        <w:rPr>
          <w:rFonts w:asciiTheme="minorHAnsi" w:hAnsiTheme="minorHAnsi" w:cstheme="minorHAnsi"/>
          <w:sz w:val="20"/>
          <w:szCs w:val="20"/>
        </w:rPr>
      </w:pPr>
    </w:p>
    <w:p w14:paraId="3924227E" w14:textId="77777777" w:rsidR="00021C79" w:rsidRPr="00293FAE"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Misstatements can arise from fraud or error and are considered material if, individually or in the aggregate, they could reasonably be expected to influence the economic decisions of users taken on the basis of these financial statements.</w:t>
      </w:r>
    </w:p>
    <w:p w14:paraId="3A4C20C7" w14:textId="77777777" w:rsidR="00021C79" w:rsidRPr="00293FAE" w:rsidRDefault="00021C79" w:rsidP="00906E88">
      <w:pPr>
        <w:ind w:left="567"/>
        <w:jc w:val="both"/>
        <w:rPr>
          <w:rFonts w:asciiTheme="minorHAnsi" w:hAnsiTheme="minorHAnsi" w:cstheme="minorHAnsi"/>
          <w:sz w:val="20"/>
          <w:szCs w:val="20"/>
        </w:rPr>
      </w:pPr>
    </w:p>
    <w:p w14:paraId="15924671" w14:textId="77777777" w:rsidR="00021C79"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A further description of our responsibilities for the audit of the financial statements is located on the Financial Reporting Council’s website at: www.frc.org.uk/auditorsresponsibilities. This description forms part of our auditor’s report.</w:t>
      </w:r>
    </w:p>
    <w:p w14:paraId="27A50FDB" w14:textId="77777777" w:rsidR="00021C79" w:rsidRDefault="00021C79" w:rsidP="00906E88">
      <w:pPr>
        <w:ind w:left="567"/>
        <w:jc w:val="both"/>
        <w:rPr>
          <w:rFonts w:asciiTheme="minorHAnsi" w:hAnsiTheme="minorHAnsi" w:cstheme="minorHAnsi"/>
          <w:sz w:val="20"/>
          <w:szCs w:val="20"/>
        </w:rPr>
      </w:pPr>
    </w:p>
    <w:p w14:paraId="025DFDE2" w14:textId="68C647C0" w:rsidR="00021C79" w:rsidRDefault="00021C79" w:rsidP="00906E88">
      <w:pPr>
        <w:ind w:left="567"/>
        <w:jc w:val="both"/>
        <w:rPr>
          <w:rFonts w:asciiTheme="minorHAnsi" w:hAnsiTheme="minorHAnsi" w:cstheme="minorHAnsi"/>
          <w:b/>
          <w:bCs/>
          <w:sz w:val="20"/>
          <w:szCs w:val="20"/>
        </w:rPr>
      </w:pPr>
      <w:r w:rsidRPr="00021C79">
        <w:rPr>
          <w:rFonts w:asciiTheme="minorHAnsi" w:hAnsiTheme="minorHAnsi" w:cstheme="minorHAnsi"/>
          <w:b/>
          <w:bCs/>
          <w:sz w:val="20"/>
          <w:szCs w:val="20"/>
        </w:rPr>
        <w:t>Independence</w:t>
      </w:r>
    </w:p>
    <w:p w14:paraId="19BB6E30" w14:textId="77777777" w:rsidR="00906E88" w:rsidRPr="00021C79" w:rsidRDefault="00906E88" w:rsidP="00906E88">
      <w:pPr>
        <w:ind w:left="567"/>
        <w:jc w:val="both"/>
        <w:rPr>
          <w:rFonts w:asciiTheme="minorHAnsi" w:hAnsiTheme="minorHAnsi" w:cstheme="minorHAnsi"/>
          <w:b/>
          <w:bCs/>
          <w:sz w:val="20"/>
          <w:szCs w:val="20"/>
        </w:rPr>
      </w:pPr>
    </w:p>
    <w:p w14:paraId="6AE178DA" w14:textId="467EEE52" w:rsidR="00021C79" w:rsidRDefault="00021C79" w:rsidP="00906E88">
      <w:pPr>
        <w:ind w:left="567"/>
        <w:jc w:val="both"/>
        <w:rPr>
          <w:rFonts w:asciiTheme="minorHAnsi" w:hAnsiTheme="minorHAnsi" w:cstheme="minorHAnsi"/>
          <w:sz w:val="20"/>
          <w:szCs w:val="20"/>
        </w:rPr>
      </w:pPr>
      <w:r>
        <w:rPr>
          <w:rFonts w:asciiTheme="minorHAnsi" w:hAnsiTheme="minorHAnsi" w:cstheme="minorHAnsi"/>
          <w:sz w:val="20"/>
          <w:szCs w:val="20"/>
        </w:rPr>
        <w:t xml:space="preserve">We were appointed by the Audit Committee on 19 October 2022 and therefore, our period of uninterrupted engagement is less than one year covering the financial year ending 30 June 2021. We have fulfilled our ethical responsibilities under, and we remain independent of the Group in accordance with, UK ethical requirements including the FRS Ethical Standard as applied to listed public interest entities. </w:t>
      </w:r>
    </w:p>
    <w:p w14:paraId="0E899330" w14:textId="77777777" w:rsidR="00906E88" w:rsidRDefault="00906E88" w:rsidP="00906E88">
      <w:pPr>
        <w:ind w:left="567"/>
        <w:jc w:val="both"/>
        <w:rPr>
          <w:rFonts w:asciiTheme="minorHAnsi" w:hAnsiTheme="minorHAnsi" w:cstheme="minorHAnsi"/>
          <w:sz w:val="20"/>
          <w:szCs w:val="20"/>
        </w:rPr>
      </w:pPr>
    </w:p>
    <w:p w14:paraId="66E6346A" w14:textId="77777777" w:rsidR="00021C79" w:rsidRDefault="00021C79" w:rsidP="00906E88">
      <w:pPr>
        <w:ind w:left="567"/>
        <w:jc w:val="both"/>
        <w:rPr>
          <w:rFonts w:asciiTheme="minorHAnsi" w:hAnsiTheme="minorHAnsi" w:cstheme="minorHAnsi"/>
          <w:sz w:val="20"/>
          <w:szCs w:val="20"/>
        </w:rPr>
      </w:pPr>
      <w:r>
        <w:rPr>
          <w:rFonts w:asciiTheme="minorHAnsi" w:hAnsiTheme="minorHAnsi" w:cstheme="minorHAnsi"/>
          <w:sz w:val="20"/>
          <w:szCs w:val="20"/>
        </w:rPr>
        <w:t xml:space="preserve">The non-audit services prohibited by the FRC’s Ethical Standard were not provided to the Group or the Company and we remain independent of the Group and the Company in conduction our audit. </w:t>
      </w:r>
    </w:p>
    <w:p w14:paraId="2875A299" w14:textId="77777777" w:rsidR="00021C79" w:rsidRPr="00293FAE" w:rsidRDefault="00021C79" w:rsidP="00906E88">
      <w:pPr>
        <w:ind w:left="567"/>
        <w:jc w:val="both"/>
        <w:rPr>
          <w:rFonts w:asciiTheme="minorHAnsi" w:hAnsiTheme="minorHAnsi" w:cstheme="minorHAnsi"/>
          <w:sz w:val="20"/>
          <w:szCs w:val="20"/>
        </w:rPr>
      </w:pPr>
    </w:p>
    <w:p w14:paraId="43EB8420" w14:textId="4EE05248" w:rsidR="00021C79" w:rsidRDefault="00021C79" w:rsidP="00906E88">
      <w:pPr>
        <w:ind w:left="567"/>
        <w:jc w:val="both"/>
        <w:rPr>
          <w:rFonts w:asciiTheme="minorHAnsi" w:hAnsiTheme="minorHAnsi" w:cstheme="minorHAnsi"/>
          <w:b/>
          <w:bCs/>
          <w:sz w:val="20"/>
          <w:szCs w:val="20"/>
        </w:rPr>
      </w:pPr>
      <w:r w:rsidRPr="00293FAE">
        <w:rPr>
          <w:rFonts w:asciiTheme="minorHAnsi" w:hAnsiTheme="minorHAnsi" w:cstheme="minorHAnsi"/>
          <w:b/>
          <w:bCs/>
          <w:sz w:val="20"/>
          <w:szCs w:val="20"/>
        </w:rPr>
        <w:t>Use of our report</w:t>
      </w:r>
    </w:p>
    <w:p w14:paraId="0EC176B1" w14:textId="77777777" w:rsidR="00906E88" w:rsidRPr="00293FAE" w:rsidRDefault="00906E88" w:rsidP="00906E88">
      <w:pPr>
        <w:ind w:left="567"/>
        <w:jc w:val="both"/>
        <w:rPr>
          <w:rFonts w:asciiTheme="minorHAnsi" w:hAnsiTheme="minorHAnsi" w:cstheme="minorHAnsi"/>
          <w:b/>
          <w:bCs/>
          <w:sz w:val="20"/>
          <w:szCs w:val="20"/>
        </w:rPr>
      </w:pPr>
    </w:p>
    <w:p w14:paraId="3D389079" w14:textId="77777777" w:rsidR="00021C79" w:rsidRPr="00293FAE" w:rsidRDefault="00021C79" w:rsidP="00906E88">
      <w:pPr>
        <w:ind w:left="567"/>
        <w:jc w:val="both"/>
        <w:rPr>
          <w:rFonts w:asciiTheme="minorHAnsi" w:hAnsiTheme="minorHAnsi" w:cstheme="minorHAnsi"/>
          <w:sz w:val="20"/>
          <w:szCs w:val="20"/>
        </w:rPr>
      </w:pPr>
      <w:r w:rsidRPr="00293FAE">
        <w:rPr>
          <w:rFonts w:asciiTheme="minorHAnsi" w:hAnsiTheme="minorHAnsi" w:cstheme="minorHAnsi"/>
          <w:sz w:val="20"/>
          <w:szCs w:val="20"/>
        </w:rPr>
        <w:t xml:space="preserve">This report is made solely to the </w:t>
      </w:r>
      <w:r>
        <w:rPr>
          <w:rFonts w:asciiTheme="minorHAnsi" w:hAnsiTheme="minorHAnsi" w:cstheme="minorHAnsi"/>
          <w:sz w:val="20"/>
          <w:szCs w:val="20"/>
        </w:rPr>
        <w:t>C</w:t>
      </w:r>
      <w:r w:rsidRPr="00293FAE">
        <w:rPr>
          <w:rFonts w:asciiTheme="minorHAnsi" w:hAnsiTheme="minorHAnsi" w:cstheme="minorHAnsi"/>
          <w:sz w:val="20"/>
          <w:szCs w:val="20"/>
        </w:rPr>
        <w:t xml:space="preserve">ompany's members, as a body, in accordance with Chapter 3 of Part 16 of the Companies Act 2006. Our audit work has been undertaken so that we might state to the </w:t>
      </w:r>
      <w:r>
        <w:rPr>
          <w:rFonts w:asciiTheme="minorHAnsi" w:hAnsiTheme="minorHAnsi" w:cstheme="minorHAnsi"/>
          <w:sz w:val="20"/>
          <w:szCs w:val="20"/>
        </w:rPr>
        <w:t>C</w:t>
      </w:r>
      <w:r w:rsidRPr="00293FAE">
        <w:rPr>
          <w:rFonts w:asciiTheme="minorHAnsi" w:hAnsiTheme="minorHAnsi" w:cstheme="minorHAnsi"/>
          <w:sz w:val="20"/>
          <w:szCs w:val="20"/>
        </w:rPr>
        <w:t xml:space="preserve">ompany's members those matters we are required to state to them in an auditor's report and for no other purpose. To the fullest extent permitted by law, we do not accept or assume responsibility to anyone other than the </w:t>
      </w:r>
      <w:r>
        <w:rPr>
          <w:rFonts w:asciiTheme="minorHAnsi" w:hAnsiTheme="minorHAnsi" w:cstheme="minorHAnsi"/>
          <w:sz w:val="20"/>
          <w:szCs w:val="20"/>
        </w:rPr>
        <w:t>Company</w:t>
      </w:r>
      <w:r w:rsidRPr="00293FAE">
        <w:rPr>
          <w:rFonts w:asciiTheme="minorHAnsi" w:hAnsiTheme="minorHAnsi" w:cstheme="minorHAnsi"/>
          <w:sz w:val="20"/>
          <w:szCs w:val="20"/>
        </w:rPr>
        <w:t xml:space="preserve"> and the </w:t>
      </w:r>
      <w:r>
        <w:rPr>
          <w:rFonts w:asciiTheme="minorHAnsi" w:hAnsiTheme="minorHAnsi" w:cstheme="minorHAnsi"/>
          <w:sz w:val="20"/>
          <w:szCs w:val="20"/>
        </w:rPr>
        <w:t>Company</w:t>
      </w:r>
      <w:r w:rsidRPr="00293FAE">
        <w:rPr>
          <w:rFonts w:asciiTheme="minorHAnsi" w:hAnsiTheme="minorHAnsi" w:cstheme="minorHAnsi"/>
          <w:sz w:val="20"/>
          <w:szCs w:val="20"/>
        </w:rPr>
        <w:t>'s members as a body, for our audit work, for this report, or for the opinions we have formed.</w:t>
      </w:r>
    </w:p>
    <w:p w14:paraId="006D4ACA" w14:textId="77777777" w:rsidR="0084198A" w:rsidRPr="0011470A" w:rsidRDefault="0084198A" w:rsidP="00906E88">
      <w:pPr>
        <w:ind w:left="567"/>
        <w:jc w:val="both"/>
        <w:rPr>
          <w:rFonts w:asciiTheme="minorHAnsi" w:eastAsia="Calibri" w:hAnsiTheme="minorHAnsi" w:cstheme="minorHAnsi"/>
          <w:sz w:val="20"/>
          <w:szCs w:val="20"/>
        </w:rPr>
      </w:pPr>
    </w:p>
    <w:p w14:paraId="7BDAD0BD" w14:textId="77777777" w:rsidR="0084198A" w:rsidRPr="0011470A" w:rsidRDefault="0084198A" w:rsidP="00906E88">
      <w:pPr>
        <w:ind w:left="567"/>
        <w:jc w:val="both"/>
        <w:rPr>
          <w:rFonts w:asciiTheme="minorHAnsi" w:eastAsia="Calibri" w:hAnsiTheme="minorHAnsi" w:cstheme="minorHAnsi"/>
          <w:sz w:val="20"/>
          <w:szCs w:val="20"/>
        </w:rPr>
      </w:pPr>
    </w:p>
    <w:p w14:paraId="1486ED0F" w14:textId="2EF3124F" w:rsidR="0084198A" w:rsidRDefault="0084198A" w:rsidP="00906E88">
      <w:pPr>
        <w:ind w:left="567"/>
        <w:jc w:val="both"/>
        <w:rPr>
          <w:rFonts w:asciiTheme="minorHAnsi" w:eastAsia="Calibri" w:hAnsiTheme="minorHAnsi" w:cstheme="minorHAnsi"/>
          <w:sz w:val="20"/>
          <w:szCs w:val="20"/>
        </w:rPr>
      </w:pPr>
    </w:p>
    <w:p w14:paraId="3E122868" w14:textId="59A4F11A" w:rsidR="00906E88" w:rsidRDefault="00906E88" w:rsidP="00906E88">
      <w:pPr>
        <w:ind w:left="567"/>
        <w:jc w:val="both"/>
        <w:rPr>
          <w:rFonts w:asciiTheme="minorHAnsi" w:eastAsia="Calibri" w:hAnsiTheme="minorHAnsi" w:cstheme="minorHAnsi"/>
          <w:sz w:val="20"/>
          <w:szCs w:val="20"/>
        </w:rPr>
      </w:pPr>
    </w:p>
    <w:p w14:paraId="27C24BB0" w14:textId="77777777" w:rsidR="00906E88" w:rsidRPr="0011470A" w:rsidRDefault="00906E88" w:rsidP="00906E88">
      <w:pPr>
        <w:ind w:left="567"/>
        <w:jc w:val="both"/>
        <w:rPr>
          <w:rFonts w:asciiTheme="minorHAnsi" w:eastAsia="Calibri" w:hAnsiTheme="minorHAnsi" w:cstheme="minorHAnsi"/>
          <w:sz w:val="20"/>
          <w:szCs w:val="20"/>
        </w:rPr>
      </w:pPr>
    </w:p>
    <w:p w14:paraId="174103FC" w14:textId="77777777" w:rsidR="0084198A" w:rsidRPr="0011470A" w:rsidRDefault="0084198A" w:rsidP="00906E88">
      <w:pPr>
        <w:ind w:left="567"/>
        <w:jc w:val="both"/>
        <w:rPr>
          <w:rFonts w:asciiTheme="minorHAnsi" w:eastAsia="Calibri" w:hAnsiTheme="minorHAnsi" w:cstheme="minorHAnsi"/>
          <w:sz w:val="20"/>
          <w:szCs w:val="20"/>
        </w:rPr>
      </w:pPr>
    </w:p>
    <w:p w14:paraId="3442A27B" w14:textId="77777777" w:rsidR="0084198A" w:rsidRPr="008356B6" w:rsidRDefault="0084198A" w:rsidP="00906E88">
      <w:pPr>
        <w:ind w:left="567"/>
        <w:jc w:val="both"/>
        <w:rPr>
          <w:rFonts w:asciiTheme="minorHAnsi" w:hAnsiTheme="minorHAnsi" w:cstheme="minorHAnsi"/>
          <w:b/>
          <w:bCs/>
          <w:sz w:val="20"/>
          <w:szCs w:val="20"/>
        </w:rPr>
      </w:pPr>
      <w:r w:rsidRPr="008356B6">
        <w:rPr>
          <w:rFonts w:asciiTheme="minorHAnsi" w:hAnsiTheme="minorHAnsi" w:cstheme="minorHAnsi"/>
          <w:b/>
          <w:bCs/>
          <w:sz w:val="20"/>
          <w:szCs w:val="20"/>
        </w:rPr>
        <w:t>Lorraine Curtis BFP ACA FCCA (Senior Statutory Auditor)</w:t>
      </w:r>
    </w:p>
    <w:p w14:paraId="7B600A8B" w14:textId="77777777" w:rsidR="0084198A" w:rsidRPr="0011470A" w:rsidRDefault="0084198A" w:rsidP="00906E88">
      <w:pPr>
        <w:ind w:left="567"/>
        <w:jc w:val="both"/>
        <w:rPr>
          <w:rFonts w:asciiTheme="minorHAnsi" w:hAnsiTheme="minorHAnsi" w:cstheme="minorHAnsi"/>
          <w:sz w:val="20"/>
          <w:szCs w:val="20"/>
        </w:rPr>
      </w:pPr>
      <w:r w:rsidRPr="0011470A">
        <w:rPr>
          <w:rFonts w:asciiTheme="minorHAnsi" w:hAnsiTheme="minorHAnsi" w:cstheme="minorHAnsi"/>
          <w:sz w:val="20"/>
          <w:szCs w:val="20"/>
        </w:rPr>
        <w:t>for and on behalf of</w:t>
      </w:r>
    </w:p>
    <w:p w14:paraId="2E8169BD" w14:textId="77777777" w:rsidR="0084198A" w:rsidRPr="0011470A" w:rsidRDefault="0084198A" w:rsidP="00906E88">
      <w:pPr>
        <w:ind w:left="567"/>
        <w:jc w:val="both"/>
        <w:rPr>
          <w:rFonts w:asciiTheme="minorHAnsi" w:hAnsiTheme="minorHAnsi" w:cstheme="minorHAnsi"/>
          <w:sz w:val="20"/>
          <w:szCs w:val="20"/>
        </w:rPr>
      </w:pPr>
      <w:r w:rsidRPr="0011470A">
        <w:rPr>
          <w:rFonts w:asciiTheme="minorHAnsi" w:hAnsiTheme="minorHAnsi" w:cstheme="minorHAnsi"/>
          <w:sz w:val="20"/>
          <w:szCs w:val="20"/>
        </w:rPr>
        <w:t>Nordens Audit Limited</w:t>
      </w:r>
    </w:p>
    <w:p w14:paraId="35C23939" w14:textId="77777777" w:rsidR="0084198A" w:rsidRPr="0011470A" w:rsidRDefault="0084198A" w:rsidP="00906E88">
      <w:pPr>
        <w:ind w:left="567"/>
        <w:jc w:val="both"/>
        <w:rPr>
          <w:rFonts w:asciiTheme="minorHAnsi" w:hAnsiTheme="minorHAnsi" w:cstheme="minorHAnsi"/>
          <w:sz w:val="20"/>
          <w:szCs w:val="20"/>
        </w:rPr>
      </w:pPr>
      <w:r w:rsidRPr="0011470A">
        <w:rPr>
          <w:rFonts w:asciiTheme="minorHAnsi" w:hAnsiTheme="minorHAnsi" w:cstheme="minorHAnsi"/>
          <w:sz w:val="20"/>
          <w:szCs w:val="20"/>
        </w:rPr>
        <w:t>Statutory Auditor</w:t>
      </w:r>
    </w:p>
    <w:p w14:paraId="771A1712" w14:textId="77777777" w:rsidR="0084198A" w:rsidRPr="0011470A" w:rsidRDefault="0084198A" w:rsidP="00906E88">
      <w:pPr>
        <w:ind w:left="567"/>
        <w:jc w:val="both"/>
        <w:rPr>
          <w:rFonts w:asciiTheme="minorHAnsi" w:hAnsiTheme="minorHAnsi" w:cstheme="minorHAnsi"/>
          <w:sz w:val="20"/>
          <w:szCs w:val="20"/>
        </w:rPr>
      </w:pPr>
      <w:r w:rsidRPr="0011470A">
        <w:rPr>
          <w:rFonts w:asciiTheme="minorHAnsi" w:hAnsiTheme="minorHAnsi" w:cstheme="minorHAnsi"/>
          <w:sz w:val="20"/>
          <w:szCs w:val="20"/>
        </w:rPr>
        <w:t>Essex</w:t>
      </w:r>
    </w:p>
    <w:p w14:paraId="3EF405CD" w14:textId="77777777" w:rsidR="0084198A" w:rsidRPr="0011470A" w:rsidRDefault="0084198A" w:rsidP="00906E88">
      <w:pPr>
        <w:ind w:left="567"/>
        <w:jc w:val="both"/>
        <w:rPr>
          <w:rFonts w:asciiTheme="minorHAnsi" w:hAnsiTheme="minorHAnsi" w:cstheme="minorHAnsi"/>
          <w:sz w:val="20"/>
          <w:szCs w:val="20"/>
        </w:rPr>
      </w:pPr>
    </w:p>
    <w:p w14:paraId="328F517B" w14:textId="4AFBA29A" w:rsidR="0084198A" w:rsidRPr="0011470A" w:rsidRDefault="0084198A" w:rsidP="00906E88">
      <w:pPr>
        <w:ind w:firstLine="567"/>
        <w:jc w:val="both"/>
        <w:rPr>
          <w:rFonts w:asciiTheme="minorHAnsi" w:eastAsia="Arial Narrow" w:hAnsiTheme="minorHAnsi" w:cstheme="minorHAnsi"/>
          <w:sz w:val="20"/>
          <w:szCs w:val="20"/>
        </w:rPr>
      </w:pPr>
      <w:r w:rsidRPr="00906E88">
        <w:rPr>
          <w:rFonts w:asciiTheme="minorHAnsi" w:eastAsia="Arial Narrow" w:hAnsiTheme="minorHAnsi" w:cstheme="minorHAnsi"/>
          <w:sz w:val="20"/>
          <w:szCs w:val="20"/>
        </w:rPr>
        <w:t>Date:</w:t>
      </w:r>
      <w:r w:rsidR="00906E88">
        <w:rPr>
          <w:rFonts w:asciiTheme="minorHAnsi" w:eastAsia="Arial Narrow" w:hAnsiTheme="minorHAnsi" w:cstheme="minorHAnsi"/>
          <w:sz w:val="20"/>
          <w:szCs w:val="20"/>
        </w:rPr>
        <w:t xml:space="preserve">  27 December 2022</w:t>
      </w:r>
    </w:p>
    <w:p w14:paraId="3F35A484" w14:textId="77777777" w:rsidR="0084198A" w:rsidRDefault="0084198A" w:rsidP="00906E88"/>
    <w:p w14:paraId="54E0F08C" w14:textId="77777777" w:rsidR="00255537" w:rsidRDefault="00255537" w:rsidP="00906E88"/>
    <w:p w14:paraId="3395DF2F" w14:textId="5479066C" w:rsidR="00255537" w:rsidRDefault="00255537" w:rsidP="00906E88">
      <w:pPr>
        <w:rPr>
          <w:rFonts w:asciiTheme="minorHAnsi" w:eastAsia="Calibri" w:hAnsiTheme="minorHAnsi" w:cstheme="minorHAnsi"/>
          <w:sz w:val="20"/>
          <w:szCs w:val="20"/>
          <w:highlight w:val="yellow"/>
        </w:rPr>
      </w:pPr>
    </w:p>
    <w:p w14:paraId="6A2109BE" w14:textId="77777777" w:rsidR="006647F8" w:rsidRDefault="006647F8" w:rsidP="00257128">
      <w:pPr>
        <w:spacing w:before="120" w:line="320" w:lineRule="exact"/>
        <w:jc w:val="both"/>
        <w:rPr>
          <w:rFonts w:asciiTheme="minorHAnsi" w:eastAsia="Calibri" w:hAnsiTheme="minorHAnsi" w:cstheme="minorHAnsi"/>
          <w:sz w:val="20"/>
          <w:szCs w:val="20"/>
          <w:highlight w:val="yellow"/>
        </w:rPr>
        <w:sectPr w:rsidR="006647F8" w:rsidSect="005B324F">
          <w:pgSz w:w="11906" w:h="16838"/>
          <w:pgMar w:top="720" w:right="1558" w:bottom="720" w:left="993" w:header="708" w:footer="708" w:gutter="0"/>
          <w:cols w:space="708"/>
          <w:docGrid w:linePitch="360"/>
        </w:sectPr>
      </w:pPr>
    </w:p>
    <w:p w14:paraId="0312F0EE" w14:textId="77777777" w:rsidR="008B1B6E" w:rsidRPr="00BB3C18" w:rsidRDefault="008B1B6E">
      <w:pPr>
        <w:pStyle w:val="BodyText"/>
        <w:tabs>
          <w:tab w:val="clear" w:pos="1247"/>
          <w:tab w:val="left" w:pos="567"/>
        </w:tabs>
        <w:spacing w:before="0"/>
        <w:ind w:left="0"/>
        <w:jc w:val="both"/>
        <w:rPr>
          <w:rFonts w:asciiTheme="minorHAnsi" w:hAnsiTheme="minorHAnsi" w:cstheme="minorHAnsi"/>
          <w:sz w:val="20"/>
        </w:rPr>
      </w:pPr>
    </w:p>
    <w:tbl>
      <w:tblPr>
        <w:tblW w:w="9781" w:type="dxa"/>
        <w:tblLayout w:type="fixed"/>
        <w:tblLook w:val="00A0" w:firstRow="1" w:lastRow="0" w:firstColumn="1" w:lastColumn="0" w:noHBand="0" w:noVBand="0"/>
      </w:tblPr>
      <w:tblGrid>
        <w:gridCol w:w="1494"/>
        <w:gridCol w:w="1449"/>
        <w:gridCol w:w="236"/>
        <w:gridCol w:w="2066"/>
        <w:gridCol w:w="1276"/>
        <w:gridCol w:w="1417"/>
        <w:gridCol w:w="284"/>
        <w:gridCol w:w="1559"/>
      </w:tblGrid>
      <w:tr w:rsidR="00385C6F" w:rsidRPr="00BB3C18" w14:paraId="0312F100" w14:textId="77777777" w:rsidTr="0089385A">
        <w:tc>
          <w:tcPr>
            <w:tcW w:w="2943" w:type="dxa"/>
            <w:gridSpan w:val="2"/>
          </w:tcPr>
          <w:p w14:paraId="0312F0EF" w14:textId="77777777" w:rsidR="00385C6F" w:rsidRPr="00BB3C18" w:rsidRDefault="00385C6F" w:rsidP="001F29BA">
            <w:pPr>
              <w:jc w:val="right"/>
              <w:rPr>
                <w:rFonts w:asciiTheme="minorHAnsi" w:hAnsiTheme="minorHAnsi" w:cstheme="minorHAnsi"/>
                <w:b/>
                <w:sz w:val="20"/>
                <w:szCs w:val="20"/>
              </w:rPr>
            </w:pPr>
          </w:p>
        </w:tc>
        <w:tc>
          <w:tcPr>
            <w:tcW w:w="236" w:type="dxa"/>
          </w:tcPr>
          <w:p w14:paraId="0312F0F0" w14:textId="77777777" w:rsidR="00385C6F" w:rsidRPr="00BB3C18" w:rsidRDefault="00385C6F" w:rsidP="001F29BA">
            <w:pPr>
              <w:jc w:val="right"/>
              <w:rPr>
                <w:rFonts w:asciiTheme="minorHAnsi" w:hAnsiTheme="minorHAnsi" w:cstheme="minorHAnsi"/>
                <w:b/>
                <w:sz w:val="20"/>
                <w:szCs w:val="20"/>
              </w:rPr>
            </w:pPr>
          </w:p>
        </w:tc>
        <w:tc>
          <w:tcPr>
            <w:tcW w:w="2066" w:type="dxa"/>
          </w:tcPr>
          <w:p w14:paraId="0312F0F1" w14:textId="77777777" w:rsidR="00385C6F" w:rsidRPr="00BB3C18" w:rsidRDefault="00385C6F" w:rsidP="001F29BA">
            <w:pPr>
              <w:jc w:val="right"/>
              <w:rPr>
                <w:rFonts w:asciiTheme="minorHAnsi" w:hAnsiTheme="minorHAnsi" w:cstheme="minorHAnsi"/>
                <w:b/>
                <w:sz w:val="20"/>
                <w:szCs w:val="20"/>
              </w:rPr>
            </w:pPr>
          </w:p>
        </w:tc>
        <w:tc>
          <w:tcPr>
            <w:tcW w:w="1276" w:type="dxa"/>
          </w:tcPr>
          <w:p w14:paraId="0312F0F3" w14:textId="2B6B2E9F" w:rsidR="00385C6F" w:rsidRPr="00BB3C18" w:rsidRDefault="00385C6F" w:rsidP="00F90497">
            <w:pPr>
              <w:jc w:val="center"/>
              <w:rPr>
                <w:rFonts w:asciiTheme="minorHAnsi" w:hAnsiTheme="minorHAnsi" w:cstheme="minorHAnsi"/>
                <w:b/>
                <w:sz w:val="20"/>
                <w:szCs w:val="20"/>
              </w:rPr>
            </w:pPr>
            <w:r w:rsidRPr="00BB3C18">
              <w:rPr>
                <w:rFonts w:asciiTheme="minorHAnsi" w:hAnsiTheme="minorHAnsi" w:cstheme="minorHAnsi"/>
                <w:b/>
                <w:sz w:val="20"/>
                <w:szCs w:val="20"/>
              </w:rPr>
              <w:t>Notes</w:t>
            </w:r>
          </w:p>
        </w:tc>
        <w:tc>
          <w:tcPr>
            <w:tcW w:w="1417" w:type="dxa"/>
          </w:tcPr>
          <w:p w14:paraId="54D6DB05" w14:textId="66710EF0" w:rsidR="002947EF" w:rsidRDefault="005F1232" w:rsidP="00F90497">
            <w:pPr>
              <w:tabs>
                <w:tab w:val="left" w:pos="1065"/>
              </w:tabs>
              <w:ind w:left="-66"/>
              <w:jc w:val="right"/>
              <w:rPr>
                <w:rFonts w:asciiTheme="minorHAnsi" w:hAnsiTheme="minorHAnsi" w:cstheme="minorHAnsi"/>
                <w:b/>
                <w:sz w:val="20"/>
                <w:szCs w:val="20"/>
              </w:rPr>
            </w:pPr>
            <w:r>
              <w:rPr>
                <w:rFonts w:asciiTheme="minorHAnsi" w:hAnsiTheme="minorHAnsi" w:cstheme="minorHAnsi"/>
                <w:b/>
                <w:sz w:val="20"/>
                <w:szCs w:val="20"/>
              </w:rPr>
              <w:t xml:space="preserve">Year ended </w:t>
            </w:r>
          </w:p>
          <w:p w14:paraId="21B9F9DF" w14:textId="77777777" w:rsidR="00385C6F" w:rsidRPr="00BB3C18" w:rsidRDefault="00385C6F" w:rsidP="005F1232">
            <w:pPr>
              <w:tabs>
                <w:tab w:val="left" w:pos="1065"/>
              </w:tabs>
              <w:jc w:val="right"/>
              <w:rPr>
                <w:rFonts w:asciiTheme="minorHAnsi" w:hAnsiTheme="minorHAnsi" w:cstheme="minorHAnsi"/>
                <w:b/>
                <w:sz w:val="20"/>
                <w:szCs w:val="20"/>
              </w:rPr>
            </w:pPr>
            <w:r w:rsidRPr="00BB3C18">
              <w:rPr>
                <w:rFonts w:asciiTheme="minorHAnsi" w:hAnsiTheme="minorHAnsi" w:cstheme="minorHAnsi"/>
                <w:b/>
                <w:sz w:val="20"/>
                <w:szCs w:val="20"/>
              </w:rPr>
              <w:t>30 June</w:t>
            </w:r>
          </w:p>
          <w:p w14:paraId="76B3A8B0" w14:textId="2D68A5AF" w:rsidR="00385C6F" w:rsidRPr="00BB3C18" w:rsidRDefault="00385C6F" w:rsidP="00F90497">
            <w:pPr>
              <w:jc w:val="right"/>
              <w:rPr>
                <w:rFonts w:asciiTheme="minorHAnsi" w:hAnsiTheme="minorHAnsi" w:cstheme="minorHAnsi"/>
                <w:b/>
                <w:sz w:val="20"/>
                <w:szCs w:val="20"/>
              </w:rPr>
            </w:pPr>
            <w:r w:rsidRPr="00BB3C18">
              <w:rPr>
                <w:rFonts w:asciiTheme="minorHAnsi" w:hAnsiTheme="minorHAnsi" w:cstheme="minorHAnsi"/>
                <w:b/>
                <w:sz w:val="20"/>
                <w:szCs w:val="20"/>
              </w:rPr>
              <w:t>20</w:t>
            </w:r>
            <w:r w:rsidR="005F1232">
              <w:rPr>
                <w:rFonts w:asciiTheme="minorHAnsi" w:hAnsiTheme="minorHAnsi" w:cstheme="minorHAnsi"/>
                <w:b/>
                <w:sz w:val="20"/>
                <w:szCs w:val="20"/>
              </w:rPr>
              <w:t>2</w:t>
            </w:r>
            <w:r w:rsidR="00030773">
              <w:rPr>
                <w:rFonts w:asciiTheme="minorHAnsi" w:hAnsiTheme="minorHAnsi" w:cstheme="minorHAnsi"/>
                <w:b/>
                <w:sz w:val="20"/>
                <w:szCs w:val="20"/>
              </w:rPr>
              <w:t>2</w:t>
            </w:r>
          </w:p>
          <w:p w14:paraId="0312F0F5" w14:textId="7FD0B226" w:rsidR="00385C6F" w:rsidRPr="00BB3C18" w:rsidRDefault="00385C6F" w:rsidP="00A31A0E">
            <w:pPr>
              <w:jc w:val="right"/>
              <w:rPr>
                <w:rFonts w:asciiTheme="minorHAnsi" w:hAnsiTheme="minorHAnsi" w:cstheme="minorHAnsi"/>
                <w:sz w:val="20"/>
                <w:szCs w:val="20"/>
              </w:rPr>
            </w:pPr>
            <w:r w:rsidRPr="00BB3C18">
              <w:rPr>
                <w:rFonts w:asciiTheme="minorHAnsi" w:hAnsiTheme="minorHAnsi" w:cstheme="minorHAnsi"/>
                <w:b/>
                <w:sz w:val="20"/>
                <w:szCs w:val="20"/>
              </w:rPr>
              <w:t>£</w:t>
            </w:r>
          </w:p>
        </w:tc>
        <w:tc>
          <w:tcPr>
            <w:tcW w:w="284" w:type="dxa"/>
          </w:tcPr>
          <w:p w14:paraId="0312F0FB" w14:textId="77777777" w:rsidR="00385C6F" w:rsidRPr="00BB3C18" w:rsidRDefault="00385C6F" w:rsidP="001F29BA">
            <w:pPr>
              <w:jc w:val="right"/>
              <w:rPr>
                <w:rFonts w:asciiTheme="minorHAnsi" w:hAnsiTheme="minorHAnsi" w:cstheme="minorHAnsi"/>
                <w:b/>
                <w:sz w:val="20"/>
                <w:szCs w:val="20"/>
              </w:rPr>
            </w:pPr>
          </w:p>
        </w:tc>
        <w:tc>
          <w:tcPr>
            <w:tcW w:w="1559" w:type="dxa"/>
          </w:tcPr>
          <w:p w14:paraId="4E20EF09" w14:textId="15436D17" w:rsidR="005F1232" w:rsidRPr="00BB3C18" w:rsidRDefault="00F02870" w:rsidP="001F29BA">
            <w:pPr>
              <w:jc w:val="right"/>
              <w:rPr>
                <w:rFonts w:asciiTheme="minorHAnsi" w:hAnsiTheme="minorHAnsi" w:cstheme="minorHAnsi"/>
                <w:b/>
                <w:sz w:val="20"/>
                <w:szCs w:val="20"/>
              </w:rPr>
            </w:pPr>
            <w:r>
              <w:rPr>
                <w:rFonts w:asciiTheme="minorHAnsi" w:hAnsiTheme="minorHAnsi" w:cstheme="minorHAnsi"/>
                <w:b/>
                <w:sz w:val="20"/>
                <w:szCs w:val="20"/>
              </w:rPr>
              <w:t>Year</w:t>
            </w:r>
            <w:r w:rsidR="005F1232">
              <w:rPr>
                <w:rFonts w:asciiTheme="minorHAnsi" w:hAnsiTheme="minorHAnsi" w:cstheme="minorHAnsi"/>
                <w:b/>
                <w:sz w:val="20"/>
                <w:szCs w:val="20"/>
              </w:rPr>
              <w:t xml:space="preserve"> ended 30 June </w:t>
            </w:r>
          </w:p>
          <w:p w14:paraId="0312F0FE" w14:textId="4591B0EB" w:rsidR="00385C6F" w:rsidRPr="00BB3C18" w:rsidRDefault="00B058C1" w:rsidP="001F29BA">
            <w:pPr>
              <w:jc w:val="right"/>
              <w:rPr>
                <w:rFonts w:asciiTheme="minorHAnsi" w:hAnsiTheme="minorHAnsi" w:cstheme="minorHAnsi"/>
                <w:b/>
                <w:sz w:val="20"/>
                <w:szCs w:val="20"/>
              </w:rPr>
            </w:pPr>
            <w:r w:rsidRPr="00BB3C18">
              <w:rPr>
                <w:rFonts w:asciiTheme="minorHAnsi" w:hAnsiTheme="minorHAnsi" w:cstheme="minorHAnsi"/>
                <w:b/>
                <w:sz w:val="20"/>
                <w:szCs w:val="20"/>
              </w:rPr>
              <w:t>20</w:t>
            </w:r>
            <w:r>
              <w:rPr>
                <w:rFonts w:asciiTheme="minorHAnsi" w:hAnsiTheme="minorHAnsi" w:cstheme="minorHAnsi"/>
                <w:b/>
                <w:sz w:val="20"/>
                <w:szCs w:val="20"/>
              </w:rPr>
              <w:t>2</w:t>
            </w:r>
            <w:r w:rsidR="00030773">
              <w:rPr>
                <w:rFonts w:asciiTheme="minorHAnsi" w:hAnsiTheme="minorHAnsi" w:cstheme="minorHAnsi"/>
                <w:b/>
                <w:sz w:val="20"/>
                <w:szCs w:val="20"/>
              </w:rPr>
              <w:t>1</w:t>
            </w:r>
          </w:p>
          <w:p w14:paraId="0312F0FF" w14:textId="77777777" w:rsidR="00385C6F" w:rsidRPr="00BB3C18" w:rsidRDefault="00385C6F" w:rsidP="001F29BA">
            <w:pPr>
              <w:jc w:val="right"/>
              <w:rPr>
                <w:rFonts w:asciiTheme="minorHAnsi" w:hAnsiTheme="minorHAnsi" w:cstheme="minorHAnsi"/>
                <w:b/>
                <w:sz w:val="20"/>
                <w:szCs w:val="20"/>
              </w:rPr>
            </w:pPr>
            <w:r w:rsidRPr="00BB3C18">
              <w:rPr>
                <w:rFonts w:asciiTheme="minorHAnsi" w:hAnsiTheme="minorHAnsi" w:cstheme="minorHAnsi"/>
                <w:b/>
                <w:sz w:val="20"/>
                <w:szCs w:val="20"/>
              </w:rPr>
              <w:t>£</w:t>
            </w:r>
          </w:p>
        </w:tc>
      </w:tr>
      <w:tr w:rsidR="00385C6F" w:rsidRPr="00BB3C18" w14:paraId="1850538C" w14:textId="77777777" w:rsidTr="0089385A">
        <w:tc>
          <w:tcPr>
            <w:tcW w:w="2943" w:type="dxa"/>
            <w:gridSpan w:val="2"/>
          </w:tcPr>
          <w:p w14:paraId="614E8477" w14:textId="519D2090" w:rsidR="00385C6F" w:rsidRPr="00BB3C18" w:rsidRDefault="00385C6F" w:rsidP="005F6429">
            <w:pPr>
              <w:rPr>
                <w:rFonts w:asciiTheme="minorHAnsi" w:hAnsiTheme="minorHAnsi" w:cstheme="minorHAnsi"/>
                <w:b/>
                <w:sz w:val="20"/>
                <w:szCs w:val="20"/>
              </w:rPr>
            </w:pPr>
            <w:r w:rsidRPr="00BB3C18">
              <w:rPr>
                <w:rFonts w:asciiTheme="minorHAnsi" w:hAnsiTheme="minorHAnsi" w:cstheme="minorHAnsi"/>
                <w:b/>
                <w:sz w:val="20"/>
                <w:szCs w:val="20"/>
              </w:rPr>
              <w:t>Continuing operations</w:t>
            </w:r>
          </w:p>
        </w:tc>
        <w:tc>
          <w:tcPr>
            <w:tcW w:w="236" w:type="dxa"/>
          </w:tcPr>
          <w:p w14:paraId="1C3CC59D" w14:textId="77777777" w:rsidR="00385C6F" w:rsidRPr="00BB3C18" w:rsidRDefault="00385C6F" w:rsidP="005F6429">
            <w:pPr>
              <w:rPr>
                <w:rFonts w:asciiTheme="minorHAnsi" w:hAnsiTheme="minorHAnsi" w:cstheme="minorHAnsi"/>
                <w:sz w:val="20"/>
                <w:szCs w:val="20"/>
              </w:rPr>
            </w:pPr>
          </w:p>
        </w:tc>
        <w:tc>
          <w:tcPr>
            <w:tcW w:w="2066" w:type="dxa"/>
          </w:tcPr>
          <w:p w14:paraId="6275DF97" w14:textId="77777777" w:rsidR="00385C6F" w:rsidRPr="00BB3C18" w:rsidRDefault="00385C6F" w:rsidP="005F6429">
            <w:pPr>
              <w:rPr>
                <w:rFonts w:asciiTheme="minorHAnsi" w:hAnsiTheme="minorHAnsi" w:cstheme="minorHAnsi"/>
                <w:sz w:val="20"/>
                <w:szCs w:val="20"/>
              </w:rPr>
            </w:pPr>
          </w:p>
        </w:tc>
        <w:tc>
          <w:tcPr>
            <w:tcW w:w="1276" w:type="dxa"/>
          </w:tcPr>
          <w:p w14:paraId="5F0F8F9A" w14:textId="77777777" w:rsidR="00385C6F" w:rsidRPr="00BB3C18" w:rsidRDefault="00385C6F" w:rsidP="00F90497">
            <w:pPr>
              <w:jc w:val="center"/>
              <w:rPr>
                <w:rFonts w:asciiTheme="minorHAnsi" w:hAnsiTheme="minorHAnsi" w:cstheme="minorHAnsi"/>
                <w:sz w:val="20"/>
                <w:szCs w:val="20"/>
              </w:rPr>
            </w:pPr>
          </w:p>
        </w:tc>
        <w:tc>
          <w:tcPr>
            <w:tcW w:w="1417" w:type="dxa"/>
          </w:tcPr>
          <w:p w14:paraId="7304E86D" w14:textId="77777777" w:rsidR="00385C6F" w:rsidRPr="00182A80" w:rsidRDefault="00385C6F" w:rsidP="00F90497">
            <w:pPr>
              <w:jc w:val="right"/>
              <w:rPr>
                <w:rFonts w:asciiTheme="minorHAnsi" w:hAnsiTheme="minorHAnsi" w:cstheme="minorHAnsi"/>
                <w:b/>
                <w:sz w:val="20"/>
                <w:szCs w:val="20"/>
              </w:rPr>
            </w:pPr>
          </w:p>
        </w:tc>
        <w:tc>
          <w:tcPr>
            <w:tcW w:w="284" w:type="dxa"/>
          </w:tcPr>
          <w:p w14:paraId="66F59C35" w14:textId="77777777" w:rsidR="00385C6F" w:rsidRPr="00BB3C18" w:rsidRDefault="00385C6F" w:rsidP="001F29BA">
            <w:pPr>
              <w:jc w:val="right"/>
              <w:rPr>
                <w:rFonts w:asciiTheme="minorHAnsi" w:hAnsiTheme="minorHAnsi" w:cstheme="minorHAnsi"/>
                <w:sz w:val="20"/>
                <w:szCs w:val="20"/>
              </w:rPr>
            </w:pPr>
          </w:p>
        </w:tc>
        <w:tc>
          <w:tcPr>
            <w:tcW w:w="1559" w:type="dxa"/>
          </w:tcPr>
          <w:p w14:paraId="7776816E" w14:textId="77777777" w:rsidR="00385C6F" w:rsidRPr="00BB3C18" w:rsidRDefault="00385C6F" w:rsidP="001309B7">
            <w:pPr>
              <w:jc w:val="right"/>
              <w:rPr>
                <w:rFonts w:asciiTheme="minorHAnsi" w:hAnsiTheme="minorHAnsi" w:cstheme="minorHAnsi"/>
                <w:sz w:val="20"/>
                <w:szCs w:val="20"/>
              </w:rPr>
            </w:pPr>
          </w:p>
        </w:tc>
      </w:tr>
      <w:tr w:rsidR="00B058C1" w:rsidRPr="00BB3C18" w14:paraId="0312F10F" w14:textId="77777777" w:rsidTr="0089385A">
        <w:tc>
          <w:tcPr>
            <w:tcW w:w="2943" w:type="dxa"/>
            <w:gridSpan w:val="2"/>
          </w:tcPr>
          <w:p w14:paraId="0312F102" w14:textId="77777777" w:rsidR="00B058C1" w:rsidRPr="00BB3C18" w:rsidRDefault="00B058C1" w:rsidP="00B058C1">
            <w:pPr>
              <w:rPr>
                <w:rFonts w:asciiTheme="minorHAnsi" w:hAnsiTheme="minorHAnsi" w:cstheme="minorHAnsi"/>
                <w:sz w:val="20"/>
                <w:szCs w:val="20"/>
              </w:rPr>
            </w:pPr>
            <w:r w:rsidRPr="00BB3C18">
              <w:rPr>
                <w:rFonts w:asciiTheme="minorHAnsi" w:hAnsiTheme="minorHAnsi" w:cstheme="minorHAnsi"/>
                <w:sz w:val="20"/>
                <w:szCs w:val="20"/>
              </w:rPr>
              <w:t>Revenue</w:t>
            </w:r>
          </w:p>
        </w:tc>
        <w:tc>
          <w:tcPr>
            <w:tcW w:w="236" w:type="dxa"/>
          </w:tcPr>
          <w:p w14:paraId="0312F103" w14:textId="77777777" w:rsidR="00B058C1" w:rsidRPr="00BB3C18" w:rsidRDefault="00B058C1" w:rsidP="00B058C1">
            <w:pPr>
              <w:rPr>
                <w:rFonts w:asciiTheme="minorHAnsi" w:hAnsiTheme="minorHAnsi" w:cstheme="minorHAnsi"/>
                <w:sz w:val="20"/>
                <w:szCs w:val="20"/>
              </w:rPr>
            </w:pPr>
          </w:p>
        </w:tc>
        <w:tc>
          <w:tcPr>
            <w:tcW w:w="2066" w:type="dxa"/>
          </w:tcPr>
          <w:p w14:paraId="0312F104" w14:textId="77777777" w:rsidR="00B058C1" w:rsidRPr="00BB3C18" w:rsidRDefault="00B058C1" w:rsidP="00B058C1">
            <w:pPr>
              <w:rPr>
                <w:rFonts w:asciiTheme="minorHAnsi" w:hAnsiTheme="minorHAnsi" w:cstheme="minorHAnsi"/>
                <w:sz w:val="20"/>
                <w:szCs w:val="20"/>
              </w:rPr>
            </w:pPr>
          </w:p>
        </w:tc>
        <w:tc>
          <w:tcPr>
            <w:tcW w:w="1276" w:type="dxa"/>
          </w:tcPr>
          <w:p w14:paraId="0312F106" w14:textId="58E2A410" w:rsidR="00B058C1" w:rsidRPr="00BB3C18" w:rsidRDefault="00B058C1" w:rsidP="00B058C1">
            <w:pPr>
              <w:jc w:val="center"/>
              <w:rPr>
                <w:rFonts w:asciiTheme="minorHAnsi" w:hAnsiTheme="minorHAnsi" w:cstheme="minorHAnsi"/>
                <w:sz w:val="20"/>
                <w:szCs w:val="20"/>
              </w:rPr>
            </w:pPr>
          </w:p>
        </w:tc>
        <w:tc>
          <w:tcPr>
            <w:tcW w:w="1417" w:type="dxa"/>
          </w:tcPr>
          <w:p w14:paraId="0312F108" w14:textId="46CCE438" w:rsidR="00B058C1" w:rsidRPr="00182A80" w:rsidRDefault="00A1781F" w:rsidP="00B058C1">
            <w:pPr>
              <w:jc w:val="right"/>
              <w:rPr>
                <w:rFonts w:asciiTheme="minorHAnsi" w:hAnsiTheme="minorHAnsi" w:cstheme="minorHAnsi"/>
                <w:b/>
                <w:sz w:val="20"/>
                <w:szCs w:val="20"/>
              </w:rPr>
            </w:pPr>
            <w:r>
              <w:rPr>
                <w:rFonts w:asciiTheme="minorHAnsi" w:hAnsiTheme="minorHAnsi" w:cstheme="minorHAnsi"/>
                <w:b/>
                <w:sz w:val="20"/>
                <w:szCs w:val="20"/>
              </w:rPr>
              <w:t>26,823</w:t>
            </w:r>
          </w:p>
        </w:tc>
        <w:tc>
          <w:tcPr>
            <w:tcW w:w="284" w:type="dxa"/>
          </w:tcPr>
          <w:p w14:paraId="0312F10C" w14:textId="77777777" w:rsidR="00B058C1" w:rsidRPr="00BB3C18" w:rsidRDefault="00B058C1" w:rsidP="00B058C1">
            <w:pPr>
              <w:jc w:val="right"/>
              <w:rPr>
                <w:rFonts w:asciiTheme="minorHAnsi" w:hAnsiTheme="minorHAnsi" w:cstheme="minorHAnsi"/>
                <w:sz w:val="20"/>
                <w:szCs w:val="20"/>
              </w:rPr>
            </w:pPr>
          </w:p>
        </w:tc>
        <w:tc>
          <w:tcPr>
            <w:tcW w:w="1559" w:type="dxa"/>
          </w:tcPr>
          <w:p w14:paraId="0312F10E" w14:textId="1ED87B07" w:rsidR="00B058C1" w:rsidRPr="00B058C1" w:rsidRDefault="00A1781F" w:rsidP="00B058C1">
            <w:pPr>
              <w:jc w:val="right"/>
              <w:rPr>
                <w:rFonts w:asciiTheme="minorHAnsi" w:hAnsiTheme="minorHAnsi" w:cstheme="minorHAnsi"/>
                <w:bCs/>
                <w:sz w:val="20"/>
                <w:szCs w:val="20"/>
              </w:rPr>
            </w:pPr>
            <w:r>
              <w:rPr>
                <w:rFonts w:asciiTheme="minorHAnsi" w:hAnsiTheme="minorHAnsi" w:cstheme="minorHAnsi"/>
                <w:bCs/>
                <w:sz w:val="20"/>
                <w:szCs w:val="20"/>
              </w:rPr>
              <w:t>509,171</w:t>
            </w:r>
          </w:p>
        </w:tc>
      </w:tr>
      <w:tr w:rsidR="00B058C1" w:rsidRPr="00BB3C18" w14:paraId="5E8FE413" w14:textId="77777777" w:rsidTr="00261A66">
        <w:tc>
          <w:tcPr>
            <w:tcW w:w="5245" w:type="dxa"/>
            <w:gridSpan w:val="4"/>
          </w:tcPr>
          <w:p w14:paraId="54BA2A1E" w14:textId="77777777" w:rsidR="00B058C1" w:rsidRPr="00BB3C18" w:rsidRDefault="00B058C1" w:rsidP="00B058C1">
            <w:pPr>
              <w:rPr>
                <w:rFonts w:asciiTheme="minorHAnsi" w:hAnsiTheme="minorHAnsi" w:cstheme="minorHAnsi"/>
                <w:sz w:val="20"/>
                <w:szCs w:val="20"/>
              </w:rPr>
            </w:pPr>
          </w:p>
        </w:tc>
        <w:tc>
          <w:tcPr>
            <w:tcW w:w="1276" w:type="dxa"/>
          </w:tcPr>
          <w:p w14:paraId="04EEB2B8" w14:textId="77777777" w:rsidR="00B058C1" w:rsidRPr="00BB3C18" w:rsidRDefault="00B058C1" w:rsidP="00B058C1">
            <w:pPr>
              <w:jc w:val="center"/>
              <w:rPr>
                <w:rFonts w:asciiTheme="minorHAnsi" w:hAnsiTheme="minorHAnsi" w:cstheme="minorHAnsi"/>
                <w:sz w:val="20"/>
                <w:szCs w:val="20"/>
              </w:rPr>
            </w:pPr>
          </w:p>
        </w:tc>
        <w:tc>
          <w:tcPr>
            <w:tcW w:w="1417" w:type="dxa"/>
            <w:tcBorders>
              <w:bottom w:val="single" w:sz="4" w:space="0" w:color="auto"/>
            </w:tcBorders>
          </w:tcPr>
          <w:p w14:paraId="544AECF2" w14:textId="77777777" w:rsidR="00B058C1" w:rsidRPr="00182A80" w:rsidRDefault="00B058C1" w:rsidP="00B058C1">
            <w:pPr>
              <w:jc w:val="right"/>
              <w:rPr>
                <w:rFonts w:asciiTheme="minorHAnsi" w:hAnsiTheme="minorHAnsi" w:cstheme="minorHAnsi"/>
                <w:b/>
                <w:sz w:val="20"/>
                <w:szCs w:val="20"/>
              </w:rPr>
            </w:pPr>
          </w:p>
        </w:tc>
        <w:tc>
          <w:tcPr>
            <w:tcW w:w="284" w:type="dxa"/>
          </w:tcPr>
          <w:p w14:paraId="5970F148" w14:textId="77777777" w:rsidR="00B058C1" w:rsidRPr="00BB3C18" w:rsidRDefault="00B058C1" w:rsidP="00B058C1">
            <w:pPr>
              <w:jc w:val="right"/>
              <w:rPr>
                <w:rFonts w:asciiTheme="minorHAnsi" w:hAnsiTheme="minorHAnsi" w:cstheme="minorHAnsi"/>
                <w:sz w:val="20"/>
                <w:szCs w:val="20"/>
              </w:rPr>
            </w:pPr>
          </w:p>
        </w:tc>
        <w:tc>
          <w:tcPr>
            <w:tcW w:w="1559" w:type="dxa"/>
            <w:tcBorders>
              <w:bottom w:val="single" w:sz="4" w:space="0" w:color="auto"/>
            </w:tcBorders>
          </w:tcPr>
          <w:p w14:paraId="5CE52A2D" w14:textId="77777777" w:rsidR="00B058C1" w:rsidRPr="00B058C1" w:rsidRDefault="00B058C1" w:rsidP="00B058C1">
            <w:pPr>
              <w:jc w:val="right"/>
              <w:rPr>
                <w:rFonts w:asciiTheme="minorHAnsi" w:hAnsiTheme="minorHAnsi" w:cstheme="minorHAnsi"/>
                <w:bCs/>
                <w:sz w:val="20"/>
                <w:szCs w:val="20"/>
              </w:rPr>
            </w:pPr>
          </w:p>
        </w:tc>
      </w:tr>
      <w:tr w:rsidR="00B058C1" w:rsidRPr="00BB3C18" w14:paraId="63E5A543" w14:textId="77777777" w:rsidTr="00261A66">
        <w:tc>
          <w:tcPr>
            <w:tcW w:w="5245" w:type="dxa"/>
            <w:gridSpan w:val="4"/>
          </w:tcPr>
          <w:p w14:paraId="2F865804" w14:textId="15491078" w:rsidR="00B058C1" w:rsidRPr="00261A66" w:rsidRDefault="00B058C1" w:rsidP="00B058C1">
            <w:pPr>
              <w:rPr>
                <w:rFonts w:asciiTheme="minorHAnsi" w:hAnsiTheme="minorHAnsi" w:cstheme="minorHAnsi"/>
                <w:b/>
                <w:bCs/>
                <w:sz w:val="20"/>
                <w:szCs w:val="20"/>
              </w:rPr>
            </w:pPr>
            <w:r w:rsidRPr="00261A66">
              <w:rPr>
                <w:rFonts w:asciiTheme="minorHAnsi" w:hAnsiTheme="minorHAnsi" w:cstheme="minorHAnsi"/>
                <w:b/>
                <w:bCs/>
                <w:sz w:val="20"/>
                <w:szCs w:val="20"/>
              </w:rPr>
              <w:t xml:space="preserve">Gross </w:t>
            </w:r>
            <w:r>
              <w:rPr>
                <w:rFonts w:asciiTheme="minorHAnsi" w:hAnsiTheme="minorHAnsi" w:cstheme="minorHAnsi"/>
                <w:b/>
                <w:bCs/>
                <w:sz w:val="20"/>
                <w:szCs w:val="20"/>
              </w:rPr>
              <w:t>profit</w:t>
            </w:r>
          </w:p>
        </w:tc>
        <w:tc>
          <w:tcPr>
            <w:tcW w:w="1276" w:type="dxa"/>
          </w:tcPr>
          <w:p w14:paraId="4FEB5915" w14:textId="77777777" w:rsidR="00B058C1" w:rsidRPr="007B6961" w:rsidRDefault="00B058C1" w:rsidP="00B058C1">
            <w:pPr>
              <w:jc w:val="center"/>
              <w:rPr>
                <w:rFonts w:asciiTheme="minorHAnsi" w:hAnsiTheme="minorHAnsi" w:cstheme="minorHAnsi"/>
                <w:sz w:val="20"/>
                <w:szCs w:val="20"/>
              </w:rPr>
            </w:pPr>
          </w:p>
        </w:tc>
        <w:tc>
          <w:tcPr>
            <w:tcW w:w="1417" w:type="dxa"/>
            <w:tcBorders>
              <w:top w:val="single" w:sz="4" w:space="0" w:color="auto"/>
            </w:tcBorders>
          </w:tcPr>
          <w:p w14:paraId="12C56D59" w14:textId="67B39B07" w:rsidR="00B058C1" w:rsidRPr="00182A80" w:rsidRDefault="00A1781F" w:rsidP="00B058C1">
            <w:pPr>
              <w:jc w:val="right"/>
              <w:rPr>
                <w:rFonts w:asciiTheme="minorHAnsi" w:hAnsiTheme="minorHAnsi" w:cstheme="minorHAnsi"/>
                <w:b/>
                <w:sz w:val="20"/>
                <w:szCs w:val="20"/>
              </w:rPr>
            </w:pPr>
            <w:r>
              <w:rPr>
                <w:rFonts w:asciiTheme="minorHAnsi" w:hAnsiTheme="minorHAnsi" w:cstheme="minorHAnsi"/>
                <w:b/>
                <w:sz w:val="20"/>
                <w:szCs w:val="20"/>
              </w:rPr>
              <w:t>26,823</w:t>
            </w:r>
          </w:p>
        </w:tc>
        <w:tc>
          <w:tcPr>
            <w:tcW w:w="284" w:type="dxa"/>
          </w:tcPr>
          <w:p w14:paraId="3B00A654" w14:textId="77777777" w:rsidR="00B058C1" w:rsidRPr="00BB3C18" w:rsidRDefault="00B058C1" w:rsidP="00B058C1">
            <w:pPr>
              <w:jc w:val="right"/>
              <w:rPr>
                <w:rFonts w:asciiTheme="minorHAnsi" w:hAnsiTheme="minorHAnsi" w:cstheme="minorHAnsi"/>
                <w:sz w:val="20"/>
                <w:szCs w:val="20"/>
              </w:rPr>
            </w:pPr>
          </w:p>
        </w:tc>
        <w:tc>
          <w:tcPr>
            <w:tcW w:w="1559" w:type="dxa"/>
            <w:tcBorders>
              <w:top w:val="single" w:sz="4" w:space="0" w:color="auto"/>
            </w:tcBorders>
          </w:tcPr>
          <w:p w14:paraId="22F9CACB" w14:textId="7835975B" w:rsidR="00B058C1" w:rsidRPr="00B058C1" w:rsidRDefault="00A1781F" w:rsidP="00B058C1">
            <w:pPr>
              <w:jc w:val="right"/>
              <w:rPr>
                <w:rFonts w:asciiTheme="minorHAnsi" w:hAnsiTheme="minorHAnsi" w:cstheme="minorHAnsi"/>
                <w:bCs/>
                <w:sz w:val="20"/>
                <w:szCs w:val="20"/>
              </w:rPr>
            </w:pPr>
            <w:r>
              <w:rPr>
                <w:rFonts w:asciiTheme="minorHAnsi" w:hAnsiTheme="minorHAnsi" w:cstheme="minorHAnsi"/>
                <w:bCs/>
                <w:sz w:val="20"/>
                <w:szCs w:val="20"/>
              </w:rPr>
              <w:t>509,171</w:t>
            </w:r>
          </w:p>
        </w:tc>
      </w:tr>
      <w:tr w:rsidR="00B058C1" w:rsidRPr="00BB3C18" w14:paraId="05DBF706" w14:textId="77777777" w:rsidTr="0089385A">
        <w:tc>
          <w:tcPr>
            <w:tcW w:w="5245" w:type="dxa"/>
            <w:gridSpan w:val="4"/>
          </w:tcPr>
          <w:p w14:paraId="7F6EDDA1" w14:textId="77777777" w:rsidR="00B058C1" w:rsidRPr="00BB3C18" w:rsidRDefault="00B058C1" w:rsidP="00B058C1">
            <w:pPr>
              <w:rPr>
                <w:rFonts w:asciiTheme="minorHAnsi" w:hAnsiTheme="minorHAnsi" w:cstheme="minorHAnsi"/>
                <w:sz w:val="20"/>
                <w:szCs w:val="20"/>
              </w:rPr>
            </w:pPr>
          </w:p>
        </w:tc>
        <w:tc>
          <w:tcPr>
            <w:tcW w:w="1276" w:type="dxa"/>
          </w:tcPr>
          <w:p w14:paraId="5B396E7C" w14:textId="77777777" w:rsidR="00B058C1" w:rsidRPr="007B6961" w:rsidRDefault="00B058C1" w:rsidP="00B058C1">
            <w:pPr>
              <w:jc w:val="center"/>
              <w:rPr>
                <w:rFonts w:asciiTheme="minorHAnsi" w:hAnsiTheme="minorHAnsi" w:cstheme="minorHAnsi"/>
                <w:sz w:val="20"/>
                <w:szCs w:val="20"/>
              </w:rPr>
            </w:pPr>
          </w:p>
        </w:tc>
        <w:tc>
          <w:tcPr>
            <w:tcW w:w="1417" w:type="dxa"/>
          </w:tcPr>
          <w:p w14:paraId="455074C5" w14:textId="77777777" w:rsidR="00B058C1" w:rsidRPr="00182A80" w:rsidRDefault="00B058C1" w:rsidP="00B058C1">
            <w:pPr>
              <w:jc w:val="right"/>
              <w:rPr>
                <w:rFonts w:asciiTheme="minorHAnsi" w:hAnsiTheme="minorHAnsi" w:cstheme="minorHAnsi"/>
                <w:b/>
                <w:sz w:val="20"/>
                <w:szCs w:val="20"/>
              </w:rPr>
            </w:pPr>
          </w:p>
        </w:tc>
        <w:tc>
          <w:tcPr>
            <w:tcW w:w="284" w:type="dxa"/>
          </w:tcPr>
          <w:p w14:paraId="3A9C8EB8" w14:textId="77777777" w:rsidR="00B058C1" w:rsidRPr="00BB3C18" w:rsidRDefault="00B058C1" w:rsidP="00B058C1">
            <w:pPr>
              <w:jc w:val="right"/>
              <w:rPr>
                <w:rFonts w:asciiTheme="minorHAnsi" w:hAnsiTheme="minorHAnsi" w:cstheme="minorHAnsi"/>
                <w:sz w:val="20"/>
                <w:szCs w:val="20"/>
              </w:rPr>
            </w:pPr>
          </w:p>
        </w:tc>
        <w:tc>
          <w:tcPr>
            <w:tcW w:w="1559" w:type="dxa"/>
          </w:tcPr>
          <w:p w14:paraId="231C0AED" w14:textId="77777777" w:rsidR="00B058C1" w:rsidRPr="00B058C1" w:rsidRDefault="00B058C1" w:rsidP="00B058C1">
            <w:pPr>
              <w:jc w:val="right"/>
              <w:rPr>
                <w:rFonts w:asciiTheme="minorHAnsi" w:hAnsiTheme="minorHAnsi" w:cstheme="minorHAnsi"/>
                <w:bCs/>
                <w:sz w:val="20"/>
                <w:szCs w:val="20"/>
              </w:rPr>
            </w:pPr>
          </w:p>
        </w:tc>
      </w:tr>
      <w:tr w:rsidR="00B058C1" w:rsidRPr="00BB3C18" w14:paraId="0312F13B" w14:textId="77777777" w:rsidTr="003863D9">
        <w:tc>
          <w:tcPr>
            <w:tcW w:w="5245" w:type="dxa"/>
            <w:gridSpan w:val="4"/>
          </w:tcPr>
          <w:p w14:paraId="0312F132" w14:textId="77777777" w:rsidR="00B058C1" w:rsidRPr="00BB3C18" w:rsidRDefault="00B058C1" w:rsidP="00B058C1">
            <w:pPr>
              <w:rPr>
                <w:rFonts w:asciiTheme="minorHAnsi" w:hAnsiTheme="minorHAnsi" w:cstheme="minorHAnsi"/>
                <w:sz w:val="20"/>
                <w:szCs w:val="20"/>
              </w:rPr>
            </w:pPr>
            <w:r w:rsidRPr="00BB3C18">
              <w:rPr>
                <w:rFonts w:asciiTheme="minorHAnsi" w:hAnsiTheme="minorHAnsi" w:cstheme="minorHAnsi"/>
                <w:sz w:val="20"/>
                <w:szCs w:val="20"/>
              </w:rPr>
              <w:t>Administrative expenses</w:t>
            </w:r>
          </w:p>
        </w:tc>
        <w:tc>
          <w:tcPr>
            <w:tcW w:w="1276" w:type="dxa"/>
          </w:tcPr>
          <w:p w14:paraId="0312F134" w14:textId="0E6C1D29" w:rsidR="00B058C1" w:rsidRPr="007B6961" w:rsidRDefault="00B058C1" w:rsidP="00B058C1">
            <w:pPr>
              <w:jc w:val="center"/>
              <w:rPr>
                <w:rFonts w:asciiTheme="minorHAnsi" w:hAnsiTheme="minorHAnsi" w:cstheme="minorHAnsi"/>
                <w:sz w:val="20"/>
                <w:szCs w:val="20"/>
              </w:rPr>
            </w:pPr>
            <w:r w:rsidRPr="007B6961">
              <w:rPr>
                <w:rFonts w:asciiTheme="minorHAnsi" w:hAnsiTheme="minorHAnsi" w:cstheme="minorHAnsi"/>
                <w:sz w:val="20"/>
                <w:szCs w:val="20"/>
              </w:rPr>
              <w:t>3</w:t>
            </w:r>
          </w:p>
        </w:tc>
        <w:tc>
          <w:tcPr>
            <w:tcW w:w="1417" w:type="dxa"/>
          </w:tcPr>
          <w:p w14:paraId="0312F136" w14:textId="7664A6BE" w:rsidR="00B058C1" w:rsidRPr="00182A80" w:rsidRDefault="00A1781F" w:rsidP="00B058C1">
            <w:pPr>
              <w:jc w:val="right"/>
              <w:rPr>
                <w:rFonts w:asciiTheme="minorHAnsi" w:hAnsiTheme="minorHAnsi" w:cstheme="minorHAnsi"/>
                <w:b/>
                <w:sz w:val="20"/>
                <w:szCs w:val="20"/>
              </w:rPr>
            </w:pPr>
            <w:r>
              <w:rPr>
                <w:rFonts w:asciiTheme="minorHAnsi" w:hAnsiTheme="minorHAnsi" w:cstheme="minorHAnsi"/>
                <w:b/>
                <w:sz w:val="20"/>
                <w:szCs w:val="20"/>
              </w:rPr>
              <w:t>(</w:t>
            </w:r>
            <w:r w:rsidR="00A83EC5">
              <w:rPr>
                <w:rFonts w:asciiTheme="minorHAnsi" w:hAnsiTheme="minorHAnsi" w:cstheme="minorHAnsi"/>
                <w:b/>
                <w:sz w:val="20"/>
                <w:szCs w:val="20"/>
              </w:rPr>
              <w:t>203,</w:t>
            </w:r>
            <w:r w:rsidR="004452F7">
              <w:rPr>
                <w:rFonts w:asciiTheme="minorHAnsi" w:hAnsiTheme="minorHAnsi" w:cstheme="minorHAnsi"/>
                <w:b/>
                <w:sz w:val="20"/>
                <w:szCs w:val="20"/>
              </w:rPr>
              <w:t>930</w:t>
            </w:r>
            <w:r>
              <w:rPr>
                <w:rFonts w:asciiTheme="minorHAnsi" w:hAnsiTheme="minorHAnsi" w:cstheme="minorHAnsi"/>
                <w:b/>
                <w:sz w:val="20"/>
                <w:szCs w:val="20"/>
              </w:rPr>
              <w:t>)</w:t>
            </w:r>
          </w:p>
        </w:tc>
        <w:tc>
          <w:tcPr>
            <w:tcW w:w="284" w:type="dxa"/>
          </w:tcPr>
          <w:p w14:paraId="0312F139" w14:textId="77777777" w:rsidR="00B058C1" w:rsidRPr="00BB3C18" w:rsidRDefault="00B058C1" w:rsidP="00B058C1">
            <w:pPr>
              <w:jc w:val="right"/>
              <w:rPr>
                <w:rFonts w:asciiTheme="minorHAnsi" w:hAnsiTheme="minorHAnsi" w:cstheme="minorHAnsi"/>
                <w:sz w:val="20"/>
                <w:szCs w:val="20"/>
              </w:rPr>
            </w:pPr>
          </w:p>
        </w:tc>
        <w:tc>
          <w:tcPr>
            <w:tcW w:w="1559" w:type="dxa"/>
          </w:tcPr>
          <w:p w14:paraId="0312F13A" w14:textId="7D9A859E" w:rsidR="00B058C1" w:rsidRPr="00B058C1" w:rsidRDefault="00A1781F" w:rsidP="00B058C1">
            <w:pPr>
              <w:jc w:val="right"/>
              <w:rPr>
                <w:rFonts w:asciiTheme="minorHAnsi" w:hAnsiTheme="minorHAnsi" w:cstheme="minorHAnsi"/>
                <w:bCs/>
                <w:sz w:val="20"/>
                <w:szCs w:val="20"/>
              </w:rPr>
            </w:pPr>
            <w:r>
              <w:rPr>
                <w:rFonts w:asciiTheme="minorHAnsi" w:hAnsiTheme="minorHAnsi" w:cstheme="minorHAnsi"/>
                <w:bCs/>
                <w:sz w:val="20"/>
                <w:szCs w:val="20"/>
              </w:rPr>
              <w:t>(3,57</w:t>
            </w:r>
            <w:r w:rsidR="00361EBC">
              <w:rPr>
                <w:rFonts w:asciiTheme="minorHAnsi" w:hAnsiTheme="minorHAnsi" w:cstheme="minorHAnsi"/>
                <w:bCs/>
                <w:sz w:val="20"/>
                <w:szCs w:val="20"/>
              </w:rPr>
              <w:t>7</w:t>
            </w:r>
            <w:r>
              <w:rPr>
                <w:rFonts w:asciiTheme="minorHAnsi" w:hAnsiTheme="minorHAnsi" w:cstheme="minorHAnsi"/>
                <w:bCs/>
                <w:sz w:val="20"/>
                <w:szCs w:val="20"/>
              </w:rPr>
              <w:t>,</w:t>
            </w:r>
            <w:r w:rsidR="00361EBC">
              <w:rPr>
                <w:rFonts w:asciiTheme="minorHAnsi" w:hAnsiTheme="minorHAnsi" w:cstheme="minorHAnsi"/>
                <w:bCs/>
                <w:sz w:val="20"/>
                <w:szCs w:val="20"/>
              </w:rPr>
              <w:t>595</w:t>
            </w:r>
            <w:r>
              <w:rPr>
                <w:rFonts w:asciiTheme="minorHAnsi" w:hAnsiTheme="minorHAnsi" w:cstheme="minorHAnsi"/>
                <w:bCs/>
                <w:sz w:val="20"/>
                <w:szCs w:val="20"/>
              </w:rPr>
              <w:t>)</w:t>
            </w:r>
          </w:p>
        </w:tc>
      </w:tr>
      <w:tr w:rsidR="00B058C1" w:rsidRPr="00BB3C18" w14:paraId="1173B529" w14:textId="77777777" w:rsidTr="003863D9">
        <w:tc>
          <w:tcPr>
            <w:tcW w:w="5245" w:type="dxa"/>
            <w:gridSpan w:val="4"/>
          </w:tcPr>
          <w:p w14:paraId="17D311FD" w14:textId="336332D3" w:rsidR="00B058C1" w:rsidRDefault="00B058C1" w:rsidP="00B058C1">
            <w:pPr>
              <w:rPr>
                <w:rFonts w:asciiTheme="minorHAnsi" w:hAnsiTheme="minorHAnsi" w:cstheme="minorHAnsi"/>
                <w:sz w:val="20"/>
                <w:szCs w:val="20"/>
              </w:rPr>
            </w:pPr>
            <w:r>
              <w:rPr>
                <w:rFonts w:asciiTheme="minorHAnsi" w:hAnsiTheme="minorHAnsi" w:cstheme="minorHAnsi"/>
                <w:sz w:val="20"/>
                <w:szCs w:val="20"/>
              </w:rPr>
              <w:t>Direct costs in connection with EHGOF financing facility</w:t>
            </w:r>
          </w:p>
        </w:tc>
        <w:tc>
          <w:tcPr>
            <w:tcW w:w="1276" w:type="dxa"/>
          </w:tcPr>
          <w:p w14:paraId="1765E06B" w14:textId="6084B7F4" w:rsidR="00B058C1" w:rsidRPr="007B6961" w:rsidRDefault="00B058C1" w:rsidP="00B058C1">
            <w:pPr>
              <w:jc w:val="center"/>
              <w:rPr>
                <w:rFonts w:asciiTheme="minorHAnsi" w:hAnsiTheme="minorHAnsi" w:cstheme="minorHAnsi"/>
                <w:sz w:val="20"/>
                <w:szCs w:val="20"/>
              </w:rPr>
            </w:pPr>
            <w:r>
              <w:rPr>
                <w:rFonts w:asciiTheme="minorHAnsi" w:hAnsiTheme="minorHAnsi" w:cstheme="minorHAnsi"/>
                <w:sz w:val="20"/>
                <w:szCs w:val="20"/>
              </w:rPr>
              <w:t>3</w:t>
            </w:r>
          </w:p>
        </w:tc>
        <w:tc>
          <w:tcPr>
            <w:tcW w:w="1417" w:type="dxa"/>
          </w:tcPr>
          <w:p w14:paraId="3A5F239E" w14:textId="396911F0" w:rsidR="00B058C1" w:rsidRDefault="001B6347" w:rsidP="00B058C1">
            <w:pPr>
              <w:jc w:val="right"/>
              <w:rPr>
                <w:rFonts w:asciiTheme="minorHAnsi" w:hAnsiTheme="minorHAnsi" w:cstheme="minorHAnsi"/>
                <w:b/>
                <w:sz w:val="20"/>
                <w:szCs w:val="20"/>
              </w:rPr>
            </w:pPr>
            <w:r>
              <w:rPr>
                <w:rFonts w:asciiTheme="minorHAnsi" w:hAnsiTheme="minorHAnsi" w:cstheme="minorHAnsi"/>
                <w:b/>
                <w:sz w:val="20"/>
                <w:szCs w:val="20"/>
              </w:rPr>
              <w:t>(585,000)</w:t>
            </w:r>
          </w:p>
        </w:tc>
        <w:tc>
          <w:tcPr>
            <w:tcW w:w="284" w:type="dxa"/>
          </w:tcPr>
          <w:p w14:paraId="6EE62775" w14:textId="77777777" w:rsidR="00B058C1" w:rsidRPr="00BB3C18" w:rsidRDefault="00B058C1" w:rsidP="00B058C1">
            <w:pPr>
              <w:jc w:val="right"/>
              <w:rPr>
                <w:rFonts w:asciiTheme="minorHAnsi" w:hAnsiTheme="minorHAnsi" w:cstheme="minorHAnsi"/>
                <w:sz w:val="20"/>
                <w:szCs w:val="20"/>
              </w:rPr>
            </w:pPr>
          </w:p>
        </w:tc>
        <w:tc>
          <w:tcPr>
            <w:tcW w:w="1559" w:type="dxa"/>
          </w:tcPr>
          <w:p w14:paraId="0E84A327" w14:textId="4A7D3017" w:rsidR="00B058C1" w:rsidRPr="00B058C1" w:rsidRDefault="00B058C1" w:rsidP="00B058C1">
            <w:pPr>
              <w:jc w:val="right"/>
              <w:rPr>
                <w:rFonts w:asciiTheme="minorHAnsi" w:hAnsiTheme="minorHAnsi" w:cstheme="minorHAnsi"/>
                <w:bCs/>
                <w:sz w:val="20"/>
                <w:szCs w:val="20"/>
              </w:rPr>
            </w:pPr>
            <w:r w:rsidRPr="00B058C1">
              <w:rPr>
                <w:rFonts w:asciiTheme="minorHAnsi" w:hAnsiTheme="minorHAnsi" w:cstheme="minorHAnsi"/>
                <w:bCs/>
                <w:sz w:val="20"/>
                <w:szCs w:val="20"/>
              </w:rPr>
              <w:t>(</w:t>
            </w:r>
            <w:r w:rsidR="00030773">
              <w:rPr>
                <w:rFonts w:asciiTheme="minorHAnsi" w:hAnsiTheme="minorHAnsi" w:cstheme="minorHAnsi"/>
                <w:bCs/>
                <w:sz w:val="20"/>
                <w:szCs w:val="20"/>
              </w:rPr>
              <w:t>70</w:t>
            </w:r>
            <w:r w:rsidRPr="00B058C1">
              <w:rPr>
                <w:rFonts w:asciiTheme="minorHAnsi" w:hAnsiTheme="minorHAnsi" w:cstheme="minorHAnsi"/>
                <w:bCs/>
                <w:sz w:val="20"/>
                <w:szCs w:val="20"/>
              </w:rPr>
              <w:t>,000)</w:t>
            </w:r>
          </w:p>
        </w:tc>
      </w:tr>
      <w:tr w:rsidR="00B058C1" w:rsidRPr="00BB3C18" w14:paraId="4A3DD622" w14:textId="77777777" w:rsidTr="003863D9">
        <w:tc>
          <w:tcPr>
            <w:tcW w:w="5245" w:type="dxa"/>
            <w:gridSpan w:val="4"/>
          </w:tcPr>
          <w:p w14:paraId="41E21E56" w14:textId="29F4A314" w:rsidR="00B058C1" w:rsidRPr="00BB3C18" w:rsidRDefault="00B058C1" w:rsidP="00B058C1">
            <w:pPr>
              <w:rPr>
                <w:rFonts w:asciiTheme="minorHAnsi" w:hAnsiTheme="minorHAnsi" w:cstheme="minorHAnsi"/>
                <w:sz w:val="20"/>
                <w:szCs w:val="20"/>
              </w:rPr>
            </w:pPr>
            <w:r>
              <w:rPr>
                <w:rFonts w:asciiTheme="minorHAnsi" w:hAnsiTheme="minorHAnsi" w:cstheme="minorHAnsi"/>
                <w:sz w:val="20"/>
                <w:szCs w:val="20"/>
              </w:rPr>
              <w:t>Other operating income</w:t>
            </w:r>
          </w:p>
        </w:tc>
        <w:tc>
          <w:tcPr>
            <w:tcW w:w="1276" w:type="dxa"/>
          </w:tcPr>
          <w:p w14:paraId="1AB2AD80" w14:textId="77777777" w:rsidR="00B058C1" w:rsidRPr="007B6961" w:rsidRDefault="00B058C1" w:rsidP="00B058C1">
            <w:pPr>
              <w:jc w:val="center"/>
              <w:rPr>
                <w:rFonts w:asciiTheme="minorHAnsi" w:hAnsiTheme="minorHAnsi" w:cstheme="minorHAnsi"/>
                <w:sz w:val="20"/>
                <w:szCs w:val="20"/>
              </w:rPr>
            </w:pPr>
          </w:p>
        </w:tc>
        <w:tc>
          <w:tcPr>
            <w:tcW w:w="1417" w:type="dxa"/>
          </w:tcPr>
          <w:p w14:paraId="53B6BC53" w14:textId="67B26983" w:rsidR="00B058C1" w:rsidRPr="00182A80" w:rsidRDefault="00345A8A" w:rsidP="00B058C1">
            <w:pPr>
              <w:jc w:val="right"/>
              <w:rPr>
                <w:rFonts w:asciiTheme="minorHAnsi" w:hAnsiTheme="minorHAnsi" w:cstheme="minorHAnsi"/>
                <w:b/>
                <w:sz w:val="20"/>
                <w:szCs w:val="20"/>
              </w:rPr>
            </w:pPr>
            <w:r>
              <w:rPr>
                <w:rFonts w:asciiTheme="minorHAnsi" w:hAnsiTheme="minorHAnsi" w:cstheme="minorHAnsi"/>
                <w:b/>
                <w:sz w:val="20"/>
                <w:szCs w:val="20"/>
              </w:rPr>
              <w:t>-</w:t>
            </w:r>
          </w:p>
        </w:tc>
        <w:tc>
          <w:tcPr>
            <w:tcW w:w="284" w:type="dxa"/>
          </w:tcPr>
          <w:p w14:paraId="2463982B" w14:textId="77777777" w:rsidR="00B058C1" w:rsidRPr="00BB3C18" w:rsidRDefault="00B058C1" w:rsidP="00B058C1">
            <w:pPr>
              <w:jc w:val="right"/>
              <w:rPr>
                <w:rFonts w:asciiTheme="minorHAnsi" w:hAnsiTheme="minorHAnsi" w:cstheme="minorHAnsi"/>
                <w:sz w:val="20"/>
                <w:szCs w:val="20"/>
              </w:rPr>
            </w:pPr>
          </w:p>
        </w:tc>
        <w:tc>
          <w:tcPr>
            <w:tcW w:w="1559" w:type="dxa"/>
          </w:tcPr>
          <w:p w14:paraId="1BD15F33" w14:textId="5096724C" w:rsidR="00B058C1" w:rsidRPr="00B058C1" w:rsidRDefault="00A1781F" w:rsidP="00B058C1">
            <w:pPr>
              <w:jc w:val="right"/>
              <w:rPr>
                <w:rFonts w:asciiTheme="minorHAnsi" w:hAnsiTheme="minorHAnsi" w:cstheme="minorHAnsi"/>
                <w:bCs/>
                <w:sz w:val="20"/>
                <w:szCs w:val="20"/>
              </w:rPr>
            </w:pPr>
            <w:r>
              <w:rPr>
                <w:rFonts w:asciiTheme="minorHAnsi" w:hAnsiTheme="minorHAnsi" w:cstheme="minorHAnsi"/>
                <w:bCs/>
                <w:sz w:val="20"/>
                <w:szCs w:val="20"/>
              </w:rPr>
              <w:t>37,945</w:t>
            </w:r>
          </w:p>
        </w:tc>
      </w:tr>
      <w:tr w:rsidR="00B058C1" w:rsidRPr="00BB3C18" w14:paraId="05DA351B" w14:textId="77777777" w:rsidTr="003863D9">
        <w:tc>
          <w:tcPr>
            <w:tcW w:w="5245" w:type="dxa"/>
            <w:gridSpan w:val="4"/>
          </w:tcPr>
          <w:p w14:paraId="5535C067" w14:textId="0D718F95" w:rsidR="00B058C1" w:rsidRPr="00BB3C18" w:rsidRDefault="00B058C1" w:rsidP="00B058C1">
            <w:pPr>
              <w:rPr>
                <w:rFonts w:asciiTheme="minorHAnsi" w:hAnsiTheme="minorHAnsi" w:cstheme="minorHAnsi"/>
                <w:sz w:val="20"/>
                <w:szCs w:val="20"/>
              </w:rPr>
            </w:pPr>
          </w:p>
        </w:tc>
        <w:tc>
          <w:tcPr>
            <w:tcW w:w="1276" w:type="dxa"/>
          </w:tcPr>
          <w:p w14:paraId="0A2316AC" w14:textId="77777777" w:rsidR="00B058C1" w:rsidRPr="007B6961" w:rsidRDefault="00B058C1" w:rsidP="00B058C1">
            <w:pPr>
              <w:jc w:val="center"/>
              <w:rPr>
                <w:rFonts w:asciiTheme="minorHAnsi" w:hAnsiTheme="minorHAnsi" w:cstheme="minorHAnsi"/>
                <w:sz w:val="20"/>
                <w:szCs w:val="20"/>
              </w:rPr>
            </w:pPr>
          </w:p>
        </w:tc>
        <w:tc>
          <w:tcPr>
            <w:tcW w:w="1417" w:type="dxa"/>
            <w:tcBorders>
              <w:bottom w:val="single" w:sz="4" w:space="0" w:color="auto"/>
            </w:tcBorders>
          </w:tcPr>
          <w:p w14:paraId="7F29837F" w14:textId="4018AB54" w:rsidR="00B058C1" w:rsidRPr="00182A80" w:rsidRDefault="00B058C1" w:rsidP="00B058C1">
            <w:pPr>
              <w:jc w:val="right"/>
              <w:rPr>
                <w:rFonts w:asciiTheme="minorHAnsi" w:hAnsiTheme="minorHAnsi" w:cstheme="minorHAnsi"/>
                <w:b/>
                <w:sz w:val="20"/>
                <w:szCs w:val="20"/>
              </w:rPr>
            </w:pPr>
          </w:p>
        </w:tc>
        <w:tc>
          <w:tcPr>
            <w:tcW w:w="284" w:type="dxa"/>
          </w:tcPr>
          <w:p w14:paraId="1B5F02B5" w14:textId="77777777" w:rsidR="00B058C1" w:rsidRPr="00BB3C18" w:rsidRDefault="00B058C1" w:rsidP="00B058C1">
            <w:pPr>
              <w:jc w:val="right"/>
              <w:rPr>
                <w:rFonts w:asciiTheme="minorHAnsi" w:hAnsiTheme="minorHAnsi" w:cstheme="minorHAnsi"/>
                <w:sz w:val="20"/>
                <w:szCs w:val="20"/>
              </w:rPr>
            </w:pPr>
          </w:p>
        </w:tc>
        <w:tc>
          <w:tcPr>
            <w:tcW w:w="1559" w:type="dxa"/>
          </w:tcPr>
          <w:p w14:paraId="26F7A74E" w14:textId="305ECE2F" w:rsidR="00B058C1" w:rsidRPr="00B058C1" w:rsidRDefault="00B058C1" w:rsidP="00B058C1">
            <w:pPr>
              <w:jc w:val="right"/>
              <w:rPr>
                <w:rFonts w:asciiTheme="minorHAnsi" w:hAnsiTheme="minorHAnsi" w:cstheme="minorHAnsi"/>
                <w:bCs/>
                <w:sz w:val="20"/>
                <w:szCs w:val="20"/>
              </w:rPr>
            </w:pPr>
          </w:p>
        </w:tc>
      </w:tr>
      <w:tr w:rsidR="00B058C1" w:rsidRPr="00BB3C18" w14:paraId="0312F14F" w14:textId="77777777" w:rsidTr="0089385A">
        <w:tc>
          <w:tcPr>
            <w:tcW w:w="5245" w:type="dxa"/>
            <w:gridSpan w:val="4"/>
          </w:tcPr>
          <w:p w14:paraId="0312F146" w14:textId="7F36843E" w:rsidR="00B058C1" w:rsidRPr="00BB3C18" w:rsidRDefault="00B058C1" w:rsidP="00B058C1">
            <w:pPr>
              <w:rPr>
                <w:rFonts w:asciiTheme="minorHAnsi" w:hAnsiTheme="minorHAnsi" w:cstheme="minorHAnsi"/>
                <w:sz w:val="20"/>
                <w:szCs w:val="20"/>
              </w:rPr>
            </w:pPr>
            <w:r w:rsidRPr="00BB3C18">
              <w:rPr>
                <w:rFonts w:asciiTheme="minorHAnsi" w:hAnsiTheme="minorHAnsi" w:cstheme="minorHAnsi"/>
                <w:b/>
                <w:sz w:val="20"/>
                <w:szCs w:val="20"/>
              </w:rPr>
              <w:t>Operating loss</w:t>
            </w:r>
          </w:p>
        </w:tc>
        <w:tc>
          <w:tcPr>
            <w:tcW w:w="1276" w:type="dxa"/>
          </w:tcPr>
          <w:p w14:paraId="0312F148" w14:textId="77777777" w:rsidR="00B058C1" w:rsidRPr="007B6961" w:rsidRDefault="00B058C1" w:rsidP="00B058C1">
            <w:pPr>
              <w:jc w:val="center"/>
              <w:rPr>
                <w:rFonts w:asciiTheme="minorHAnsi" w:hAnsiTheme="minorHAnsi" w:cstheme="minorHAnsi"/>
                <w:sz w:val="20"/>
                <w:szCs w:val="20"/>
              </w:rPr>
            </w:pPr>
          </w:p>
        </w:tc>
        <w:tc>
          <w:tcPr>
            <w:tcW w:w="1417" w:type="dxa"/>
          </w:tcPr>
          <w:p w14:paraId="0312F14A" w14:textId="52E472CA" w:rsidR="00B058C1" w:rsidRPr="00182A80" w:rsidRDefault="001B6347" w:rsidP="00B058C1">
            <w:pPr>
              <w:jc w:val="right"/>
              <w:rPr>
                <w:rFonts w:asciiTheme="minorHAnsi" w:hAnsiTheme="minorHAnsi" w:cstheme="minorHAnsi"/>
                <w:b/>
                <w:sz w:val="20"/>
                <w:szCs w:val="20"/>
              </w:rPr>
            </w:pPr>
            <w:r>
              <w:rPr>
                <w:rFonts w:asciiTheme="minorHAnsi" w:hAnsiTheme="minorHAnsi" w:cstheme="minorHAnsi"/>
                <w:b/>
                <w:sz w:val="20"/>
                <w:szCs w:val="20"/>
              </w:rPr>
              <w:t>(</w:t>
            </w:r>
            <w:r w:rsidR="00A83EC5">
              <w:rPr>
                <w:rFonts w:asciiTheme="minorHAnsi" w:hAnsiTheme="minorHAnsi" w:cstheme="minorHAnsi"/>
                <w:b/>
                <w:sz w:val="20"/>
                <w:szCs w:val="20"/>
              </w:rPr>
              <w:t>762,</w:t>
            </w:r>
            <w:r w:rsidR="004452F7">
              <w:rPr>
                <w:rFonts w:asciiTheme="minorHAnsi" w:hAnsiTheme="minorHAnsi" w:cstheme="minorHAnsi"/>
                <w:b/>
                <w:sz w:val="20"/>
                <w:szCs w:val="20"/>
              </w:rPr>
              <w:t>107</w:t>
            </w:r>
            <w:r w:rsidR="00345A8A">
              <w:rPr>
                <w:rFonts w:asciiTheme="minorHAnsi" w:hAnsiTheme="minorHAnsi" w:cstheme="minorHAnsi"/>
                <w:b/>
                <w:sz w:val="20"/>
                <w:szCs w:val="20"/>
              </w:rPr>
              <w:t>)</w:t>
            </w:r>
          </w:p>
        </w:tc>
        <w:tc>
          <w:tcPr>
            <w:tcW w:w="284" w:type="dxa"/>
          </w:tcPr>
          <w:p w14:paraId="0312F14D" w14:textId="77777777" w:rsidR="00B058C1" w:rsidRPr="00BB3C18" w:rsidRDefault="00B058C1" w:rsidP="00B058C1">
            <w:pPr>
              <w:jc w:val="right"/>
              <w:rPr>
                <w:rFonts w:asciiTheme="minorHAnsi" w:hAnsiTheme="minorHAnsi" w:cstheme="minorHAnsi"/>
                <w:sz w:val="20"/>
                <w:szCs w:val="20"/>
              </w:rPr>
            </w:pPr>
          </w:p>
        </w:tc>
        <w:tc>
          <w:tcPr>
            <w:tcW w:w="1559" w:type="dxa"/>
            <w:tcBorders>
              <w:top w:val="single" w:sz="4" w:space="0" w:color="auto"/>
            </w:tcBorders>
          </w:tcPr>
          <w:p w14:paraId="0312F14E" w14:textId="3AE2E5EF" w:rsidR="00B058C1" w:rsidRPr="00B058C1" w:rsidRDefault="00B058C1" w:rsidP="00B058C1">
            <w:pPr>
              <w:jc w:val="right"/>
              <w:rPr>
                <w:rFonts w:asciiTheme="minorHAnsi" w:hAnsiTheme="minorHAnsi" w:cstheme="minorHAnsi"/>
                <w:bCs/>
                <w:sz w:val="20"/>
                <w:szCs w:val="20"/>
              </w:rPr>
            </w:pPr>
            <w:r w:rsidRPr="00B058C1">
              <w:rPr>
                <w:rFonts w:asciiTheme="minorHAnsi" w:hAnsiTheme="minorHAnsi" w:cstheme="minorHAnsi"/>
                <w:bCs/>
                <w:sz w:val="20"/>
                <w:szCs w:val="20"/>
              </w:rPr>
              <w:t>(</w:t>
            </w:r>
            <w:r w:rsidR="00A1781F">
              <w:rPr>
                <w:rFonts w:asciiTheme="minorHAnsi" w:hAnsiTheme="minorHAnsi" w:cstheme="minorHAnsi"/>
                <w:bCs/>
                <w:sz w:val="20"/>
                <w:szCs w:val="20"/>
              </w:rPr>
              <w:t>3,10</w:t>
            </w:r>
            <w:r w:rsidR="00361EBC">
              <w:rPr>
                <w:rFonts w:asciiTheme="minorHAnsi" w:hAnsiTheme="minorHAnsi" w:cstheme="minorHAnsi"/>
                <w:bCs/>
                <w:sz w:val="20"/>
                <w:szCs w:val="20"/>
              </w:rPr>
              <w:t>0</w:t>
            </w:r>
            <w:r w:rsidR="00F815C8">
              <w:rPr>
                <w:rFonts w:asciiTheme="minorHAnsi" w:hAnsiTheme="minorHAnsi" w:cstheme="minorHAnsi"/>
                <w:bCs/>
                <w:sz w:val="20"/>
                <w:szCs w:val="20"/>
              </w:rPr>
              <w:t>,</w:t>
            </w:r>
            <w:r w:rsidR="00361EBC">
              <w:rPr>
                <w:rFonts w:asciiTheme="minorHAnsi" w:hAnsiTheme="minorHAnsi" w:cstheme="minorHAnsi"/>
                <w:bCs/>
                <w:sz w:val="20"/>
                <w:szCs w:val="20"/>
              </w:rPr>
              <w:t>479</w:t>
            </w:r>
            <w:r w:rsidRPr="00B058C1">
              <w:rPr>
                <w:rFonts w:asciiTheme="minorHAnsi" w:hAnsiTheme="minorHAnsi" w:cstheme="minorHAnsi"/>
                <w:bCs/>
                <w:sz w:val="20"/>
                <w:szCs w:val="20"/>
              </w:rPr>
              <w:t>)</w:t>
            </w:r>
          </w:p>
        </w:tc>
      </w:tr>
      <w:tr w:rsidR="00B058C1" w:rsidRPr="00BB3C18" w14:paraId="0312F159" w14:textId="77777777" w:rsidTr="0089385A">
        <w:trPr>
          <w:trHeight w:val="200"/>
        </w:trPr>
        <w:tc>
          <w:tcPr>
            <w:tcW w:w="5245" w:type="dxa"/>
            <w:gridSpan w:val="4"/>
          </w:tcPr>
          <w:p w14:paraId="0312F150" w14:textId="77777777" w:rsidR="00B058C1" w:rsidRPr="00BB3C18" w:rsidRDefault="00B058C1" w:rsidP="00B058C1">
            <w:pPr>
              <w:rPr>
                <w:rFonts w:asciiTheme="minorHAnsi" w:hAnsiTheme="minorHAnsi" w:cstheme="minorHAnsi"/>
                <w:sz w:val="20"/>
                <w:szCs w:val="20"/>
              </w:rPr>
            </w:pPr>
          </w:p>
        </w:tc>
        <w:tc>
          <w:tcPr>
            <w:tcW w:w="1276" w:type="dxa"/>
          </w:tcPr>
          <w:p w14:paraId="0312F152" w14:textId="77777777" w:rsidR="00B058C1" w:rsidRPr="007B6961" w:rsidRDefault="00B058C1" w:rsidP="00B058C1">
            <w:pPr>
              <w:jc w:val="center"/>
              <w:rPr>
                <w:rFonts w:asciiTheme="minorHAnsi" w:hAnsiTheme="minorHAnsi" w:cstheme="minorHAnsi"/>
                <w:sz w:val="20"/>
                <w:szCs w:val="20"/>
              </w:rPr>
            </w:pPr>
          </w:p>
        </w:tc>
        <w:tc>
          <w:tcPr>
            <w:tcW w:w="1417" w:type="dxa"/>
          </w:tcPr>
          <w:p w14:paraId="0312F154" w14:textId="77777777" w:rsidR="00B058C1" w:rsidRPr="00182A80" w:rsidRDefault="00B058C1" w:rsidP="00B058C1">
            <w:pPr>
              <w:jc w:val="right"/>
              <w:rPr>
                <w:rFonts w:asciiTheme="minorHAnsi" w:hAnsiTheme="minorHAnsi" w:cstheme="minorHAnsi"/>
                <w:b/>
                <w:sz w:val="20"/>
                <w:szCs w:val="20"/>
              </w:rPr>
            </w:pPr>
          </w:p>
        </w:tc>
        <w:tc>
          <w:tcPr>
            <w:tcW w:w="284" w:type="dxa"/>
          </w:tcPr>
          <w:p w14:paraId="0312F157" w14:textId="77777777" w:rsidR="00B058C1" w:rsidRPr="00BB3C18" w:rsidRDefault="00B058C1" w:rsidP="00B058C1">
            <w:pPr>
              <w:jc w:val="right"/>
              <w:rPr>
                <w:rFonts w:asciiTheme="minorHAnsi" w:hAnsiTheme="minorHAnsi" w:cstheme="minorHAnsi"/>
                <w:sz w:val="20"/>
                <w:szCs w:val="20"/>
              </w:rPr>
            </w:pPr>
          </w:p>
        </w:tc>
        <w:tc>
          <w:tcPr>
            <w:tcW w:w="1559" w:type="dxa"/>
          </w:tcPr>
          <w:p w14:paraId="0312F158" w14:textId="77777777" w:rsidR="00B058C1" w:rsidRPr="00B058C1" w:rsidRDefault="00B058C1" w:rsidP="00B058C1">
            <w:pPr>
              <w:jc w:val="right"/>
              <w:rPr>
                <w:rFonts w:asciiTheme="minorHAnsi" w:hAnsiTheme="minorHAnsi" w:cstheme="minorHAnsi"/>
                <w:bCs/>
                <w:sz w:val="20"/>
                <w:szCs w:val="20"/>
              </w:rPr>
            </w:pPr>
          </w:p>
        </w:tc>
      </w:tr>
      <w:tr w:rsidR="00B058C1" w:rsidRPr="00BB3C18" w14:paraId="0312F171" w14:textId="77777777" w:rsidTr="0069445D">
        <w:tc>
          <w:tcPr>
            <w:tcW w:w="1494" w:type="dxa"/>
            <w:shd w:val="clear" w:color="auto" w:fill="auto"/>
          </w:tcPr>
          <w:p w14:paraId="0312F166" w14:textId="77777777" w:rsidR="00B058C1" w:rsidRPr="0069445D" w:rsidRDefault="00B058C1" w:rsidP="00B058C1">
            <w:pPr>
              <w:rPr>
                <w:rFonts w:asciiTheme="minorHAnsi" w:hAnsiTheme="minorHAnsi" w:cstheme="minorHAnsi"/>
                <w:sz w:val="20"/>
                <w:szCs w:val="20"/>
              </w:rPr>
            </w:pPr>
            <w:r w:rsidRPr="0069445D">
              <w:rPr>
                <w:rFonts w:asciiTheme="minorHAnsi" w:hAnsiTheme="minorHAnsi" w:cstheme="minorHAnsi"/>
                <w:sz w:val="20"/>
                <w:szCs w:val="20"/>
              </w:rPr>
              <w:t>Finance costs</w:t>
            </w:r>
          </w:p>
        </w:tc>
        <w:tc>
          <w:tcPr>
            <w:tcW w:w="1685" w:type="dxa"/>
            <w:gridSpan w:val="2"/>
            <w:shd w:val="clear" w:color="auto" w:fill="auto"/>
          </w:tcPr>
          <w:p w14:paraId="0312F167" w14:textId="77777777" w:rsidR="00B058C1" w:rsidRPr="0069445D" w:rsidRDefault="00B058C1" w:rsidP="00B058C1">
            <w:pPr>
              <w:rPr>
                <w:rFonts w:asciiTheme="minorHAnsi" w:hAnsiTheme="minorHAnsi" w:cstheme="minorHAnsi"/>
                <w:sz w:val="20"/>
                <w:szCs w:val="20"/>
              </w:rPr>
            </w:pPr>
          </w:p>
        </w:tc>
        <w:tc>
          <w:tcPr>
            <w:tcW w:w="2066" w:type="dxa"/>
            <w:shd w:val="clear" w:color="auto" w:fill="auto"/>
          </w:tcPr>
          <w:p w14:paraId="0312F168" w14:textId="77777777" w:rsidR="00B058C1" w:rsidRPr="0069445D" w:rsidRDefault="00B058C1" w:rsidP="00B058C1">
            <w:pPr>
              <w:rPr>
                <w:rFonts w:asciiTheme="minorHAnsi" w:hAnsiTheme="minorHAnsi" w:cstheme="minorHAnsi"/>
                <w:sz w:val="20"/>
                <w:szCs w:val="20"/>
              </w:rPr>
            </w:pPr>
          </w:p>
        </w:tc>
        <w:tc>
          <w:tcPr>
            <w:tcW w:w="1276" w:type="dxa"/>
            <w:shd w:val="clear" w:color="auto" w:fill="auto"/>
          </w:tcPr>
          <w:p w14:paraId="0312F16A" w14:textId="64A76843" w:rsidR="00B058C1" w:rsidRPr="007B6961" w:rsidRDefault="00B058C1" w:rsidP="00B058C1">
            <w:pPr>
              <w:jc w:val="center"/>
              <w:rPr>
                <w:rFonts w:asciiTheme="minorHAnsi" w:hAnsiTheme="minorHAnsi" w:cstheme="minorHAnsi"/>
                <w:sz w:val="20"/>
                <w:szCs w:val="20"/>
              </w:rPr>
            </w:pPr>
            <w:r w:rsidRPr="007B6961">
              <w:rPr>
                <w:rFonts w:asciiTheme="minorHAnsi" w:hAnsiTheme="minorHAnsi" w:cstheme="minorHAnsi"/>
                <w:sz w:val="20"/>
                <w:szCs w:val="20"/>
              </w:rPr>
              <w:t>6</w:t>
            </w:r>
          </w:p>
        </w:tc>
        <w:tc>
          <w:tcPr>
            <w:tcW w:w="1417" w:type="dxa"/>
            <w:tcBorders>
              <w:bottom w:val="single" w:sz="4" w:space="0" w:color="auto"/>
            </w:tcBorders>
            <w:shd w:val="clear" w:color="auto" w:fill="auto"/>
          </w:tcPr>
          <w:p w14:paraId="0312F16C" w14:textId="5B58E3B3" w:rsidR="00B058C1" w:rsidRPr="00182A80" w:rsidRDefault="009A4A07" w:rsidP="00B058C1">
            <w:pPr>
              <w:jc w:val="right"/>
              <w:rPr>
                <w:rFonts w:asciiTheme="minorHAnsi" w:hAnsiTheme="minorHAnsi" w:cstheme="minorHAnsi"/>
                <w:b/>
                <w:sz w:val="20"/>
                <w:szCs w:val="20"/>
              </w:rPr>
            </w:pPr>
            <w:r>
              <w:rPr>
                <w:rFonts w:asciiTheme="minorHAnsi" w:hAnsiTheme="minorHAnsi" w:cstheme="minorHAnsi"/>
                <w:b/>
                <w:sz w:val="20"/>
                <w:szCs w:val="20"/>
              </w:rPr>
              <w:t>-</w:t>
            </w:r>
          </w:p>
        </w:tc>
        <w:tc>
          <w:tcPr>
            <w:tcW w:w="284" w:type="dxa"/>
          </w:tcPr>
          <w:p w14:paraId="0312F16F" w14:textId="77777777" w:rsidR="00B058C1" w:rsidRPr="00BB3C18" w:rsidRDefault="00B058C1" w:rsidP="00B058C1">
            <w:pPr>
              <w:jc w:val="right"/>
              <w:rPr>
                <w:rFonts w:asciiTheme="minorHAnsi" w:hAnsiTheme="minorHAnsi" w:cstheme="minorHAnsi"/>
                <w:sz w:val="20"/>
                <w:szCs w:val="20"/>
              </w:rPr>
            </w:pPr>
          </w:p>
        </w:tc>
        <w:tc>
          <w:tcPr>
            <w:tcW w:w="1559" w:type="dxa"/>
            <w:tcBorders>
              <w:bottom w:val="single" w:sz="4" w:space="0" w:color="auto"/>
            </w:tcBorders>
          </w:tcPr>
          <w:p w14:paraId="0312F170" w14:textId="1619A105" w:rsidR="00B058C1" w:rsidRPr="00B058C1" w:rsidRDefault="00013F6E" w:rsidP="00B058C1">
            <w:pPr>
              <w:jc w:val="right"/>
              <w:rPr>
                <w:rFonts w:asciiTheme="minorHAnsi" w:hAnsiTheme="minorHAnsi" w:cstheme="minorHAnsi"/>
                <w:bCs/>
                <w:sz w:val="20"/>
                <w:szCs w:val="20"/>
              </w:rPr>
            </w:pPr>
            <w:r>
              <w:rPr>
                <w:rFonts w:asciiTheme="minorHAnsi" w:hAnsiTheme="minorHAnsi" w:cstheme="minorHAnsi"/>
                <w:bCs/>
                <w:sz w:val="20"/>
                <w:szCs w:val="20"/>
              </w:rPr>
              <w:t>(4,593,154)</w:t>
            </w:r>
          </w:p>
        </w:tc>
      </w:tr>
      <w:tr w:rsidR="00B058C1" w:rsidRPr="00BB3C18" w14:paraId="0312F187" w14:textId="77777777" w:rsidTr="0089385A">
        <w:tc>
          <w:tcPr>
            <w:tcW w:w="5245" w:type="dxa"/>
            <w:gridSpan w:val="4"/>
          </w:tcPr>
          <w:p w14:paraId="0312F17E" w14:textId="02DD98D1" w:rsidR="00B058C1" w:rsidRPr="00BB3C18" w:rsidRDefault="00B058C1" w:rsidP="00B058C1">
            <w:pPr>
              <w:rPr>
                <w:rFonts w:asciiTheme="minorHAnsi" w:hAnsiTheme="minorHAnsi" w:cstheme="minorHAnsi"/>
                <w:b/>
                <w:sz w:val="20"/>
                <w:szCs w:val="20"/>
              </w:rPr>
            </w:pPr>
            <w:r w:rsidRPr="00BB3C18">
              <w:rPr>
                <w:rFonts w:asciiTheme="minorHAnsi" w:hAnsiTheme="minorHAnsi" w:cstheme="minorHAnsi"/>
                <w:b/>
                <w:sz w:val="20"/>
                <w:szCs w:val="20"/>
              </w:rPr>
              <w:t>Loss before taxation</w:t>
            </w:r>
          </w:p>
        </w:tc>
        <w:tc>
          <w:tcPr>
            <w:tcW w:w="1276" w:type="dxa"/>
          </w:tcPr>
          <w:p w14:paraId="0312F180" w14:textId="77777777" w:rsidR="00B058C1" w:rsidRPr="007B6961" w:rsidRDefault="00B058C1" w:rsidP="00B058C1">
            <w:pPr>
              <w:jc w:val="center"/>
              <w:rPr>
                <w:rFonts w:asciiTheme="minorHAnsi" w:hAnsiTheme="minorHAnsi" w:cstheme="minorHAnsi"/>
                <w:sz w:val="20"/>
                <w:szCs w:val="20"/>
              </w:rPr>
            </w:pPr>
          </w:p>
        </w:tc>
        <w:tc>
          <w:tcPr>
            <w:tcW w:w="1417" w:type="dxa"/>
            <w:tcBorders>
              <w:top w:val="single" w:sz="4" w:space="0" w:color="auto"/>
            </w:tcBorders>
          </w:tcPr>
          <w:p w14:paraId="0312F182" w14:textId="6E33A02D" w:rsidR="00B058C1" w:rsidRPr="00182A80" w:rsidRDefault="00345A8A" w:rsidP="00B058C1">
            <w:pPr>
              <w:jc w:val="right"/>
              <w:rPr>
                <w:rFonts w:asciiTheme="minorHAnsi" w:hAnsiTheme="minorHAnsi" w:cstheme="minorHAnsi"/>
                <w:b/>
                <w:sz w:val="20"/>
                <w:szCs w:val="20"/>
              </w:rPr>
            </w:pPr>
            <w:r>
              <w:rPr>
                <w:rFonts w:asciiTheme="minorHAnsi" w:hAnsiTheme="minorHAnsi" w:cstheme="minorHAnsi"/>
                <w:b/>
                <w:sz w:val="20"/>
                <w:szCs w:val="20"/>
              </w:rPr>
              <w:t>(</w:t>
            </w:r>
            <w:r w:rsidR="00A83EC5">
              <w:rPr>
                <w:rFonts w:asciiTheme="minorHAnsi" w:hAnsiTheme="minorHAnsi" w:cstheme="minorHAnsi"/>
                <w:b/>
                <w:sz w:val="20"/>
                <w:szCs w:val="20"/>
              </w:rPr>
              <w:t>762,</w:t>
            </w:r>
            <w:r w:rsidR="004452F7">
              <w:rPr>
                <w:rFonts w:asciiTheme="minorHAnsi" w:hAnsiTheme="minorHAnsi" w:cstheme="minorHAnsi"/>
                <w:b/>
                <w:sz w:val="20"/>
                <w:szCs w:val="20"/>
              </w:rPr>
              <w:t>107</w:t>
            </w:r>
            <w:r>
              <w:rPr>
                <w:rFonts w:asciiTheme="minorHAnsi" w:hAnsiTheme="minorHAnsi" w:cstheme="minorHAnsi"/>
                <w:b/>
                <w:sz w:val="20"/>
                <w:szCs w:val="20"/>
              </w:rPr>
              <w:t>)</w:t>
            </w:r>
            <w:r w:rsidR="00FA0483" w:rsidRPr="00182A80" w:rsidDel="00B058C1">
              <w:rPr>
                <w:rFonts w:asciiTheme="minorHAnsi" w:hAnsiTheme="minorHAnsi" w:cstheme="minorHAnsi"/>
                <w:b/>
                <w:sz w:val="20"/>
                <w:szCs w:val="20"/>
              </w:rPr>
              <w:t xml:space="preserve"> </w:t>
            </w:r>
          </w:p>
        </w:tc>
        <w:tc>
          <w:tcPr>
            <w:tcW w:w="284" w:type="dxa"/>
          </w:tcPr>
          <w:p w14:paraId="0312F185" w14:textId="77777777" w:rsidR="00B058C1" w:rsidRPr="00BB3C18" w:rsidRDefault="00B058C1" w:rsidP="00B058C1">
            <w:pPr>
              <w:jc w:val="right"/>
              <w:rPr>
                <w:rFonts w:asciiTheme="minorHAnsi" w:hAnsiTheme="minorHAnsi" w:cstheme="minorHAnsi"/>
                <w:b/>
                <w:sz w:val="20"/>
                <w:szCs w:val="20"/>
              </w:rPr>
            </w:pPr>
          </w:p>
        </w:tc>
        <w:tc>
          <w:tcPr>
            <w:tcW w:w="1559" w:type="dxa"/>
            <w:tcBorders>
              <w:top w:val="single" w:sz="4" w:space="0" w:color="auto"/>
            </w:tcBorders>
          </w:tcPr>
          <w:p w14:paraId="0312F186" w14:textId="52C26C73" w:rsidR="00B058C1" w:rsidRPr="00B058C1" w:rsidRDefault="00B058C1" w:rsidP="00B058C1">
            <w:pPr>
              <w:jc w:val="right"/>
              <w:rPr>
                <w:rFonts w:asciiTheme="minorHAnsi" w:hAnsiTheme="minorHAnsi" w:cstheme="minorHAnsi"/>
                <w:bCs/>
                <w:sz w:val="20"/>
                <w:szCs w:val="20"/>
              </w:rPr>
            </w:pPr>
            <w:r w:rsidRPr="00B058C1">
              <w:rPr>
                <w:rFonts w:asciiTheme="minorHAnsi" w:hAnsiTheme="minorHAnsi" w:cstheme="minorHAnsi"/>
                <w:bCs/>
                <w:sz w:val="20"/>
                <w:szCs w:val="20"/>
              </w:rPr>
              <w:t>(</w:t>
            </w:r>
            <w:r w:rsidR="00C67D08">
              <w:rPr>
                <w:rFonts w:asciiTheme="minorHAnsi" w:hAnsiTheme="minorHAnsi" w:cstheme="minorHAnsi"/>
                <w:bCs/>
                <w:sz w:val="20"/>
                <w:szCs w:val="20"/>
              </w:rPr>
              <w:t>7</w:t>
            </w:r>
            <w:r w:rsidR="00013F6E">
              <w:rPr>
                <w:rFonts w:asciiTheme="minorHAnsi" w:hAnsiTheme="minorHAnsi" w:cstheme="minorHAnsi"/>
                <w:bCs/>
                <w:sz w:val="20"/>
                <w:szCs w:val="20"/>
              </w:rPr>
              <w:t>,69</w:t>
            </w:r>
            <w:r w:rsidR="00361EBC">
              <w:rPr>
                <w:rFonts w:asciiTheme="minorHAnsi" w:hAnsiTheme="minorHAnsi" w:cstheme="minorHAnsi"/>
                <w:bCs/>
                <w:sz w:val="20"/>
                <w:szCs w:val="20"/>
              </w:rPr>
              <w:t>3</w:t>
            </w:r>
            <w:r w:rsidR="00F815C8">
              <w:rPr>
                <w:rFonts w:asciiTheme="minorHAnsi" w:hAnsiTheme="minorHAnsi" w:cstheme="minorHAnsi"/>
                <w:bCs/>
                <w:sz w:val="20"/>
                <w:szCs w:val="20"/>
              </w:rPr>
              <w:t>,</w:t>
            </w:r>
            <w:r w:rsidR="00361EBC">
              <w:rPr>
                <w:rFonts w:asciiTheme="minorHAnsi" w:hAnsiTheme="minorHAnsi" w:cstheme="minorHAnsi"/>
                <w:bCs/>
                <w:sz w:val="20"/>
                <w:szCs w:val="20"/>
              </w:rPr>
              <w:t>633</w:t>
            </w:r>
            <w:r w:rsidRPr="00B058C1">
              <w:rPr>
                <w:rFonts w:asciiTheme="minorHAnsi" w:hAnsiTheme="minorHAnsi" w:cstheme="minorHAnsi"/>
                <w:bCs/>
                <w:sz w:val="20"/>
                <w:szCs w:val="20"/>
              </w:rPr>
              <w:t>)</w:t>
            </w:r>
          </w:p>
        </w:tc>
      </w:tr>
      <w:tr w:rsidR="00B058C1" w:rsidRPr="00BB3C18" w14:paraId="0312F191" w14:textId="77777777" w:rsidTr="0089385A">
        <w:tc>
          <w:tcPr>
            <w:tcW w:w="5245" w:type="dxa"/>
            <w:gridSpan w:val="4"/>
          </w:tcPr>
          <w:p w14:paraId="0312F188" w14:textId="77777777" w:rsidR="00B058C1" w:rsidRPr="00BB3C18" w:rsidRDefault="00B058C1" w:rsidP="00B058C1">
            <w:pPr>
              <w:rPr>
                <w:rFonts w:asciiTheme="minorHAnsi" w:hAnsiTheme="minorHAnsi" w:cstheme="minorHAnsi"/>
                <w:sz w:val="20"/>
                <w:szCs w:val="20"/>
              </w:rPr>
            </w:pPr>
          </w:p>
        </w:tc>
        <w:tc>
          <w:tcPr>
            <w:tcW w:w="1276" w:type="dxa"/>
          </w:tcPr>
          <w:p w14:paraId="0312F18A" w14:textId="77777777" w:rsidR="00B058C1" w:rsidRPr="007B6961" w:rsidRDefault="00B058C1" w:rsidP="00B058C1">
            <w:pPr>
              <w:jc w:val="center"/>
              <w:rPr>
                <w:rFonts w:asciiTheme="minorHAnsi" w:hAnsiTheme="minorHAnsi" w:cstheme="minorHAnsi"/>
                <w:sz w:val="20"/>
                <w:szCs w:val="20"/>
              </w:rPr>
            </w:pPr>
          </w:p>
        </w:tc>
        <w:tc>
          <w:tcPr>
            <w:tcW w:w="1417" w:type="dxa"/>
          </w:tcPr>
          <w:p w14:paraId="0312F18C" w14:textId="77777777" w:rsidR="00B058C1" w:rsidRPr="00182A80" w:rsidRDefault="00B058C1" w:rsidP="00B058C1">
            <w:pPr>
              <w:jc w:val="right"/>
              <w:rPr>
                <w:rFonts w:asciiTheme="minorHAnsi" w:hAnsiTheme="minorHAnsi" w:cstheme="minorHAnsi"/>
                <w:b/>
                <w:sz w:val="20"/>
                <w:szCs w:val="20"/>
              </w:rPr>
            </w:pPr>
          </w:p>
        </w:tc>
        <w:tc>
          <w:tcPr>
            <w:tcW w:w="284" w:type="dxa"/>
          </w:tcPr>
          <w:p w14:paraId="0312F18F" w14:textId="77777777" w:rsidR="00B058C1" w:rsidRPr="00BB3C18" w:rsidRDefault="00B058C1" w:rsidP="00B058C1">
            <w:pPr>
              <w:jc w:val="right"/>
              <w:rPr>
                <w:rFonts w:asciiTheme="minorHAnsi" w:hAnsiTheme="minorHAnsi" w:cstheme="minorHAnsi"/>
                <w:sz w:val="20"/>
                <w:szCs w:val="20"/>
              </w:rPr>
            </w:pPr>
          </w:p>
        </w:tc>
        <w:tc>
          <w:tcPr>
            <w:tcW w:w="1559" w:type="dxa"/>
          </w:tcPr>
          <w:p w14:paraId="0312F190" w14:textId="77777777" w:rsidR="00B058C1" w:rsidRPr="00B058C1" w:rsidRDefault="00B058C1" w:rsidP="00B058C1">
            <w:pPr>
              <w:jc w:val="right"/>
              <w:rPr>
                <w:rFonts w:asciiTheme="minorHAnsi" w:hAnsiTheme="minorHAnsi" w:cstheme="minorHAnsi"/>
                <w:bCs/>
                <w:sz w:val="20"/>
                <w:szCs w:val="20"/>
              </w:rPr>
            </w:pPr>
          </w:p>
        </w:tc>
      </w:tr>
      <w:tr w:rsidR="00B058C1" w:rsidRPr="00BB3C18" w14:paraId="0312F19B" w14:textId="77777777" w:rsidTr="0089385A">
        <w:tc>
          <w:tcPr>
            <w:tcW w:w="5245" w:type="dxa"/>
            <w:gridSpan w:val="4"/>
          </w:tcPr>
          <w:p w14:paraId="0312F192" w14:textId="77777777" w:rsidR="00B058C1" w:rsidRPr="00BB3C18" w:rsidRDefault="00B058C1" w:rsidP="00B058C1">
            <w:pPr>
              <w:rPr>
                <w:rFonts w:asciiTheme="minorHAnsi" w:hAnsiTheme="minorHAnsi" w:cstheme="minorHAnsi"/>
                <w:sz w:val="20"/>
                <w:szCs w:val="20"/>
              </w:rPr>
            </w:pPr>
            <w:r w:rsidRPr="00BB3C18">
              <w:rPr>
                <w:rFonts w:asciiTheme="minorHAnsi" w:hAnsiTheme="minorHAnsi" w:cstheme="minorHAnsi"/>
                <w:sz w:val="20"/>
                <w:szCs w:val="20"/>
              </w:rPr>
              <w:t>Taxation</w:t>
            </w:r>
          </w:p>
        </w:tc>
        <w:tc>
          <w:tcPr>
            <w:tcW w:w="1276" w:type="dxa"/>
          </w:tcPr>
          <w:p w14:paraId="0312F194" w14:textId="0557BF4A" w:rsidR="00B058C1" w:rsidRPr="007B6961" w:rsidRDefault="00B058C1" w:rsidP="00B058C1">
            <w:pPr>
              <w:jc w:val="center"/>
              <w:rPr>
                <w:rFonts w:asciiTheme="minorHAnsi" w:hAnsiTheme="minorHAnsi" w:cstheme="minorHAnsi"/>
                <w:sz w:val="20"/>
                <w:szCs w:val="20"/>
              </w:rPr>
            </w:pPr>
            <w:r w:rsidRPr="007B6961">
              <w:rPr>
                <w:rFonts w:asciiTheme="minorHAnsi" w:hAnsiTheme="minorHAnsi" w:cstheme="minorHAnsi"/>
                <w:sz w:val="20"/>
                <w:szCs w:val="20"/>
              </w:rPr>
              <w:t>7</w:t>
            </w:r>
          </w:p>
        </w:tc>
        <w:tc>
          <w:tcPr>
            <w:tcW w:w="1417" w:type="dxa"/>
            <w:tcBorders>
              <w:bottom w:val="single" w:sz="4" w:space="0" w:color="auto"/>
            </w:tcBorders>
          </w:tcPr>
          <w:p w14:paraId="0312F196" w14:textId="73B7D6E4" w:rsidR="00B058C1" w:rsidRPr="00182A80" w:rsidRDefault="00B058C1" w:rsidP="00B058C1">
            <w:pPr>
              <w:jc w:val="right"/>
              <w:rPr>
                <w:rFonts w:asciiTheme="minorHAnsi" w:hAnsiTheme="minorHAnsi" w:cstheme="minorHAnsi"/>
                <w:b/>
                <w:sz w:val="20"/>
                <w:szCs w:val="20"/>
              </w:rPr>
            </w:pPr>
            <w:r w:rsidRPr="00182A80">
              <w:rPr>
                <w:rFonts w:asciiTheme="minorHAnsi" w:hAnsiTheme="minorHAnsi" w:cstheme="minorHAnsi"/>
                <w:b/>
                <w:sz w:val="20"/>
                <w:szCs w:val="20"/>
              </w:rPr>
              <w:t>-</w:t>
            </w:r>
          </w:p>
        </w:tc>
        <w:tc>
          <w:tcPr>
            <w:tcW w:w="284" w:type="dxa"/>
          </w:tcPr>
          <w:p w14:paraId="0312F199" w14:textId="77777777" w:rsidR="00B058C1" w:rsidRPr="00BB3C18" w:rsidRDefault="00B058C1" w:rsidP="00B058C1">
            <w:pPr>
              <w:jc w:val="right"/>
              <w:rPr>
                <w:rFonts w:asciiTheme="minorHAnsi" w:hAnsiTheme="minorHAnsi" w:cstheme="minorHAnsi"/>
                <w:sz w:val="20"/>
                <w:szCs w:val="20"/>
              </w:rPr>
            </w:pPr>
          </w:p>
        </w:tc>
        <w:tc>
          <w:tcPr>
            <w:tcW w:w="1559" w:type="dxa"/>
            <w:tcBorders>
              <w:bottom w:val="single" w:sz="4" w:space="0" w:color="auto"/>
            </w:tcBorders>
          </w:tcPr>
          <w:p w14:paraId="0312F19A" w14:textId="27EC2249" w:rsidR="00B058C1" w:rsidRPr="00B058C1" w:rsidRDefault="00B058C1" w:rsidP="00B058C1">
            <w:pPr>
              <w:jc w:val="right"/>
              <w:rPr>
                <w:rFonts w:asciiTheme="minorHAnsi" w:hAnsiTheme="minorHAnsi" w:cstheme="minorHAnsi"/>
                <w:bCs/>
                <w:sz w:val="20"/>
                <w:szCs w:val="20"/>
              </w:rPr>
            </w:pPr>
            <w:r w:rsidRPr="00B058C1">
              <w:rPr>
                <w:rFonts w:asciiTheme="minorHAnsi" w:hAnsiTheme="minorHAnsi" w:cstheme="minorHAnsi"/>
                <w:bCs/>
                <w:sz w:val="20"/>
                <w:szCs w:val="20"/>
              </w:rPr>
              <w:t>-</w:t>
            </w:r>
          </w:p>
        </w:tc>
      </w:tr>
      <w:tr w:rsidR="00B058C1" w:rsidRPr="00BB3C18" w14:paraId="0312F1A3" w14:textId="77777777" w:rsidTr="0089385A">
        <w:tc>
          <w:tcPr>
            <w:tcW w:w="5245" w:type="dxa"/>
            <w:gridSpan w:val="4"/>
          </w:tcPr>
          <w:p w14:paraId="34F000B9" w14:textId="7A5FF697" w:rsidR="00B058C1" w:rsidRPr="00BB3C18" w:rsidRDefault="00B058C1" w:rsidP="00B058C1">
            <w:pPr>
              <w:rPr>
                <w:rFonts w:asciiTheme="minorHAnsi" w:hAnsiTheme="minorHAnsi" w:cstheme="minorHAnsi"/>
                <w:b/>
                <w:sz w:val="20"/>
                <w:szCs w:val="20"/>
              </w:rPr>
            </w:pPr>
            <w:r w:rsidRPr="00BB3C18">
              <w:rPr>
                <w:rFonts w:asciiTheme="minorHAnsi" w:hAnsiTheme="minorHAnsi" w:cstheme="minorHAnsi"/>
                <w:b/>
                <w:sz w:val="20"/>
                <w:szCs w:val="20"/>
              </w:rPr>
              <w:t>Loss for the period from continuing operations</w:t>
            </w:r>
          </w:p>
        </w:tc>
        <w:tc>
          <w:tcPr>
            <w:tcW w:w="1276" w:type="dxa"/>
          </w:tcPr>
          <w:p w14:paraId="0312F19C" w14:textId="2A45057B" w:rsidR="00B058C1" w:rsidRPr="007B6961" w:rsidRDefault="00B058C1" w:rsidP="00B058C1">
            <w:pPr>
              <w:jc w:val="center"/>
              <w:rPr>
                <w:rFonts w:asciiTheme="minorHAnsi" w:hAnsiTheme="minorHAnsi" w:cstheme="minorHAnsi"/>
                <w:b/>
                <w:sz w:val="20"/>
                <w:szCs w:val="20"/>
              </w:rPr>
            </w:pPr>
          </w:p>
        </w:tc>
        <w:tc>
          <w:tcPr>
            <w:tcW w:w="1417" w:type="dxa"/>
            <w:tcBorders>
              <w:top w:val="single" w:sz="4" w:space="0" w:color="auto"/>
            </w:tcBorders>
          </w:tcPr>
          <w:p w14:paraId="0312F19E" w14:textId="4255B874" w:rsidR="00B058C1" w:rsidRPr="00182A80" w:rsidRDefault="00345A8A" w:rsidP="00B058C1">
            <w:pPr>
              <w:jc w:val="right"/>
              <w:rPr>
                <w:rFonts w:asciiTheme="minorHAnsi" w:hAnsiTheme="minorHAnsi" w:cstheme="minorHAnsi"/>
                <w:b/>
                <w:sz w:val="20"/>
                <w:szCs w:val="20"/>
              </w:rPr>
            </w:pPr>
            <w:r>
              <w:rPr>
                <w:rFonts w:asciiTheme="minorHAnsi" w:hAnsiTheme="minorHAnsi" w:cstheme="minorHAnsi"/>
                <w:b/>
                <w:sz w:val="20"/>
                <w:szCs w:val="20"/>
              </w:rPr>
              <w:t>(</w:t>
            </w:r>
            <w:r w:rsidR="00A83EC5">
              <w:rPr>
                <w:rFonts w:asciiTheme="minorHAnsi" w:hAnsiTheme="minorHAnsi" w:cstheme="minorHAnsi"/>
                <w:b/>
                <w:sz w:val="20"/>
                <w:szCs w:val="20"/>
              </w:rPr>
              <w:t>762,</w:t>
            </w:r>
            <w:r w:rsidR="004452F7">
              <w:rPr>
                <w:rFonts w:asciiTheme="minorHAnsi" w:hAnsiTheme="minorHAnsi" w:cstheme="minorHAnsi"/>
                <w:b/>
                <w:sz w:val="20"/>
                <w:szCs w:val="20"/>
              </w:rPr>
              <w:t>107</w:t>
            </w:r>
            <w:r>
              <w:rPr>
                <w:rFonts w:asciiTheme="minorHAnsi" w:hAnsiTheme="minorHAnsi" w:cstheme="minorHAnsi"/>
                <w:b/>
                <w:sz w:val="20"/>
                <w:szCs w:val="20"/>
              </w:rPr>
              <w:t>)</w:t>
            </w:r>
            <w:r w:rsidR="00FA0483" w:rsidRPr="00182A80" w:rsidDel="00B058C1">
              <w:rPr>
                <w:rFonts w:asciiTheme="minorHAnsi" w:hAnsiTheme="minorHAnsi" w:cstheme="minorHAnsi"/>
                <w:b/>
                <w:sz w:val="20"/>
                <w:szCs w:val="20"/>
              </w:rPr>
              <w:t xml:space="preserve"> </w:t>
            </w:r>
          </w:p>
        </w:tc>
        <w:tc>
          <w:tcPr>
            <w:tcW w:w="284" w:type="dxa"/>
          </w:tcPr>
          <w:p w14:paraId="0312F1A1" w14:textId="77777777" w:rsidR="00B058C1" w:rsidRPr="00BB3C18" w:rsidRDefault="00B058C1" w:rsidP="00B058C1">
            <w:pPr>
              <w:jc w:val="right"/>
              <w:rPr>
                <w:rFonts w:asciiTheme="minorHAnsi" w:hAnsiTheme="minorHAnsi" w:cstheme="minorHAnsi"/>
                <w:sz w:val="20"/>
                <w:szCs w:val="20"/>
              </w:rPr>
            </w:pPr>
          </w:p>
        </w:tc>
        <w:tc>
          <w:tcPr>
            <w:tcW w:w="1559" w:type="dxa"/>
            <w:tcBorders>
              <w:top w:val="single" w:sz="4" w:space="0" w:color="auto"/>
            </w:tcBorders>
          </w:tcPr>
          <w:p w14:paraId="0312F1A2" w14:textId="7BA466A0" w:rsidR="00B058C1" w:rsidRPr="00B058C1" w:rsidRDefault="00B058C1" w:rsidP="00B058C1">
            <w:pPr>
              <w:jc w:val="right"/>
              <w:rPr>
                <w:rFonts w:asciiTheme="minorHAnsi" w:hAnsiTheme="minorHAnsi" w:cstheme="minorHAnsi"/>
                <w:bCs/>
                <w:sz w:val="20"/>
                <w:szCs w:val="20"/>
              </w:rPr>
            </w:pPr>
            <w:r w:rsidRPr="00B058C1">
              <w:rPr>
                <w:rFonts w:asciiTheme="minorHAnsi" w:hAnsiTheme="minorHAnsi" w:cstheme="minorHAnsi"/>
                <w:bCs/>
                <w:sz w:val="20"/>
                <w:szCs w:val="20"/>
              </w:rPr>
              <w:t>(</w:t>
            </w:r>
            <w:r w:rsidR="00C67D08">
              <w:rPr>
                <w:rFonts w:asciiTheme="minorHAnsi" w:hAnsiTheme="minorHAnsi" w:cstheme="minorHAnsi"/>
                <w:bCs/>
                <w:sz w:val="20"/>
                <w:szCs w:val="20"/>
              </w:rPr>
              <w:t>7</w:t>
            </w:r>
            <w:r w:rsidR="00013F6E">
              <w:rPr>
                <w:rFonts w:asciiTheme="minorHAnsi" w:hAnsiTheme="minorHAnsi" w:cstheme="minorHAnsi"/>
                <w:bCs/>
                <w:sz w:val="20"/>
                <w:szCs w:val="20"/>
              </w:rPr>
              <w:t>,69</w:t>
            </w:r>
            <w:r w:rsidR="00361EBC">
              <w:rPr>
                <w:rFonts w:asciiTheme="minorHAnsi" w:hAnsiTheme="minorHAnsi" w:cstheme="minorHAnsi"/>
                <w:bCs/>
                <w:sz w:val="20"/>
                <w:szCs w:val="20"/>
              </w:rPr>
              <w:t>3,633</w:t>
            </w:r>
            <w:r w:rsidRPr="00B058C1">
              <w:rPr>
                <w:rFonts w:asciiTheme="minorHAnsi" w:hAnsiTheme="minorHAnsi" w:cstheme="minorHAnsi"/>
                <w:bCs/>
                <w:sz w:val="20"/>
                <w:szCs w:val="20"/>
              </w:rPr>
              <w:t>)</w:t>
            </w:r>
          </w:p>
        </w:tc>
      </w:tr>
      <w:tr w:rsidR="00B058C1" w:rsidRPr="00BB3C18" w14:paraId="69C5EAC9" w14:textId="77777777" w:rsidTr="0089385A">
        <w:tc>
          <w:tcPr>
            <w:tcW w:w="5245" w:type="dxa"/>
            <w:gridSpan w:val="4"/>
          </w:tcPr>
          <w:p w14:paraId="50D847FD" w14:textId="77777777" w:rsidR="00B058C1" w:rsidRPr="00BB3C18" w:rsidRDefault="00B058C1" w:rsidP="00B058C1">
            <w:pPr>
              <w:rPr>
                <w:rFonts w:asciiTheme="minorHAnsi" w:hAnsiTheme="minorHAnsi" w:cstheme="minorHAnsi"/>
                <w:sz w:val="20"/>
                <w:szCs w:val="20"/>
              </w:rPr>
            </w:pPr>
          </w:p>
        </w:tc>
        <w:tc>
          <w:tcPr>
            <w:tcW w:w="1276" w:type="dxa"/>
          </w:tcPr>
          <w:p w14:paraId="144E87DC" w14:textId="77777777" w:rsidR="00B058C1" w:rsidRPr="007B6961" w:rsidRDefault="00B058C1" w:rsidP="00B058C1">
            <w:pPr>
              <w:jc w:val="center"/>
              <w:rPr>
                <w:rFonts w:asciiTheme="minorHAnsi" w:hAnsiTheme="minorHAnsi" w:cstheme="minorHAnsi"/>
                <w:sz w:val="20"/>
                <w:szCs w:val="20"/>
              </w:rPr>
            </w:pPr>
          </w:p>
        </w:tc>
        <w:tc>
          <w:tcPr>
            <w:tcW w:w="1417" w:type="dxa"/>
          </w:tcPr>
          <w:p w14:paraId="23BEB952" w14:textId="77777777" w:rsidR="00B058C1" w:rsidRPr="00182A80" w:rsidRDefault="00B058C1" w:rsidP="00B058C1">
            <w:pPr>
              <w:jc w:val="right"/>
              <w:rPr>
                <w:rFonts w:asciiTheme="minorHAnsi" w:hAnsiTheme="minorHAnsi" w:cstheme="minorHAnsi"/>
                <w:b/>
                <w:sz w:val="20"/>
                <w:szCs w:val="20"/>
              </w:rPr>
            </w:pPr>
          </w:p>
        </w:tc>
        <w:tc>
          <w:tcPr>
            <w:tcW w:w="284" w:type="dxa"/>
          </w:tcPr>
          <w:p w14:paraId="2618B381" w14:textId="77777777" w:rsidR="00B058C1" w:rsidRPr="00BB3C18" w:rsidRDefault="00B058C1" w:rsidP="00B058C1">
            <w:pPr>
              <w:jc w:val="right"/>
              <w:rPr>
                <w:rFonts w:asciiTheme="minorHAnsi" w:hAnsiTheme="minorHAnsi" w:cstheme="minorHAnsi"/>
                <w:sz w:val="20"/>
                <w:szCs w:val="20"/>
              </w:rPr>
            </w:pPr>
          </w:p>
        </w:tc>
        <w:tc>
          <w:tcPr>
            <w:tcW w:w="1559" w:type="dxa"/>
          </w:tcPr>
          <w:p w14:paraId="1CAB115D" w14:textId="77777777" w:rsidR="00B058C1" w:rsidRPr="00B058C1" w:rsidRDefault="00B058C1" w:rsidP="00B058C1">
            <w:pPr>
              <w:jc w:val="right"/>
              <w:rPr>
                <w:rFonts w:asciiTheme="minorHAnsi" w:hAnsiTheme="minorHAnsi" w:cstheme="minorHAnsi"/>
                <w:bCs/>
                <w:sz w:val="20"/>
                <w:szCs w:val="20"/>
              </w:rPr>
            </w:pPr>
          </w:p>
        </w:tc>
      </w:tr>
      <w:tr w:rsidR="00B058C1" w:rsidRPr="00BB3C18" w14:paraId="0FEC0AFF" w14:textId="77777777" w:rsidTr="0089385A">
        <w:tc>
          <w:tcPr>
            <w:tcW w:w="5245" w:type="dxa"/>
            <w:gridSpan w:val="4"/>
          </w:tcPr>
          <w:p w14:paraId="68CCFE3A" w14:textId="3A4CE11D" w:rsidR="00B058C1" w:rsidRPr="00743F65" w:rsidRDefault="009A4A07" w:rsidP="00B058C1">
            <w:pPr>
              <w:rPr>
                <w:rFonts w:asciiTheme="minorHAnsi" w:hAnsiTheme="minorHAnsi" w:cstheme="minorHAnsi"/>
                <w:sz w:val="20"/>
                <w:szCs w:val="20"/>
              </w:rPr>
            </w:pPr>
            <w:r>
              <w:rPr>
                <w:rFonts w:asciiTheme="minorHAnsi" w:hAnsiTheme="minorHAnsi" w:cstheme="minorHAnsi"/>
                <w:sz w:val="20"/>
                <w:szCs w:val="20"/>
              </w:rPr>
              <w:t>Loss</w:t>
            </w:r>
            <w:r w:rsidR="00B058C1" w:rsidRPr="00743F65">
              <w:rPr>
                <w:rFonts w:asciiTheme="minorHAnsi" w:hAnsiTheme="minorHAnsi" w:cstheme="minorHAnsi"/>
                <w:sz w:val="20"/>
                <w:szCs w:val="20"/>
              </w:rPr>
              <w:t xml:space="preserve"> for the period from discontinued operations</w:t>
            </w:r>
          </w:p>
        </w:tc>
        <w:tc>
          <w:tcPr>
            <w:tcW w:w="1276" w:type="dxa"/>
          </w:tcPr>
          <w:p w14:paraId="1B41F5C7" w14:textId="0FF73C50" w:rsidR="00B058C1" w:rsidRPr="007B6961" w:rsidRDefault="00B058C1" w:rsidP="00B058C1">
            <w:pPr>
              <w:jc w:val="center"/>
              <w:rPr>
                <w:rFonts w:asciiTheme="minorHAnsi" w:hAnsiTheme="minorHAnsi" w:cstheme="minorHAnsi"/>
                <w:sz w:val="20"/>
                <w:szCs w:val="20"/>
              </w:rPr>
            </w:pPr>
            <w:r w:rsidRPr="007B6961">
              <w:rPr>
                <w:rFonts w:asciiTheme="minorHAnsi" w:hAnsiTheme="minorHAnsi" w:cstheme="minorHAnsi"/>
                <w:sz w:val="20"/>
                <w:szCs w:val="20"/>
              </w:rPr>
              <w:t>5</w:t>
            </w:r>
          </w:p>
        </w:tc>
        <w:tc>
          <w:tcPr>
            <w:tcW w:w="1417" w:type="dxa"/>
          </w:tcPr>
          <w:p w14:paraId="4C7E8CB0" w14:textId="0E00CC00" w:rsidR="00B058C1" w:rsidRPr="00B5632A" w:rsidRDefault="00013F6E" w:rsidP="00B058C1">
            <w:pPr>
              <w:jc w:val="right"/>
              <w:rPr>
                <w:rFonts w:asciiTheme="minorHAnsi" w:hAnsiTheme="minorHAnsi" w:cstheme="minorHAnsi"/>
                <w:b/>
                <w:bCs/>
                <w:sz w:val="20"/>
                <w:szCs w:val="20"/>
              </w:rPr>
            </w:pPr>
            <w:r>
              <w:rPr>
                <w:rFonts w:asciiTheme="minorHAnsi" w:hAnsiTheme="minorHAnsi" w:cstheme="minorHAnsi"/>
                <w:b/>
                <w:bCs/>
                <w:sz w:val="20"/>
                <w:szCs w:val="20"/>
              </w:rPr>
              <w:t>-</w:t>
            </w:r>
          </w:p>
        </w:tc>
        <w:tc>
          <w:tcPr>
            <w:tcW w:w="284" w:type="dxa"/>
          </w:tcPr>
          <w:p w14:paraId="02DB8578" w14:textId="77777777" w:rsidR="00B058C1" w:rsidRPr="00743F65" w:rsidRDefault="00B058C1" w:rsidP="00B058C1">
            <w:pPr>
              <w:jc w:val="right"/>
              <w:rPr>
                <w:rFonts w:asciiTheme="minorHAnsi" w:hAnsiTheme="minorHAnsi" w:cstheme="minorHAnsi"/>
                <w:sz w:val="20"/>
                <w:szCs w:val="20"/>
              </w:rPr>
            </w:pPr>
          </w:p>
        </w:tc>
        <w:tc>
          <w:tcPr>
            <w:tcW w:w="1559" w:type="dxa"/>
          </w:tcPr>
          <w:p w14:paraId="3A9C0EAE" w14:textId="11DE1EDA" w:rsidR="00B058C1" w:rsidRPr="00B058C1" w:rsidRDefault="00C67D08" w:rsidP="00B058C1">
            <w:pPr>
              <w:jc w:val="right"/>
              <w:rPr>
                <w:rFonts w:asciiTheme="minorHAnsi" w:hAnsiTheme="minorHAnsi" w:cstheme="minorHAnsi"/>
                <w:bCs/>
                <w:sz w:val="20"/>
                <w:szCs w:val="20"/>
              </w:rPr>
            </w:pPr>
            <w:r>
              <w:rPr>
                <w:rFonts w:asciiTheme="minorHAnsi" w:hAnsiTheme="minorHAnsi" w:cstheme="minorHAnsi"/>
                <w:bCs/>
                <w:sz w:val="20"/>
                <w:szCs w:val="20"/>
              </w:rPr>
              <w:t>(</w:t>
            </w:r>
            <w:r w:rsidR="00361EBC">
              <w:rPr>
                <w:rFonts w:asciiTheme="minorHAnsi" w:hAnsiTheme="minorHAnsi" w:cstheme="minorHAnsi"/>
                <w:bCs/>
                <w:sz w:val="20"/>
                <w:szCs w:val="20"/>
              </w:rPr>
              <w:t>3</w:t>
            </w:r>
            <w:r w:rsidR="00D84298">
              <w:rPr>
                <w:rFonts w:asciiTheme="minorHAnsi" w:hAnsiTheme="minorHAnsi" w:cstheme="minorHAnsi"/>
                <w:bCs/>
                <w:sz w:val="20"/>
                <w:szCs w:val="20"/>
              </w:rPr>
              <w:t>,</w:t>
            </w:r>
            <w:r w:rsidR="00361EBC">
              <w:rPr>
                <w:rFonts w:asciiTheme="minorHAnsi" w:hAnsiTheme="minorHAnsi" w:cstheme="minorHAnsi"/>
                <w:bCs/>
                <w:sz w:val="20"/>
                <w:szCs w:val="20"/>
              </w:rPr>
              <w:t>673</w:t>
            </w:r>
            <w:r>
              <w:rPr>
                <w:rFonts w:asciiTheme="minorHAnsi" w:hAnsiTheme="minorHAnsi" w:cstheme="minorHAnsi"/>
                <w:bCs/>
                <w:sz w:val="20"/>
                <w:szCs w:val="20"/>
              </w:rPr>
              <w:t>)</w:t>
            </w:r>
          </w:p>
        </w:tc>
      </w:tr>
      <w:tr w:rsidR="00B058C1" w:rsidRPr="00BB3C18" w14:paraId="61A0B360" w14:textId="77777777" w:rsidTr="0089385A">
        <w:tc>
          <w:tcPr>
            <w:tcW w:w="5245" w:type="dxa"/>
            <w:gridSpan w:val="4"/>
          </w:tcPr>
          <w:p w14:paraId="6D6EA4B0" w14:textId="77777777" w:rsidR="00B058C1" w:rsidRPr="00BB3C18" w:rsidRDefault="00B058C1" w:rsidP="00B058C1">
            <w:pPr>
              <w:rPr>
                <w:rFonts w:asciiTheme="minorHAnsi" w:hAnsiTheme="minorHAnsi" w:cstheme="minorHAnsi"/>
                <w:sz w:val="20"/>
                <w:szCs w:val="20"/>
              </w:rPr>
            </w:pPr>
          </w:p>
        </w:tc>
        <w:tc>
          <w:tcPr>
            <w:tcW w:w="1276" w:type="dxa"/>
          </w:tcPr>
          <w:p w14:paraId="48B0DBCA" w14:textId="77777777" w:rsidR="00B058C1" w:rsidRPr="007B6961" w:rsidRDefault="00B058C1" w:rsidP="00B058C1">
            <w:pPr>
              <w:jc w:val="center"/>
              <w:rPr>
                <w:rFonts w:asciiTheme="minorHAnsi" w:hAnsiTheme="minorHAnsi" w:cstheme="minorHAnsi"/>
                <w:sz w:val="20"/>
                <w:szCs w:val="20"/>
              </w:rPr>
            </w:pPr>
          </w:p>
        </w:tc>
        <w:tc>
          <w:tcPr>
            <w:tcW w:w="1417" w:type="dxa"/>
            <w:tcBorders>
              <w:bottom w:val="single" w:sz="4" w:space="0" w:color="auto"/>
            </w:tcBorders>
          </w:tcPr>
          <w:p w14:paraId="43ECA4EE" w14:textId="77777777" w:rsidR="00B058C1" w:rsidRPr="00182A80" w:rsidRDefault="00B058C1" w:rsidP="00B058C1">
            <w:pPr>
              <w:jc w:val="right"/>
              <w:rPr>
                <w:rFonts w:asciiTheme="minorHAnsi" w:hAnsiTheme="minorHAnsi" w:cstheme="minorHAnsi"/>
                <w:b/>
                <w:sz w:val="20"/>
                <w:szCs w:val="20"/>
              </w:rPr>
            </w:pPr>
          </w:p>
        </w:tc>
        <w:tc>
          <w:tcPr>
            <w:tcW w:w="284" w:type="dxa"/>
          </w:tcPr>
          <w:p w14:paraId="3DED5192" w14:textId="77777777" w:rsidR="00B058C1" w:rsidRPr="00BB3C18" w:rsidRDefault="00B058C1" w:rsidP="00B058C1">
            <w:pPr>
              <w:jc w:val="right"/>
              <w:rPr>
                <w:rFonts w:asciiTheme="minorHAnsi" w:hAnsiTheme="minorHAnsi" w:cstheme="minorHAnsi"/>
                <w:sz w:val="20"/>
                <w:szCs w:val="20"/>
              </w:rPr>
            </w:pPr>
          </w:p>
        </w:tc>
        <w:tc>
          <w:tcPr>
            <w:tcW w:w="1559" w:type="dxa"/>
            <w:tcBorders>
              <w:bottom w:val="single" w:sz="4" w:space="0" w:color="auto"/>
            </w:tcBorders>
          </w:tcPr>
          <w:p w14:paraId="545F287A" w14:textId="77777777" w:rsidR="00B058C1" w:rsidRPr="00B058C1" w:rsidRDefault="00B058C1" w:rsidP="00B058C1">
            <w:pPr>
              <w:jc w:val="right"/>
              <w:rPr>
                <w:rFonts w:asciiTheme="minorHAnsi" w:hAnsiTheme="minorHAnsi" w:cstheme="minorHAnsi"/>
                <w:bCs/>
                <w:sz w:val="20"/>
                <w:szCs w:val="20"/>
              </w:rPr>
            </w:pPr>
          </w:p>
        </w:tc>
      </w:tr>
      <w:tr w:rsidR="00B058C1" w:rsidRPr="00BB3C18" w14:paraId="0A360BEB" w14:textId="77777777" w:rsidTr="0089385A">
        <w:tc>
          <w:tcPr>
            <w:tcW w:w="5245" w:type="dxa"/>
            <w:gridSpan w:val="4"/>
          </w:tcPr>
          <w:p w14:paraId="0211FBC1" w14:textId="07CFA808" w:rsidR="00B058C1" w:rsidRPr="00BB3C18" w:rsidRDefault="00B058C1" w:rsidP="00B058C1">
            <w:pPr>
              <w:rPr>
                <w:rFonts w:asciiTheme="minorHAnsi" w:hAnsiTheme="minorHAnsi" w:cstheme="minorHAnsi"/>
                <w:b/>
                <w:sz w:val="20"/>
                <w:szCs w:val="20"/>
              </w:rPr>
            </w:pPr>
            <w:r w:rsidRPr="00BB3C18">
              <w:rPr>
                <w:rFonts w:asciiTheme="minorHAnsi" w:hAnsiTheme="minorHAnsi" w:cstheme="minorHAnsi"/>
                <w:b/>
                <w:sz w:val="20"/>
                <w:szCs w:val="20"/>
              </w:rPr>
              <w:t>Loss for the period</w:t>
            </w:r>
          </w:p>
        </w:tc>
        <w:tc>
          <w:tcPr>
            <w:tcW w:w="1276" w:type="dxa"/>
          </w:tcPr>
          <w:p w14:paraId="06F3DB08" w14:textId="77777777" w:rsidR="00B058C1" w:rsidRPr="007B6961" w:rsidRDefault="00B058C1" w:rsidP="00B058C1">
            <w:pPr>
              <w:jc w:val="center"/>
              <w:rPr>
                <w:rFonts w:asciiTheme="minorHAnsi" w:hAnsiTheme="minorHAnsi" w:cstheme="minorHAnsi"/>
                <w:sz w:val="20"/>
                <w:szCs w:val="20"/>
              </w:rPr>
            </w:pPr>
          </w:p>
        </w:tc>
        <w:tc>
          <w:tcPr>
            <w:tcW w:w="1417" w:type="dxa"/>
            <w:tcBorders>
              <w:top w:val="single" w:sz="4" w:space="0" w:color="auto"/>
            </w:tcBorders>
          </w:tcPr>
          <w:p w14:paraId="54267310" w14:textId="0ADC6795" w:rsidR="00B058C1" w:rsidRPr="00182A80" w:rsidRDefault="00345A8A" w:rsidP="00B058C1">
            <w:pPr>
              <w:jc w:val="right"/>
              <w:rPr>
                <w:rFonts w:asciiTheme="minorHAnsi" w:hAnsiTheme="minorHAnsi" w:cstheme="minorHAnsi"/>
                <w:b/>
                <w:sz w:val="20"/>
                <w:szCs w:val="20"/>
              </w:rPr>
            </w:pPr>
            <w:r>
              <w:rPr>
                <w:rFonts w:asciiTheme="minorHAnsi" w:hAnsiTheme="minorHAnsi" w:cstheme="minorHAnsi"/>
                <w:b/>
                <w:sz w:val="20"/>
                <w:szCs w:val="20"/>
              </w:rPr>
              <w:t>(</w:t>
            </w:r>
            <w:r w:rsidR="00A83EC5">
              <w:rPr>
                <w:rFonts w:asciiTheme="minorHAnsi" w:hAnsiTheme="minorHAnsi" w:cstheme="minorHAnsi"/>
                <w:b/>
                <w:sz w:val="20"/>
                <w:szCs w:val="20"/>
              </w:rPr>
              <w:t>762,</w:t>
            </w:r>
            <w:r w:rsidR="004452F7">
              <w:rPr>
                <w:rFonts w:asciiTheme="minorHAnsi" w:hAnsiTheme="minorHAnsi" w:cstheme="minorHAnsi"/>
                <w:b/>
                <w:sz w:val="20"/>
                <w:szCs w:val="20"/>
              </w:rPr>
              <w:t>107</w:t>
            </w:r>
            <w:r>
              <w:rPr>
                <w:rFonts w:asciiTheme="minorHAnsi" w:hAnsiTheme="minorHAnsi" w:cstheme="minorHAnsi"/>
                <w:b/>
                <w:sz w:val="20"/>
                <w:szCs w:val="20"/>
              </w:rPr>
              <w:t>)</w:t>
            </w:r>
            <w:r w:rsidR="00FA0483" w:rsidRPr="00182A80" w:rsidDel="00B058C1">
              <w:rPr>
                <w:rFonts w:asciiTheme="minorHAnsi" w:hAnsiTheme="minorHAnsi" w:cstheme="minorHAnsi"/>
                <w:b/>
                <w:sz w:val="20"/>
                <w:szCs w:val="20"/>
              </w:rPr>
              <w:t xml:space="preserve"> </w:t>
            </w:r>
          </w:p>
        </w:tc>
        <w:tc>
          <w:tcPr>
            <w:tcW w:w="284" w:type="dxa"/>
          </w:tcPr>
          <w:p w14:paraId="28D17B7A" w14:textId="77777777" w:rsidR="00B058C1" w:rsidRPr="00BB3C18" w:rsidRDefault="00B058C1" w:rsidP="00B058C1">
            <w:pPr>
              <w:jc w:val="right"/>
              <w:rPr>
                <w:rFonts w:asciiTheme="minorHAnsi" w:hAnsiTheme="minorHAnsi" w:cstheme="minorHAnsi"/>
                <w:sz w:val="20"/>
                <w:szCs w:val="20"/>
              </w:rPr>
            </w:pPr>
          </w:p>
        </w:tc>
        <w:tc>
          <w:tcPr>
            <w:tcW w:w="1559" w:type="dxa"/>
            <w:tcBorders>
              <w:top w:val="single" w:sz="4" w:space="0" w:color="auto"/>
            </w:tcBorders>
          </w:tcPr>
          <w:p w14:paraId="077AB9C9" w14:textId="7576A455" w:rsidR="00B058C1" w:rsidRPr="00B058C1" w:rsidRDefault="00B058C1" w:rsidP="00B058C1">
            <w:pPr>
              <w:jc w:val="right"/>
              <w:rPr>
                <w:rFonts w:asciiTheme="minorHAnsi" w:hAnsiTheme="minorHAnsi" w:cstheme="minorHAnsi"/>
                <w:bCs/>
                <w:sz w:val="20"/>
                <w:szCs w:val="20"/>
              </w:rPr>
            </w:pPr>
            <w:r w:rsidRPr="00B058C1">
              <w:rPr>
                <w:rFonts w:asciiTheme="minorHAnsi" w:hAnsiTheme="minorHAnsi" w:cstheme="minorHAnsi"/>
                <w:bCs/>
                <w:sz w:val="20"/>
                <w:szCs w:val="20"/>
              </w:rPr>
              <w:t>(</w:t>
            </w:r>
            <w:r w:rsidR="00C67D08">
              <w:rPr>
                <w:rFonts w:asciiTheme="minorHAnsi" w:hAnsiTheme="minorHAnsi" w:cstheme="minorHAnsi"/>
                <w:bCs/>
                <w:sz w:val="20"/>
                <w:szCs w:val="20"/>
              </w:rPr>
              <w:t>7,69</w:t>
            </w:r>
            <w:r w:rsidR="00F815C8">
              <w:rPr>
                <w:rFonts w:asciiTheme="minorHAnsi" w:hAnsiTheme="minorHAnsi" w:cstheme="minorHAnsi"/>
                <w:bCs/>
                <w:sz w:val="20"/>
                <w:szCs w:val="20"/>
              </w:rPr>
              <w:t>7,30</w:t>
            </w:r>
            <w:r w:rsidR="00361EBC">
              <w:rPr>
                <w:rFonts w:asciiTheme="minorHAnsi" w:hAnsiTheme="minorHAnsi" w:cstheme="minorHAnsi"/>
                <w:bCs/>
                <w:sz w:val="20"/>
                <w:szCs w:val="20"/>
              </w:rPr>
              <w:t>6</w:t>
            </w:r>
            <w:r w:rsidRPr="00B058C1">
              <w:rPr>
                <w:rFonts w:asciiTheme="minorHAnsi" w:hAnsiTheme="minorHAnsi" w:cstheme="minorHAnsi"/>
                <w:bCs/>
                <w:sz w:val="20"/>
                <w:szCs w:val="20"/>
              </w:rPr>
              <w:t>)</w:t>
            </w:r>
          </w:p>
        </w:tc>
      </w:tr>
      <w:tr w:rsidR="00B058C1" w:rsidRPr="00BB3C18" w14:paraId="0312F1BA" w14:textId="77777777" w:rsidTr="0089385A">
        <w:tc>
          <w:tcPr>
            <w:tcW w:w="5245" w:type="dxa"/>
            <w:gridSpan w:val="4"/>
          </w:tcPr>
          <w:p w14:paraId="5DCF04F9" w14:textId="77777777" w:rsidR="00B058C1" w:rsidRPr="00BB3C18" w:rsidRDefault="00B058C1" w:rsidP="00CA1746">
            <w:pPr>
              <w:jc w:val="right"/>
              <w:rPr>
                <w:rFonts w:asciiTheme="minorHAnsi" w:hAnsiTheme="minorHAnsi" w:cstheme="minorHAnsi"/>
                <w:sz w:val="20"/>
                <w:szCs w:val="20"/>
              </w:rPr>
            </w:pPr>
          </w:p>
        </w:tc>
        <w:tc>
          <w:tcPr>
            <w:tcW w:w="1276" w:type="dxa"/>
          </w:tcPr>
          <w:p w14:paraId="0312F1B3" w14:textId="7067EBD4" w:rsidR="00B058C1" w:rsidRPr="007B6961" w:rsidRDefault="00B058C1" w:rsidP="00B058C1">
            <w:pPr>
              <w:jc w:val="center"/>
              <w:rPr>
                <w:rFonts w:asciiTheme="minorHAnsi" w:hAnsiTheme="minorHAnsi" w:cstheme="minorHAnsi"/>
                <w:sz w:val="20"/>
                <w:szCs w:val="20"/>
              </w:rPr>
            </w:pPr>
          </w:p>
        </w:tc>
        <w:tc>
          <w:tcPr>
            <w:tcW w:w="1417" w:type="dxa"/>
            <w:tcBorders>
              <w:bottom w:val="single" w:sz="4" w:space="0" w:color="auto"/>
            </w:tcBorders>
          </w:tcPr>
          <w:p w14:paraId="0312F1B5" w14:textId="77777777" w:rsidR="00B058C1" w:rsidRPr="00182A80" w:rsidRDefault="00B058C1" w:rsidP="00B058C1">
            <w:pPr>
              <w:jc w:val="right"/>
              <w:rPr>
                <w:rFonts w:asciiTheme="minorHAnsi" w:hAnsiTheme="minorHAnsi" w:cstheme="minorHAnsi"/>
                <w:b/>
                <w:sz w:val="20"/>
                <w:szCs w:val="20"/>
              </w:rPr>
            </w:pPr>
          </w:p>
        </w:tc>
        <w:tc>
          <w:tcPr>
            <w:tcW w:w="284" w:type="dxa"/>
          </w:tcPr>
          <w:p w14:paraId="0312F1B8" w14:textId="77777777" w:rsidR="00B058C1" w:rsidRPr="00BB3C18" w:rsidRDefault="00B058C1" w:rsidP="00B058C1">
            <w:pPr>
              <w:jc w:val="right"/>
              <w:rPr>
                <w:rFonts w:asciiTheme="minorHAnsi" w:hAnsiTheme="minorHAnsi" w:cstheme="minorHAnsi"/>
                <w:sz w:val="20"/>
                <w:szCs w:val="20"/>
              </w:rPr>
            </w:pPr>
          </w:p>
        </w:tc>
        <w:tc>
          <w:tcPr>
            <w:tcW w:w="1559" w:type="dxa"/>
            <w:tcBorders>
              <w:bottom w:val="single" w:sz="4" w:space="0" w:color="auto"/>
            </w:tcBorders>
          </w:tcPr>
          <w:p w14:paraId="0312F1B9" w14:textId="77777777" w:rsidR="00B058C1" w:rsidRPr="00B058C1" w:rsidRDefault="00B058C1" w:rsidP="00B058C1">
            <w:pPr>
              <w:jc w:val="right"/>
              <w:rPr>
                <w:rFonts w:asciiTheme="minorHAnsi" w:hAnsiTheme="minorHAnsi" w:cstheme="minorHAnsi"/>
                <w:bCs/>
                <w:sz w:val="20"/>
                <w:szCs w:val="20"/>
              </w:rPr>
            </w:pPr>
          </w:p>
        </w:tc>
      </w:tr>
      <w:tr w:rsidR="00B058C1" w:rsidRPr="00BB3C18" w14:paraId="0312F1C2" w14:textId="77777777" w:rsidTr="0089385A">
        <w:tc>
          <w:tcPr>
            <w:tcW w:w="5245" w:type="dxa"/>
            <w:gridSpan w:val="4"/>
          </w:tcPr>
          <w:p w14:paraId="71DDFD5E" w14:textId="77777777" w:rsidR="00B058C1" w:rsidRPr="00BB3C18" w:rsidRDefault="00B058C1" w:rsidP="00B058C1">
            <w:pPr>
              <w:rPr>
                <w:rFonts w:asciiTheme="minorHAnsi" w:hAnsiTheme="minorHAnsi" w:cstheme="minorHAnsi"/>
                <w:b/>
                <w:sz w:val="20"/>
                <w:szCs w:val="20"/>
              </w:rPr>
            </w:pPr>
            <w:r w:rsidRPr="00BB3C18">
              <w:rPr>
                <w:rFonts w:asciiTheme="minorHAnsi" w:hAnsiTheme="minorHAnsi" w:cstheme="minorHAnsi"/>
                <w:b/>
                <w:sz w:val="20"/>
                <w:szCs w:val="20"/>
              </w:rPr>
              <w:t>Total comprehensive loss for the period</w:t>
            </w:r>
          </w:p>
        </w:tc>
        <w:tc>
          <w:tcPr>
            <w:tcW w:w="1276" w:type="dxa"/>
          </w:tcPr>
          <w:p w14:paraId="0312F1BB" w14:textId="7A24D3CB" w:rsidR="00B058C1" w:rsidRPr="007B6961" w:rsidRDefault="00B058C1" w:rsidP="00B058C1">
            <w:pPr>
              <w:jc w:val="center"/>
              <w:rPr>
                <w:rFonts w:asciiTheme="minorHAnsi" w:hAnsiTheme="minorHAnsi" w:cstheme="minorHAnsi"/>
                <w:b/>
                <w:sz w:val="20"/>
                <w:szCs w:val="20"/>
              </w:rPr>
            </w:pPr>
          </w:p>
        </w:tc>
        <w:tc>
          <w:tcPr>
            <w:tcW w:w="1417" w:type="dxa"/>
            <w:tcBorders>
              <w:top w:val="single" w:sz="4" w:space="0" w:color="auto"/>
              <w:bottom w:val="double" w:sz="4" w:space="0" w:color="auto"/>
            </w:tcBorders>
          </w:tcPr>
          <w:p w14:paraId="0312F1BD" w14:textId="0E3562EE" w:rsidR="00B058C1" w:rsidRPr="00182A80" w:rsidRDefault="00345A8A" w:rsidP="00B058C1">
            <w:pPr>
              <w:jc w:val="right"/>
              <w:rPr>
                <w:rFonts w:asciiTheme="minorHAnsi" w:hAnsiTheme="minorHAnsi" w:cstheme="minorHAnsi"/>
                <w:b/>
                <w:sz w:val="20"/>
                <w:szCs w:val="20"/>
              </w:rPr>
            </w:pPr>
            <w:r>
              <w:rPr>
                <w:rFonts w:asciiTheme="minorHAnsi" w:hAnsiTheme="minorHAnsi" w:cstheme="minorHAnsi"/>
                <w:b/>
                <w:sz w:val="20"/>
                <w:szCs w:val="20"/>
              </w:rPr>
              <w:t>(</w:t>
            </w:r>
            <w:r w:rsidR="00A83EC5">
              <w:rPr>
                <w:rFonts w:asciiTheme="minorHAnsi" w:hAnsiTheme="minorHAnsi" w:cstheme="minorHAnsi"/>
                <w:b/>
                <w:sz w:val="20"/>
                <w:szCs w:val="20"/>
              </w:rPr>
              <w:t>762,</w:t>
            </w:r>
            <w:r w:rsidR="004452F7">
              <w:rPr>
                <w:rFonts w:asciiTheme="minorHAnsi" w:hAnsiTheme="minorHAnsi" w:cstheme="minorHAnsi"/>
                <w:b/>
                <w:sz w:val="20"/>
                <w:szCs w:val="20"/>
              </w:rPr>
              <w:t>107</w:t>
            </w:r>
            <w:r>
              <w:rPr>
                <w:rFonts w:asciiTheme="minorHAnsi" w:hAnsiTheme="minorHAnsi" w:cstheme="minorHAnsi"/>
                <w:b/>
                <w:sz w:val="20"/>
                <w:szCs w:val="20"/>
              </w:rPr>
              <w:t>)</w:t>
            </w:r>
            <w:r w:rsidR="00FA0483" w:rsidRPr="00182A80" w:rsidDel="00CD1F7B">
              <w:rPr>
                <w:rFonts w:asciiTheme="minorHAnsi" w:hAnsiTheme="minorHAnsi" w:cstheme="minorHAnsi"/>
                <w:b/>
                <w:sz w:val="20"/>
                <w:szCs w:val="20"/>
              </w:rPr>
              <w:t xml:space="preserve"> </w:t>
            </w:r>
          </w:p>
        </w:tc>
        <w:tc>
          <w:tcPr>
            <w:tcW w:w="284" w:type="dxa"/>
          </w:tcPr>
          <w:p w14:paraId="0312F1C0" w14:textId="77777777" w:rsidR="00B058C1" w:rsidRPr="00BB3C18" w:rsidRDefault="00B058C1" w:rsidP="00B058C1">
            <w:pPr>
              <w:jc w:val="right"/>
              <w:rPr>
                <w:rFonts w:asciiTheme="minorHAnsi" w:hAnsiTheme="minorHAnsi" w:cstheme="minorHAnsi"/>
                <w:b/>
                <w:sz w:val="20"/>
                <w:szCs w:val="20"/>
              </w:rPr>
            </w:pPr>
          </w:p>
        </w:tc>
        <w:tc>
          <w:tcPr>
            <w:tcW w:w="1559" w:type="dxa"/>
            <w:tcBorders>
              <w:top w:val="single" w:sz="4" w:space="0" w:color="auto"/>
              <w:bottom w:val="double" w:sz="4" w:space="0" w:color="auto"/>
            </w:tcBorders>
          </w:tcPr>
          <w:p w14:paraId="0312F1C1" w14:textId="70BE3AE0" w:rsidR="00B058C1" w:rsidRPr="00B058C1" w:rsidRDefault="00B058C1" w:rsidP="00B058C1">
            <w:pPr>
              <w:jc w:val="right"/>
              <w:rPr>
                <w:rFonts w:asciiTheme="minorHAnsi" w:hAnsiTheme="minorHAnsi" w:cstheme="minorHAnsi"/>
                <w:bCs/>
                <w:sz w:val="20"/>
                <w:szCs w:val="20"/>
              </w:rPr>
            </w:pPr>
            <w:r w:rsidRPr="00B058C1">
              <w:rPr>
                <w:rFonts w:asciiTheme="minorHAnsi" w:hAnsiTheme="minorHAnsi" w:cstheme="minorHAnsi"/>
                <w:bCs/>
                <w:sz w:val="20"/>
                <w:szCs w:val="20"/>
              </w:rPr>
              <w:t>(</w:t>
            </w:r>
            <w:r w:rsidR="00C67D08">
              <w:rPr>
                <w:rFonts w:asciiTheme="minorHAnsi" w:hAnsiTheme="minorHAnsi" w:cstheme="minorHAnsi"/>
                <w:bCs/>
                <w:sz w:val="20"/>
                <w:szCs w:val="20"/>
              </w:rPr>
              <w:t>7,69</w:t>
            </w:r>
            <w:r w:rsidR="00F815C8">
              <w:rPr>
                <w:rFonts w:asciiTheme="minorHAnsi" w:hAnsiTheme="minorHAnsi" w:cstheme="minorHAnsi"/>
                <w:bCs/>
                <w:sz w:val="20"/>
                <w:szCs w:val="20"/>
              </w:rPr>
              <w:t>7,30</w:t>
            </w:r>
            <w:r w:rsidR="00361EBC">
              <w:rPr>
                <w:rFonts w:asciiTheme="minorHAnsi" w:hAnsiTheme="minorHAnsi" w:cstheme="minorHAnsi"/>
                <w:bCs/>
                <w:sz w:val="20"/>
                <w:szCs w:val="20"/>
              </w:rPr>
              <w:t>6</w:t>
            </w:r>
            <w:r w:rsidRPr="00B058C1">
              <w:rPr>
                <w:rFonts w:asciiTheme="minorHAnsi" w:hAnsiTheme="minorHAnsi" w:cstheme="minorHAnsi"/>
                <w:bCs/>
                <w:sz w:val="20"/>
                <w:szCs w:val="20"/>
              </w:rPr>
              <w:t>)</w:t>
            </w:r>
          </w:p>
        </w:tc>
      </w:tr>
      <w:tr w:rsidR="00B058C1" w:rsidRPr="00BB3C18" w14:paraId="0312F1CA" w14:textId="77777777" w:rsidTr="0089385A">
        <w:tc>
          <w:tcPr>
            <w:tcW w:w="5245" w:type="dxa"/>
            <w:gridSpan w:val="4"/>
          </w:tcPr>
          <w:p w14:paraId="75FA08EA" w14:textId="77777777" w:rsidR="00B058C1" w:rsidRPr="004452F7" w:rsidRDefault="00B058C1" w:rsidP="00B058C1">
            <w:pPr>
              <w:rPr>
                <w:rFonts w:asciiTheme="minorHAnsi" w:hAnsiTheme="minorHAnsi" w:cstheme="minorHAnsi"/>
                <w:b/>
                <w:sz w:val="20"/>
                <w:szCs w:val="20"/>
              </w:rPr>
            </w:pPr>
          </w:p>
        </w:tc>
        <w:tc>
          <w:tcPr>
            <w:tcW w:w="1276" w:type="dxa"/>
          </w:tcPr>
          <w:p w14:paraId="0312F1C3" w14:textId="11228FF9" w:rsidR="00B058C1" w:rsidRPr="007B6961" w:rsidRDefault="00B058C1" w:rsidP="00B058C1">
            <w:pPr>
              <w:jc w:val="center"/>
              <w:rPr>
                <w:rFonts w:asciiTheme="minorHAnsi" w:hAnsiTheme="minorHAnsi" w:cstheme="minorHAnsi"/>
                <w:b/>
                <w:sz w:val="20"/>
                <w:szCs w:val="20"/>
              </w:rPr>
            </w:pPr>
          </w:p>
        </w:tc>
        <w:tc>
          <w:tcPr>
            <w:tcW w:w="1417" w:type="dxa"/>
            <w:tcBorders>
              <w:top w:val="double" w:sz="4" w:space="0" w:color="auto"/>
            </w:tcBorders>
          </w:tcPr>
          <w:p w14:paraId="0312F1C5" w14:textId="77777777" w:rsidR="00B058C1" w:rsidRPr="00554619" w:rsidRDefault="00B058C1" w:rsidP="00B058C1">
            <w:pPr>
              <w:jc w:val="right"/>
              <w:rPr>
                <w:rFonts w:asciiTheme="minorHAnsi" w:hAnsiTheme="minorHAnsi" w:cstheme="minorHAnsi"/>
                <w:b/>
                <w:sz w:val="20"/>
                <w:szCs w:val="20"/>
                <w:highlight w:val="yellow"/>
              </w:rPr>
            </w:pPr>
          </w:p>
        </w:tc>
        <w:tc>
          <w:tcPr>
            <w:tcW w:w="284" w:type="dxa"/>
          </w:tcPr>
          <w:p w14:paraId="0312F1C8" w14:textId="77777777" w:rsidR="00B058C1" w:rsidRPr="00BB3C18" w:rsidRDefault="00B058C1" w:rsidP="00B058C1">
            <w:pPr>
              <w:jc w:val="right"/>
              <w:rPr>
                <w:rFonts w:asciiTheme="minorHAnsi" w:hAnsiTheme="minorHAnsi" w:cstheme="minorHAnsi"/>
                <w:sz w:val="20"/>
                <w:szCs w:val="20"/>
              </w:rPr>
            </w:pPr>
          </w:p>
        </w:tc>
        <w:tc>
          <w:tcPr>
            <w:tcW w:w="1559" w:type="dxa"/>
            <w:tcBorders>
              <w:top w:val="double" w:sz="4" w:space="0" w:color="auto"/>
            </w:tcBorders>
          </w:tcPr>
          <w:p w14:paraId="0312F1C9" w14:textId="77777777" w:rsidR="00B058C1" w:rsidRPr="00B058C1" w:rsidRDefault="00B058C1" w:rsidP="00B058C1">
            <w:pPr>
              <w:jc w:val="right"/>
              <w:rPr>
                <w:rFonts w:asciiTheme="minorHAnsi" w:hAnsiTheme="minorHAnsi" w:cstheme="minorHAnsi"/>
                <w:bCs/>
                <w:sz w:val="20"/>
                <w:szCs w:val="20"/>
              </w:rPr>
            </w:pPr>
          </w:p>
        </w:tc>
      </w:tr>
      <w:tr w:rsidR="00B058C1" w:rsidRPr="00C764F2" w14:paraId="0312F1D2" w14:textId="77777777" w:rsidTr="0089385A">
        <w:tc>
          <w:tcPr>
            <w:tcW w:w="5245" w:type="dxa"/>
            <w:gridSpan w:val="4"/>
          </w:tcPr>
          <w:p w14:paraId="58A3D35E" w14:textId="77777777" w:rsidR="00B058C1" w:rsidRPr="004452F7" w:rsidRDefault="00B058C1" w:rsidP="00B058C1">
            <w:pPr>
              <w:rPr>
                <w:rFonts w:asciiTheme="minorHAnsi" w:hAnsiTheme="minorHAnsi" w:cstheme="minorHAnsi"/>
                <w:b/>
                <w:sz w:val="20"/>
                <w:szCs w:val="20"/>
              </w:rPr>
            </w:pPr>
            <w:r w:rsidRPr="004452F7">
              <w:rPr>
                <w:rFonts w:asciiTheme="minorHAnsi" w:hAnsiTheme="minorHAnsi" w:cstheme="minorHAnsi"/>
                <w:b/>
                <w:sz w:val="20"/>
                <w:szCs w:val="20"/>
              </w:rPr>
              <w:t xml:space="preserve">Loss per ordinary share </w:t>
            </w:r>
          </w:p>
        </w:tc>
        <w:tc>
          <w:tcPr>
            <w:tcW w:w="1276" w:type="dxa"/>
          </w:tcPr>
          <w:p w14:paraId="0312F1CB" w14:textId="12523168" w:rsidR="00B058C1" w:rsidRPr="00C764F2" w:rsidRDefault="00B058C1" w:rsidP="00B058C1">
            <w:pPr>
              <w:jc w:val="center"/>
              <w:rPr>
                <w:rFonts w:asciiTheme="minorHAnsi" w:hAnsiTheme="minorHAnsi" w:cstheme="minorHAnsi"/>
                <w:sz w:val="20"/>
                <w:szCs w:val="20"/>
                <w:highlight w:val="yellow"/>
              </w:rPr>
            </w:pPr>
            <w:r w:rsidRPr="004452F7">
              <w:rPr>
                <w:rFonts w:asciiTheme="minorHAnsi" w:hAnsiTheme="minorHAnsi" w:cstheme="minorHAnsi"/>
                <w:sz w:val="20"/>
                <w:szCs w:val="20"/>
              </w:rPr>
              <w:t>8</w:t>
            </w:r>
          </w:p>
        </w:tc>
        <w:tc>
          <w:tcPr>
            <w:tcW w:w="1417" w:type="dxa"/>
          </w:tcPr>
          <w:p w14:paraId="0312F1CD" w14:textId="77777777" w:rsidR="00B058C1" w:rsidRPr="00C764F2" w:rsidRDefault="00B058C1" w:rsidP="00B058C1">
            <w:pPr>
              <w:jc w:val="right"/>
              <w:rPr>
                <w:rFonts w:asciiTheme="minorHAnsi" w:hAnsiTheme="minorHAnsi" w:cstheme="minorHAnsi"/>
                <w:b/>
                <w:sz w:val="20"/>
                <w:szCs w:val="20"/>
                <w:highlight w:val="yellow"/>
              </w:rPr>
            </w:pPr>
          </w:p>
        </w:tc>
        <w:tc>
          <w:tcPr>
            <w:tcW w:w="284" w:type="dxa"/>
          </w:tcPr>
          <w:p w14:paraId="0312F1D0" w14:textId="77777777" w:rsidR="00B058C1" w:rsidRPr="00C764F2" w:rsidRDefault="00B058C1" w:rsidP="00B058C1">
            <w:pPr>
              <w:jc w:val="right"/>
              <w:rPr>
                <w:rFonts w:asciiTheme="minorHAnsi" w:hAnsiTheme="minorHAnsi" w:cstheme="minorHAnsi"/>
                <w:sz w:val="20"/>
                <w:szCs w:val="20"/>
                <w:highlight w:val="yellow"/>
              </w:rPr>
            </w:pPr>
          </w:p>
        </w:tc>
        <w:tc>
          <w:tcPr>
            <w:tcW w:w="1559" w:type="dxa"/>
          </w:tcPr>
          <w:p w14:paraId="0312F1D1" w14:textId="77777777" w:rsidR="00B058C1" w:rsidRPr="00C764F2" w:rsidRDefault="00B058C1" w:rsidP="00B058C1">
            <w:pPr>
              <w:jc w:val="right"/>
              <w:rPr>
                <w:rFonts w:asciiTheme="minorHAnsi" w:hAnsiTheme="minorHAnsi" w:cstheme="minorHAnsi"/>
                <w:bCs/>
                <w:sz w:val="20"/>
                <w:szCs w:val="20"/>
                <w:highlight w:val="yellow"/>
              </w:rPr>
            </w:pPr>
          </w:p>
        </w:tc>
      </w:tr>
      <w:tr w:rsidR="00B058C1" w:rsidRPr="00F815C8" w14:paraId="0312F1DA" w14:textId="77777777" w:rsidTr="0089385A">
        <w:tc>
          <w:tcPr>
            <w:tcW w:w="5245" w:type="dxa"/>
            <w:gridSpan w:val="4"/>
          </w:tcPr>
          <w:p w14:paraId="11859B5D" w14:textId="4DA6001F" w:rsidR="00B058C1" w:rsidRPr="004452F7" w:rsidRDefault="00B058C1" w:rsidP="00B058C1">
            <w:pPr>
              <w:rPr>
                <w:rFonts w:asciiTheme="minorHAnsi" w:hAnsiTheme="minorHAnsi" w:cstheme="minorHAnsi"/>
                <w:sz w:val="20"/>
                <w:szCs w:val="20"/>
              </w:rPr>
            </w:pPr>
            <w:r w:rsidRPr="004452F7">
              <w:rPr>
                <w:rFonts w:asciiTheme="minorHAnsi" w:hAnsiTheme="minorHAnsi" w:cstheme="minorHAnsi"/>
                <w:sz w:val="20"/>
                <w:szCs w:val="20"/>
              </w:rPr>
              <w:t xml:space="preserve">Basic and diluted </w:t>
            </w:r>
          </w:p>
          <w:p w14:paraId="745F8E15" w14:textId="7C0D39AC" w:rsidR="00B058C1" w:rsidRPr="004452F7" w:rsidRDefault="00B058C1" w:rsidP="00B2796D">
            <w:pPr>
              <w:pStyle w:val="ListParagraph"/>
              <w:numPr>
                <w:ilvl w:val="0"/>
                <w:numId w:val="10"/>
              </w:numPr>
              <w:rPr>
                <w:rFonts w:asciiTheme="minorHAnsi" w:hAnsiTheme="minorHAnsi" w:cstheme="minorHAnsi"/>
                <w:sz w:val="20"/>
                <w:szCs w:val="20"/>
              </w:rPr>
            </w:pPr>
            <w:r w:rsidRPr="004452F7">
              <w:rPr>
                <w:rFonts w:asciiTheme="minorHAnsi" w:hAnsiTheme="minorHAnsi" w:cstheme="minorHAnsi"/>
                <w:sz w:val="20"/>
                <w:szCs w:val="20"/>
              </w:rPr>
              <w:t>from continuing operations</w:t>
            </w:r>
          </w:p>
          <w:p w14:paraId="4CDDCB9B" w14:textId="36E74FCD" w:rsidR="00B058C1" w:rsidRPr="004452F7" w:rsidRDefault="00B058C1" w:rsidP="00B2796D">
            <w:pPr>
              <w:pStyle w:val="ListParagraph"/>
              <w:numPr>
                <w:ilvl w:val="0"/>
                <w:numId w:val="10"/>
              </w:numPr>
              <w:rPr>
                <w:rFonts w:asciiTheme="minorHAnsi" w:hAnsiTheme="minorHAnsi" w:cstheme="minorHAnsi"/>
                <w:sz w:val="20"/>
                <w:szCs w:val="20"/>
              </w:rPr>
            </w:pPr>
            <w:r w:rsidRPr="004452F7">
              <w:rPr>
                <w:rFonts w:asciiTheme="minorHAnsi" w:hAnsiTheme="minorHAnsi" w:cstheme="minorHAnsi"/>
                <w:sz w:val="20"/>
                <w:szCs w:val="20"/>
              </w:rPr>
              <w:t>from discontinued operations</w:t>
            </w:r>
            <w:r w:rsidR="00F815C8" w:rsidRPr="004452F7">
              <w:rPr>
                <w:rFonts w:asciiTheme="minorHAnsi" w:hAnsiTheme="minorHAnsi" w:cstheme="minorHAnsi"/>
                <w:sz w:val="20"/>
                <w:szCs w:val="20"/>
              </w:rPr>
              <w:t xml:space="preserve">  (please calculate)</w:t>
            </w:r>
          </w:p>
        </w:tc>
        <w:tc>
          <w:tcPr>
            <w:tcW w:w="1276" w:type="dxa"/>
          </w:tcPr>
          <w:p w14:paraId="0312F1D3" w14:textId="4841C86C" w:rsidR="00B058C1" w:rsidRPr="00C764F2" w:rsidRDefault="00B058C1" w:rsidP="00B058C1">
            <w:pPr>
              <w:jc w:val="center"/>
              <w:rPr>
                <w:rFonts w:asciiTheme="minorHAnsi" w:hAnsiTheme="minorHAnsi" w:cstheme="minorHAnsi"/>
                <w:sz w:val="20"/>
                <w:szCs w:val="20"/>
                <w:highlight w:val="yellow"/>
              </w:rPr>
            </w:pPr>
          </w:p>
        </w:tc>
        <w:tc>
          <w:tcPr>
            <w:tcW w:w="1417" w:type="dxa"/>
            <w:tcBorders>
              <w:bottom w:val="double" w:sz="4" w:space="0" w:color="auto"/>
            </w:tcBorders>
          </w:tcPr>
          <w:p w14:paraId="2F5D6637" w14:textId="2D271436" w:rsidR="00FA0483" w:rsidRPr="00F815C8" w:rsidRDefault="00FA0483" w:rsidP="00B058C1">
            <w:pPr>
              <w:jc w:val="right"/>
              <w:rPr>
                <w:rFonts w:asciiTheme="minorHAnsi" w:hAnsiTheme="minorHAnsi" w:cstheme="minorHAnsi"/>
                <w:b/>
                <w:sz w:val="20"/>
                <w:szCs w:val="20"/>
              </w:rPr>
            </w:pPr>
          </w:p>
          <w:p w14:paraId="2EFD294B" w14:textId="77777777" w:rsidR="00FA0483" w:rsidRPr="00F815C8" w:rsidRDefault="00FA0483" w:rsidP="00FA0483">
            <w:pPr>
              <w:jc w:val="right"/>
              <w:rPr>
                <w:rFonts w:asciiTheme="minorHAnsi" w:hAnsiTheme="minorHAnsi" w:cstheme="minorHAnsi"/>
                <w:bCs/>
                <w:sz w:val="20"/>
                <w:szCs w:val="20"/>
              </w:rPr>
            </w:pPr>
            <w:r w:rsidRPr="00F815C8">
              <w:rPr>
                <w:rFonts w:asciiTheme="minorHAnsi" w:hAnsiTheme="minorHAnsi" w:cstheme="minorHAnsi"/>
                <w:bCs/>
                <w:sz w:val="20"/>
                <w:szCs w:val="20"/>
              </w:rPr>
              <w:t>(0.00)</w:t>
            </w:r>
          </w:p>
          <w:p w14:paraId="4F3F395A" w14:textId="4125E981" w:rsidR="00FA0483" w:rsidRPr="00F815C8" w:rsidRDefault="00FA0483" w:rsidP="00FA0483">
            <w:pPr>
              <w:jc w:val="right"/>
              <w:rPr>
                <w:rFonts w:asciiTheme="minorHAnsi" w:hAnsiTheme="minorHAnsi" w:cstheme="minorHAnsi"/>
                <w:b/>
                <w:sz w:val="20"/>
                <w:szCs w:val="20"/>
              </w:rPr>
            </w:pPr>
            <w:r w:rsidRPr="00F815C8">
              <w:rPr>
                <w:rFonts w:asciiTheme="minorHAnsi" w:hAnsiTheme="minorHAnsi" w:cstheme="minorHAnsi"/>
                <w:bCs/>
                <w:sz w:val="20"/>
                <w:szCs w:val="20"/>
              </w:rPr>
              <w:t>(0.00)</w:t>
            </w:r>
          </w:p>
          <w:p w14:paraId="0312F1D5" w14:textId="738ED0C1" w:rsidR="00B058C1" w:rsidRPr="00F815C8" w:rsidRDefault="00B058C1" w:rsidP="00FA0483">
            <w:pPr>
              <w:jc w:val="center"/>
              <w:rPr>
                <w:rFonts w:asciiTheme="minorHAnsi" w:hAnsiTheme="minorHAnsi" w:cstheme="minorHAnsi"/>
                <w:b/>
                <w:sz w:val="20"/>
                <w:szCs w:val="20"/>
              </w:rPr>
            </w:pPr>
          </w:p>
        </w:tc>
        <w:tc>
          <w:tcPr>
            <w:tcW w:w="284" w:type="dxa"/>
          </w:tcPr>
          <w:p w14:paraId="0312F1D8" w14:textId="77777777" w:rsidR="00B058C1" w:rsidRPr="00F815C8" w:rsidRDefault="00B058C1" w:rsidP="00B058C1">
            <w:pPr>
              <w:jc w:val="right"/>
              <w:rPr>
                <w:rFonts w:asciiTheme="minorHAnsi" w:hAnsiTheme="minorHAnsi" w:cstheme="minorHAnsi"/>
                <w:sz w:val="20"/>
                <w:szCs w:val="20"/>
              </w:rPr>
            </w:pPr>
          </w:p>
        </w:tc>
        <w:tc>
          <w:tcPr>
            <w:tcW w:w="1559" w:type="dxa"/>
            <w:tcBorders>
              <w:bottom w:val="double" w:sz="4" w:space="0" w:color="auto"/>
            </w:tcBorders>
          </w:tcPr>
          <w:p w14:paraId="772E4A49" w14:textId="77777777" w:rsidR="00B058C1" w:rsidRPr="00F815C8" w:rsidRDefault="00B058C1" w:rsidP="00B058C1">
            <w:pPr>
              <w:jc w:val="right"/>
              <w:rPr>
                <w:rFonts w:asciiTheme="minorHAnsi" w:hAnsiTheme="minorHAnsi" w:cstheme="minorHAnsi"/>
                <w:bCs/>
                <w:sz w:val="20"/>
                <w:szCs w:val="20"/>
              </w:rPr>
            </w:pPr>
          </w:p>
          <w:p w14:paraId="7EF39F5F" w14:textId="77777777" w:rsidR="00B058C1" w:rsidRPr="00F815C8" w:rsidRDefault="00B058C1" w:rsidP="00B058C1">
            <w:pPr>
              <w:jc w:val="right"/>
              <w:rPr>
                <w:rFonts w:asciiTheme="minorHAnsi" w:hAnsiTheme="minorHAnsi" w:cstheme="minorHAnsi"/>
                <w:bCs/>
                <w:sz w:val="20"/>
                <w:szCs w:val="20"/>
              </w:rPr>
            </w:pPr>
            <w:r w:rsidRPr="00F815C8">
              <w:rPr>
                <w:rFonts w:asciiTheme="minorHAnsi" w:hAnsiTheme="minorHAnsi" w:cstheme="minorHAnsi"/>
                <w:bCs/>
                <w:sz w:val="20"/>
                <w:szCs w:val="20"/>
              </w:rPr>
              <w:t>(0.00)</w:t>
            </w:r>
          </w:p>
          <w:p w14:paraId="0312F1D9" w14:textId="4917F39F" w:rsidR="00B058C1" w:rsidRPr="00F815C8" w:rsidRDefault="00B058C1" w:rsidP="00B058C1">
            <w:pPr>
              <w:jc w:val="right"/>
              <w:rPr>
                <w:rFonts w:asciiTheme="minorHAnsi" w:hAnsiTheme="minorHAnsi" w:cstheme="minorHAnsi"/>
                <w:bCs/>
                <w:sz w:val="20"/>
                <w:szCs w:val="20"/>
              </w:rPr>
            </w:pPr>
            <w:r w:rsidRPr="00F815C8">
              <w:rPr>
                <w:rFonts w:asciiTheme="minorHAnsi" w:hAnsiTheme="minorHAnsi" w:cstheme="minorHAnsi"/>
                <w:bCs/>
                <w:sz w:val="20"/>
                <w:szCs w:val="20"/>
              </w:rPr>
              <w:t>(0.00)</w:t>
            </w:r>
          </w:p>
        </w:tc>
      </w:tr>
      <w:tr w:rsidR="00B058C1" w:rsidRPr="00BB3C18" w14:paraId="0312F1E2" w14:textId="77777777" w:rsidTr="0089385A">
        <w:tc>
          <w:tcPr>
            <w:tcW w:w="5245" w:type="dxa"/>
            <w:gridSpan w:val="4"/>
          </w:tcPr>
          <w:p w14:paraId="36F12A7C" w14:textId="77777777" w:rsidR="00B058C1" w:rsidRPr="00BB3C18" w:rsidRDefault="00B058C1" w:rsidP="00B058C1">
            <w:pPr>
              <w:rPr>
                <w:rFonts w:asciiTheme="minorHAnsi" w:hAnsiTheme="minorHAnsi" w:cstheme="minorHAnsi"/>
                <w:b/>
                <w:sz w:val="20"/>
                <w:szCs w:val="20"/>
              </w:rPr>
            </w:pPr>
          </w:p>
        </w:tc>
        <w:tc>
          <w:tcPr>
            <w:tcW w:w="1276" w:type="dxa"/>
          </w:tcPr>
          <w:p w14:paraId="0312F1DB" w14:textId="0DDB73AB" w:rsidR="00B058C1" w:rsidRPr="00BB3C18" w:rsidRDefault="00B058C1" w:rsidP="00B058C1">
            <w:pPr>
              <w:rPr>
                <w:rFonts w:asciiTheme="minorHAnsi" w:hAnsiTheme="minorHAnsi" w:cstheme="minorHAnsi"/>
                <w:b/>
                <w:sz w:val="20"/>
                <w:szCs w:val="20"/>
              </w:rPr>
            </w:pPr>
          </w:p>
        </w:tc>
        <w:tc>
          <w:tcPr>
            <w:tcW w:w="1417" w:type="dxa"/>
            <w:tcBorders>
              <w:top w:val="double" w:sz="4" w:space="0" w:color="auto"/>
            </w:tcBorders>
          </w:tcPr>
          <w:p w14:paraId="0312F1DD" w14:textId="77777777" w:rsidR="00B058C1" w:rsidRPr="00BB3C18" w:rsidRDefault="00B058C1" w:rsidP="00B058C1">
            <w:pPr>
              <w:jc w:val="center"/>
              <w:rPr>
                <w:rFonts w:asciiTheme="minorHAnsi" w:hAnsiTheme="minorHAnsi" w:cstheme="minorHAnsi"/>
                <w:sz w:val="20"/>
                <w:szCs w:val="20"/>
              </w:rPr>
            </w:pPr>
          </w:p>
        </w:tc>
        <w:tc>
          <w:tcPr>
            <w:tcW w:w="284" w:type="dxa"/>
          </w:tcPr>
          <w:p w14:paraId="0312F1E0" w14:textId="77777777" w:rsidR="00B058C1" w:rsidRPr="00BB3C18" w:rsidRDefault="00B058C1" w:rsidP="00B058C1">
            <w:pPr>
              <w:jc w:val="right"/>
              <w:rPr>
                <w:rFonts w:asciiTheme="minorHAnsi" w:hAnsiTheme="minorHAnsi" w:cstheme="minorHAnsi"/>
                <w:sz w:val="20"/>
                <w:szCs w:val="20"/>
              </w:rPr>
            </w:pPr>
          </w:p>
        </w:tc>
        <w:tc>
          <w:tcPr>
            <w:tcW w:w="1559" w:type="dxa"/>
            <w:tcBorders>
              <w:top w:val="double" w:sz="4" w:space="0" w:color="auto"/>
            </w:tcBorders>
          </w:tcPr>
          <w:p w14:paraId="0312F1E1" w14:textId="77777777" w:rsidR="00B058C1" w:rsidRPr="00BB3C18" w:rsidRDefault="00B058C1" w:rsidP="00B058C1">
            <w:pPr>
              <w:jc w:val="right"/>
              <w:rPr>
                <w:rFonts w:asciiTheme="minorHAnsi" w:hAnsiTheme="minorHAnsi" w:cstheme="minorHAnsi"/>
                <w:sz w:val="20"/>
                <w:szCs w:val="20"/>
              </w:rPr>
            </w:pPr>
          </w:p>
        </w:tc>
      </w:tr>
      <w:tr w:rsidR="00B058C1" w:rsidRPr="00BB3C18" w14:paraId="21C68254" w14:textId="77777777" w:rsidTr="00C64695">
        <w:tc>
          <w:tcPr>
            <w:tcW w:w="9781" w:type="dxa"/>
            <w:gridSpan w:val="8"/>
            <w:shd w:val="clear" w:color="auto" w:fill="auto"/>
          </w:tcPr>
          <w:p w14:paraId="119F27CC" w14:textId="5CB77168" w:rsidR="00B058C1" w:rsidRPr="00BB3C18" w:rsidRDefault="00B058C1" w:rsidP="00B058C1">
            <w:pPr>
              <w:jc w:val="both"/>
              <w:rPr>
                <w:rFonts w:asciiTheme="minorHAnsi" w:hAnsiTheme="minorHAnsi" w:cstheme="minorHAnsi"/>
                <w:sz w:val="20"/>
                <w:szCs w:val="20"/>
              </w:rPr>
            </w:pPr>
            <w:r w:rsidRPr="00182A80">
              <w:rPr>
                <w:rFonts w:asciiTheme="minorHAnsi" w:hAnsiTheme="minorHAnsi" w:cstheme="minorHAnsi"/>
                <w:sz w:val="20"/>
                <w:szCs w:val="20"/>
              </w:rPr>
              <w:t xml:space="preserve">The loss for the </w:t>
            </w:r>
            <w:r>
              <w:rPr>
                <w:rFonts w:asciiTheme="minorHAnsi" w:hAnsiTheme="minorHAnsi" w:cstheme="minorHAnsi"/>
                <w:sz w:val="20"/>
                <w:szCs w:val="20"/>
              </w:rPr>
              <w:t>year</w:t>
            </w:r>
            <w:r w:rsidRPr="00182A80">
              <w:rPr>
                <w:rFonts w:asciiTheme="minorHAnsi" w:hAnsiTheme="minorHAnsi" w:cstheme="minorHAnsi"/>
                <w:sz w:val="20"/>
                <w:szCs w:val="20"/>
              </w:rPr>
              <w:t xml:space="preserve"> and total comprehensive loss for the </w:t>
            </w:r>
            <w:r>
              <w:rPr>
                <w:rFonts w:asciiTheme="minorHAnsi" w:hAnsiTheme="minorHAnsi" w:cstheme="minorHAnsi"/>
                <w:sz w:val="20"/>
                <w:szCs w:val="20"/>
              </w:rPr>
              <w:t>year</w:t>
            </w:r>
            <w:r w:rsidRPr="00182A80">
              <w:rPr>
                <w:rFonts w:asciiTheme="minorHAnsi" w:hAnsiTheme="minorHAnsi" w:cstheme="minorHAnsi"/>
                <w:sz w:val="20"/>
                <w:szCs w:val="20"/>
              </w:rPr>
              <w:t xml:space="preserve"> are wholly attributable to the equity holders of the parent.</w:t>
            </w:r>
          </w:p>
        </w:tc>
      </w:tr>
    </w:tbl>
    <w:p w14:paraId="0312F1E3" w14:textId="4E08DBA2" w:rsidR="005B7F66" w:rsidRPr="00BB3C18" w:rsidRDefault="005B7F66" w:rsidP="00D459A5">
      <w:pPr>
        <w:rPr>
          <w:rFonts w:asciiTheme="minorHAnsi" w:hAnsiTheme="minorHAnsi" w:cstheme="minorHAnsi"/>
          <w:b/>
          <w:color w:val="FF0000"/>
          <w:sz w:val="20"/>
          <w:szCs w:val="20"/>
        </w:rPr>
        <w:sectPr w:rsidR="005B7F66" w:rsidRPr="00BB3C18" w:rsidSect="005B3F62">
          <w:headerReference w:type="even" r:id="rId54"/>
          <w:headerReference w:type="default" r:id="rId55"/>
          <w:footerReference w:type="default" r:id="rId56"/>
          <w:headerReference w:type="first" r:id="rId57"/>
          <w:pgSz w:w="11906" w:h="16838"/>
          <w:pgMar w:top="720" w:right="1416" w:bottom="720" w:left="720" w:header="708" w:footer="708" w:gutter="0"/>
          <w:cols w:space="708"/>
          <w:docGrid w:linePitch="360"/>
        </w:sectPr>
      </w:pPr>
    </w:p>
    <w:tbl>
      <w:tblPr>
        <w:tblW w:w="10456" w:type="dxa"/>
        <w:tblLayout w:type="fixed"/>
        <w:tblLook w:val="00A0" w:firstRow="1" w:lastRow="0" w:firstColumn="1" w:lastColumn="0" w:noHBand="0" w:noVBand="0"/>
      </w:tblPr>
      <w:tblGrid>
        <w:gridCol w:w="1495"/>
        <w:gridCol w:w="747"/>
        <w:gridCol w:w="1387"/>
        <w:gridCol w:w="236"/>
        <w:gridCol w:w="702"/>
        <w:gridCol w:w="249"/>
        <w:gridCol w:w="1202"/>
        <w:gridCol w:w="236"/>
        <w:gridCol w:w="1082"/>
        <w:gridCol w:w="283"/>
        <w:gridCol w:w="1275"/>
        <w:gridCol w:w="287"/>
        <w:gridCol w:w="1275"/>
      </w:tblGrid>
      <w:tr w:rsidR="0048397C" w:rsidRPr="00BB3C18" w14:paraId="0312F1F9" w14:textId="77777777" w:rsidTr="00453004">
        <w:tc>
          <w:tcPr>
            <w:tcW w:w="1495" w:type="dxa"/>
          </w:tcPr>
          <w:p w14:paraId="0312F1E4" w14:textId="77777777" w:rsidR="005B7F66" w:rsidRPr="00BB3C18" w:rsidRDefault="005B7F66" w:rsidP="001F29BA">
            <w:pPr>
              <w:jc w:val="right"/>
              <w:rPr>
                <w:rFonts w:asciiTheme="minorHAnsi" w:hAnsiTheme="minorHAnsi" w:cstheme="minorHAnsi"/>
                <w:b/>
                <w:sz w:val="20"/>
                <w:szCs w:val="20"/>
              </w:rPr>
            </w:pPr>
            <w:bookmarkStart w:id="1" w:name="_Hlk17204671"/>
          </w:p>
        </w:tc>
        <w:tc>
          <w:tcPr>
            <w:tcW w:w="747" w:type="dxa"/>
          </w:tcPr>
          <w:p w14:paraId="0312F1E5" w14:textId="77777777" w:rsidR="005B7F66" w:rsidRPr="00BB3C18" w:rsidRDefault="005B7F66" w:rsidP="001F29BA">
            <w:pPr>
              <w:jc w:val="right"/>
              <w:rPr>
                <w:rFonts w:asciiTheme="minorHAnsi" w:hAnsiTheme="minorHAnsi" w:cstheme="minorHAnsi"/>
                <w:b/>
                <w:sz w:val="20"/>
                <w:szCs w:val="20"/>
              </w:rPr>
            </w:pPr>
          </w:p>
        </w:tc>
        <w:tc>
          <w:tcPr>
            <w:tcW w:w="1387" w:type="dxa"/>
          </w:tcPr>
          <w:p w14:paraId="0312F1E6" w14:textId="77777777" w:rsidR="005B7F66" w:rsidRPr="00BB3C18" w:rsidRDefault="005B7F66" w:rsidP="001F29BA">
            <w:pPr>
              <w:jc w:val="right"/>
              <w:rPr>
                <w:rFonts w:asciiTheme="minorHAnsi" w:hAnsiTheme="minorHAnsi" w:cstheme="minorHAnsi"/>
                <w:b/>
                <w:sz w:val="20"/>
                <w:szCs w:val="20"/>
              </w:rPr>
            </w:pPr>
          </w:p>
        </w:tc>
        <w:tc>
          <w:tcPr>
            <w:tcW w:w="236" w:type="dxa"/>
          </w:tcPr>
          <w:p w14:paraId="0312F1E7" w14:textId="77777777" w:rsidR="005B7F66" w:rsidRPr="00BB3C18" w:rsidRDefault="005B7F66" w:rsidP="001F29BA">
            <w:pPr>
              <w:jc w:val="right"/>
              <w:rPr>
                <w:rFonts w:asciiTheme="minorHAnsi" w:hAnsiTheme="minorHAnsi" w:cstheme="minorHAnsi"/>
                <w:b/>
                <w:sz w:val="20"/>
                <w:szCs w:val="20"/>
              </w:rPr>
            </w:pPr>
          </w:p>
        </w:tc>
        <w:tc>
          <w:tcPr>
            <w:tcW w:w="702" w:type="dxa"/>
          </w:tcPr>
          <w:p w14:paraId="0312F1E8" w14:textId="77777777" w:rsidR="005B7F66" w:rsidRPr="00BB3C18" w:rsidRDefault="005B7F66" w:rsidP="001F29BA">
            <w:pPr>
              <w:jc w:val="right"/>
              <w:rPr>
                <w:rFonts w:asciiTheme="minorHAnsi" w:hAnsiTheme="minorHAnsi" w:cstheme="minorHAnsi"/>
                <w:b/>
                <w:sz w:val="20"/>
                <w:szCs w:val="20"/>
              </w:rPr>
            </w:pPr>
          </w:p>
        </w:tc>
        <w:tc>
          <w:tcPr>
            <w:tcW w:w="249" w:type="dxa"/>
          </w:tcPr>
          <w:p w14:paraId="0312F1E9" w14:textId="77777777" w:rsidR="005B7F66" w:rsidRPr="00BB3C18" w:rsidRDefault="005B7F66" w:rsidP="001F29BA">
            <w:pPr>
              <w:jc w:val="right"/>
              <w:rPr>
                <w:rFonts w:asciiTheme="minorHAnsi" w:hAnsiTheme="minorHAnsi" w:cstheme="minorHAnsi"/>
                <w:b/>
                <w:sz w:val="20"/>
                <w:szCs w:val="20"/>
              </w:rPr>
            </w:pPr>
          </w:p>
        </w:tc>
        <w:tc>
          <w:tcPr>
            <w:tcW w:w="1202" w:type="dxa"/>
          </w:tcPr>
          <w:p w14:paraId="0312F1EA" w14:textId="77777777" w:rsidR="005B7F66" w:rsidRPr="00BB3C18" w:rsidRDefault="005B7F66" w:rsidP="005B3448">
            <w:pPr>
              <w:jc w:val="center"/>
              <w:rPr>
                <w:rFonts w:asciiTheme="minorHAnsi" w:hAnsiTheme="minorHAnsi" w:cstheme="minorHAnsi"/>
                <w:b/>
                <w:sz w:val="20"/>
                <w:szCs w:val="20"/>
              </w:rPr>
            </w:pPr>
          </w:p>
          <w:p w14:paraId="0312F1EB" w14:textId="77777777" w:rsidR="005B7F66" w:rsidRPr="00BB3C18" w:rsidRDefault="005B7F66" w:rsidP="005B3448">
            <w:pPr>
              <w:jc w:val="center"/>
              <w:rPr>
                <w:rFonts w:asciiTheme="minorHAnsi" w:hAnsiTheme="minorHAnsi" w:cstheme="minorHAnsi"/>
                <w:b/>
                <w:sz w:val="20"/>
                <w:szCs w:val="20"/>
              </w:rPr>
            </w:pPr>
          </w:p>
          <w:p w14:paraId="0312F1EC" w14:textId="77777777" w:rsidR="005B7F66" w:rsidRPr="00BB3C18" w:rsidRDefault="005B7F66" w:rsidP="005B3448">
            <w:pPr>
              <w:jc w:val="center"/>
              <w:rPr>
                <w:rFonts w:asciiTheme="minorHAnsi" w:hAnsiTheme="minorHAnsi" w:cstheme="minorHAnsi"/>
                <w:b/>
                <w:sz w:val="20"/>
                <w:szCs w:val="20"/>
              </w:rPr>
            </w:pPr>
          </w:p>
        </w:tc>
        <w:tc>
          <w:tcPr>
            <w:tcW w:w="236" w:type="dxa"/>
          </w:tcPr>
          <w:p w14:paraId="0312F1ED" w14:textId="77777777" w:rsidR="005B7F66" w:rsidRPr="00BB3C18" w:rsidRDefault="005B7F66" w:rsidP="005B3448">
            <w:pPr>
              <w:jc w:val="center"/>
              <w:rPr>
                <w:rFonts w:asciiTheme="minorHAnsi" w:hAnsiTheme="minorHAnsi" w:cstheme="minorHAnsi"/>
                <w:b/>
                <w:sz w:val="20"/>
                <w:szCs w:val="20"/>
              </w:rPr>
            </w:pPr>
          </w:p>
        </w:tc>
        <w:tc>
          <w:tcPr>
            <w:tcW w:w="1082" w:type="dxa"/>
          </w:tcPr>
          <w:p w14:paraId="0312F1EE" w14:textId="77777777" w:rsidR="005B7F66" w:rsidRPr="00BB3C18" w:rsidRDefault="005B7F66" w:rsidP="005B3448">
            <w:pPr>
              <w:jc w:val="center"/>
              <w:rPr>
                <w:rFonts w:asciiTheme="minorHAnsi" w:hAnsiTheme="minorHAnsi" w:cstheme="minorHAnsi"/>
                <w:b/>
                <w:sz w:val="20"/>
                <w:szCs w:val="20"/>
              </w:rPr>
            </w:pPr>
          </w:p>
          <w:p w14:paraId="0312F1EF" w14:textId="77777777" w:rsidR="005B7F66" w:rsidRPr="00BB3C18" w:rsidRDefault="005B7F66" w:rsidP="005B3448">
            <w:pPr>
              <w:jc w:val="center"/>
              <w:rPr>
                <w:rFonts w:asciiTheme="minorHAnsi" w:hAnsiTheme="minorHAnsi" w:cstheme="minorHAnsi"/>
                <w:b/>
                <w:sz w:val="20"/>
                <w:szCs w:val="20"/>
              </w:rPr>
            </w:pPr>
          </w:p>
          <w:p w14:paraId="0312F1F0" w14:textId="65C4E815" w:rsidR="005B7F66" w:rsidRPr="00BB3C18" w:rsidRDefault="005B7F66" w:rsidP="005B3448">
            <w:pPr>
              <w:jc w:val="center"/>
              <w:rPr>
                <w:rFonts w:asciiTheme="minorHAnsi" w:hAnsiTheme="minorHAnsi" w:cstheme="minorHAnsi"/>
                <w:b/>
                <w:sz w:val="20"/>
                <w:szCs w:val="20"/>
              </w:rPr>
            </w:pPr>
          </w:p>
        </w:tc>
        <w:tc>
          <w:tcPr>
            <w:tcW w:w="283" w:type="dxa"/>
          </w:tcPr>
          <w:p w14:paraId="0312F1F1" w14:textId="77777777" w:rsidR="005B7F66" w:rsidRPr="00BB3C18" w:rsidRDefault="005B7F66" w:rsidP="001F29BA">
            <w:pPr>
              <w:jc w:val="right"/>
              <w:rPr>
                <w:rFonts w:asciiTheme="minorHAnsi" w:hAnsiTheme="minorHAnsi" w:cstheme="minorHAnsi"/>
                <w:b/>
                <w:sz w:val="20"/>
                <w:szCs w:val="20"/>
              </w:rPr>
            </w:pPr>
          </w:p>
        </w:tc>
        <w:tc>
          <w:tcPr>
            <w:tcW w:w="1275" w:type="dxa"/>
          </w:tcPr>
          <w:p w14:paraId="0312F1F2" w14:textId="341891B7" w:rsidR="00723FD8" w:rsidRPr="00BB3C18" w:rsidRDefault="007E28BD" w:rsidP="00011FD7">
            <w:pPr>
              <w:ind w:left="-184"/>
              <w:jc w:val="right"/>
              <w:rPr>
                <w:rFonts w:asciiTheme="minorHAnsi" w:hAnsiTheme="minorHAnsi" w:cstheme="minorHAnsi"/>
                <w:b/>
                <w:sz w:val="20"/>
                <w:szCs w:val="20"/>
              </w:rPr>
            </w:pPr>
            <w:r w:rsidRPr="00BB3C18">
              <w:rPr>
                <w:rFonts w:asciiTheme="minorHAnsi" w:hAnsiTheme="minorHAnsi" w:cstheme="minorHAnsi"/>
                <w:b/>
                <w:sz w:val="20"/>
                <w:szCs w:val="20"/>
              </w:rPr>
              <w:t>30 June</w:t>
            </w:r>
          </w:p>
          <w:p w14:paraId="453F681F" w14:textId="05A0C185" w:rsidR="00011FD7" w:rsidRPr="00BB3C18" w:rsidRDefault="005B7F66" w:rsidP="00011FD7">
            <w:pPr>
              <w:jc w:val="right"/>
              <w:rPr>
                <w:rFonts w:asciiTheme="minorHAnsi" w:hAnsiTheme="minorHAnsi" w:cstheme="minorHAnsi"/>
                <w:b/>
                <w:sz w:val="20"/>
                <w:szCs w:val="20"/>
              </w:rPr>
            </w:pPr>
            <w:r w:rsidRPr="00BB3C18">
              <w:rPr>
                <w:rFonts w:asciiTheme="minorHAnsi" w:hAnsiTheme="minorHAnsi" w:cstheme="minorHAnsi"/>
                <w:b/>
                <w:sz w:val="20"/>
                <w:szCs w:val="20"/>
              </w:rPr>
              <w:t>20</w:t>
            </w:r>
            <w:r w:rsidR="00554619">
              <w:rPr>
                <w:rFonts w:asciiTheme="minorHAnsi" w:hAnsiTheme="minorHAnsi" w:cstheme="minorHAnsi"/>
                <w:b/>
                <w:sz w:val="20"/>
                <w:szCs w:val="20"/>
              </w:rPr>
              <w:t>2</w:t>
            </w:r>
            <w:r w:rsidR="00C67D08">
              <w:rPr>
                <w:rFonts w:asciiTheme="minorHAnsi" w:hAnsiTheme="minorHAnsi" w:cstheme="minorHAnsi"/>
                <w:b/>
                <w:sz w:val="20"/>
                <w:szCs w:val="20"/>
              </w:rPr>
              <w:t>2</w:t>
            </w:r>
          </w:p>
          <w:p w14:paraId="0312F1F4" w14:textId="7201AC64" w:rsidR="005B7F66" w:rsidRPr="00BB3C18" w:rsidRDefault="005B7F66" w:rsidP="00011FD7">
            <w:pPr>
              <w:jc w:val="right"/>
              <w:rPr>
                <w:rFonts w:asciiTheme="minorHAnsi" w:hAnsiTheme="minorHAnsi" w:cstheme="minorHAnsi"/>
                <w:b/>
                <w:sz w:val="20"/>
                <w:szCs w:val="20"/>
              </w:rPr>
            </w:pPr>
            <w:r w:rsidRPr="00BB3C18">
              <w:rPr>
                <w:rFonts w:asciiTheme="minorHAnsi" w:hAnsiTheme="minorHAnsi" w:cstheme="minorHAnsi"/>
                <w:b/>
                <w:sz w:val="20"/>
                <w:szCs w:val="20"/>
              </w:rPr>
              <w:t>£</w:t>
            </w:r>
          </w:p>
        </w:tc>
        <w:tc>
          <w:tcPr>
            <w:tcW w:w="287" w:type="dxa"/>
          </w:tcPr>
          <w:p w14:paraId="0312F1F5" w14:textId="77777777" w:rsidR="005B7F66" w:rsidRPr="00BB3C18" w:rsidRDefault="005B7F66" w:rsidP="001F29BA">
            <w:pPr>
              <w:jc w:val="right"/>
              <w:rPr>
                <w:rFonts w:asciiTheme="minorHAnsi" w:hAnsiTheme="minorHAnsi" w:cstheme="minorHAnsi"/>
                <w:b/>
                <w:sz w:val="20"/>
                <w:szCs w:val="20"/>
              </w:rPr>
            </w:pPr>
          </w:p>
        </w:tc>
        <w:tc>
          <w:tcPr>
            <w:tcW w:w="1275" w:type="dxa"/>
          </w:tcPr>
          <w:p w14:paraId="0312F1F6" w14:textId="4DAA80A2" w:rsidR="00723FD8" w:rsidRPr="00BB3C18" w:rsidRDefault="00C03F7D" w:rsidP="00723FD8">
            <w:pPr>
              <w:ind w:left="-112"/>
              <w:jc w:val="right"/>
              <w:rPr>
                <w:rFonts w:asciiTheme="minorHAnsi" w:hAnsiTheme="minorHAnsi" w:cstheme="minorHAnsi"/>
                <w:b/>
                <w:sz w:val="20"/>
                <w:szCs w:val="20"/>
              </w:rPr>
            </w:pPr>
            <w:r w:rsidRPr="00BB3C18">
              <w:rPr>
                <w:rFonts w:asciiTheme="minorHAnsi" w:hAnsiTheme="minorHAnsi" w:cstheme="minorHAnsi"/>
                <w:b/>
                <w:sz w:val="20"/>
                <w:szCs w:val="20"/>
              </w:rPr>
              <w:t>3</w:t>
            </w:r>
            <w:r w:rsidR="00554619">
              <w:rPr>
                <w:rFonts w:asciiTheme="minorHAnsi" w:hAnsiTheme="minorHAnsi" w:cstheme="minorHAnsi"/>
                <w:b/>
                <w:sz w:val="20"/>
                <w:szCs w:val="20"/>
              </w:rPr>
              <w:t>0 June</w:t>
            </w:r>
          </w:p>
          <w:p w14:paraId="0312F1F7" w14:textId="67275D56" w:rsidR="005B7F66" w:rsidRPr="00BB3C18" w:rsidRDefault="005B7F66" w:rsidP="001F29BA">
            <w:pPr>
              <w:jc w:val="right"/>
              <w:rPr>
                <w:rFonts w:asciiTheme="minorHAnsi" w:hAnsiTheme="minorHAnsi" w:cstheme="minorHAnsi"/>
                <w:b/>
                <w:sz w:val="20"/>
                <w:szCs w:val="20"/>
              </w:rPr>
            </w:pPr>
            <w:r w:rsidRPr="00BB3C18">
              <w:rPr>
                <w:rFonts w:asciiTheme="minorHAnsi" w:hAnsiTheme="minorHAnsi" w:cstheme="minorHAnsi"/>
                <w:b/>
                <w:sz w:val="20"/>
                <w:szCs w:val="20"/>
              </w:rPr>
              <w:t>20</w:t>
            </w:r>
            <w:r w:rsidR="00B058C1">
              <w:rPr>
                <w:rFonts w:asciiTheme="minorHAnsi" w:hAnsiTheme="minorHAnsi" w:cstheme="minorHAnsi"/>
                <w:b/>
                <w:sz w:val="20"/>
                <w:szCs w:val="20"/>
              </w:rPr>
              <w:t>2</w:t>
            </w:r>
            <w:r w:rsidR="00C67D08">
              <w:rPr>
                <w:rFonts w:asciiTheme="minorHAnsi" w:hAnsiTheme="minorHAnsi" w:cstheme="minorHAnsi"/>
                <w:b/>
                <w:sz w:val="20"/>
                <w:szCs w:val="20"/>
              </w:rPr>
              <w:t>1</w:t>
            </w:r>
          </w:p>
          <w:p w14:paraId="0312F1F8" w14:textId="77777777" w:rsidR="005B7F66" w:rsidRPr="00BB3C18" w:rsidRDefault="005B7F66" w:rsidP="007C2C28">
            <w:pPr>
              <w:jc w:val="right"/>
              <w:rPr>
                <w:rFonts w:asciiTheme="minorHAnsi" w:hAnsiTheme="minorHAnsi" w:cstheme="minorHAnsi"/>
                <w:b/>
                <w:sz w:val="20"/>
                <w:szCs w:val="20"/>
              </w:rPr>
            </w:pPr>
            <w:r w:rsidRPr="00BB3C18">
              <w:rPr>
                <w:rFonts w:asciiTheme="minorHAnsi" w:hAnsiTheme="minorHAnsi" w:cstheme="minorHAnsi"/>
                <w:b/>
                <w:sz w:val="20"/>
                <w:szCs w:val="20"/>
              </w:rPr>
              <w:t>£</w:t>
            </w:r>
          </w:p>
        </w:tc>
      </w:tr>
      <w:tr w:rsidR="00CB78D3" w:rsidRPr="00BB3C18" w14:paraId="5A44213C" w14:textId="77777777" w:rsidTr="00453004">
        <w:tc>
          <w:tcPr>
            <w:tcW w:w="3629" w:type="dxa"/>
            <w:gridSpan w:val="3"/>
          </w:tcPr>
          <w:p w14:paraId="4967FFC3" w14:textId="77777777" w:rsidR="00CB78D3" w:rsidRDefault="00CB78D3" w:rsidP="00C4130C">
            <w:pPr>
              <w:spacing w:line="276" w:lineRule="auto"/>
              <w:rPr>
                <w:rFonts w:asciiTheme="minorHAnsi" w:hAnsiTheme="minorHAnsi" w:cstheme="minorHAnsi"/>
                <w:b/>
                <w:sz w:val="20"/>
                <w:szCs w:val="20"/>
              </w:rPr>
            </w:pPr>
          </w:p>
        </w:tc>
        <w:tc>
          <w:tcPr>
            <w:tcW w:w="236" w:type="dxa"/>
          </w:tcPr>
          <w:p w14:paraId="35CBA9D7" w14:textId="77777777" w:rsidR="00CB78D3" w:rsidRPr="00BB3C18" w:rsidRDefault="00CB78D3" w:rsidP="002E7523">
            <w:pPr>
              <w:spacing w:line="276" w:lineRule="auto"/>
              <w:jc w:val="right"/>
              <w:rPr>
                <w:rFonts w:asciiTheme="minorHAnsi" w:hAnsiTheme="minorHAnsi" w:cstheme="minorHAnsi"/>
                <w:sz w:val="20"/>
                <w:szCs w:val="20"/>
              </w:rPr>
            </w:pPr>
          </w:p>
        </w:tc>
        <w:tc>
          <w:tcPr>
            <w:tcW w:w="702" w:type="dxa"/>
          </w:tcPr>
          <w:p w14:paraId="613F7A51" w14:textId="77777777" w:rsidR="00CB78D3" w:rsidRPr="00BB3C18" w:rsidRDefault="00CB78D3" w:rsidP="002E7523">
            <w:pPr>
              <w:spacing w:line="276" w:lineRule="auto"/>
              <w:jc w:val="right"/>
              <w:rPr>
                <w:rFonts w:asciiTheme="minorHAnsi" w:hAnsiTheme="minorHAnsi" w:cstheme="minorHAnsi"/>
                <w:sz w:val="20"/>
                <w:szCs w:val="20"/>
              </w:rPr>
            </w:pPr>
          </w:p>
        </w:tc>
        <w:tc>
          <w:tcPr>
            <w:tcW w:w="249" w:type="dxa"/>
          </w:tcPr>
          <w:p w14:paraId="5B444DC4" w14:textId="77777777" w:rsidR="00CB78D3" w:rsidRPr="00BB3C18" w:rsidRDefault="00CB78D3" w:rsidP="002E7523">
            <w:pPr>
              <w:spacing w:line="276" w:lineRule="auto"/>
              <w:jc w:val="right"/>
              <w:rPr>
                <w:rFonts w:asciiTheme="minorHAnsi" w:hAnsiTheme="minorHAnsi" w:cstheme="minorHAnsi"/>
                <w:sz w:val="20"/>
                <w:szCs w:val="20"/>
              </w:rPr>
            </w:pPr>
          </w:p>
        </w:tc>
        <w:tc>
          <w:tcPr>
            <w:tcW w:w="1202" w:type="dxa"/>
          </w:tcPr>
          <w:p w14:paraId="666837F6" w14:textId="77777777" w:rsidR="00CB78D3" w:rsidRPr="00BB3C18" w:rsidRDefault="00CB78D3" w:rsidP="005B3448">
            <w:pPr>
              <w:spacing w:line="276" w:lineRule="auto"/>
              <w:jc w:val="center"/>
              <w:rPr>
                <w:rFonts w:asciiTheme="minorHAnsi" w:hAnsiTheme="minorHAnsi" w:cstheme="minorHAnsi"/>
                <w:b/>
                <w:sz w:val="20"/>
                <w:szCs w:val="20"/>
              </w:rPr>
            </w:pPr>
          </w:p>
        </w:tc>
        <w:tc>
          <w:tcPr>
            <w:tcW w:w="236" w:type="dxa"/>
          </w:tcPr>
          <w:p w14:paraId="4737B773" w14:textId="77777777" w:rsidR="00CB78D3" w:rsidRPr="00BB3C18" w:rsidRDefault="00CB78D3" w:rsidP="005B3448">
            <w:pPr>
              <w:spacing w:line="276" w:lineRule="auto"/>
              <w:jc w:val="center"/>
              <w:rPr>
                <w:rFonts w:asciiTheme="minorHAnsi" w:hAnsiTheme="minorHAnsi" w:cstheme="minorHAnsi"/>
                <w:sz w:val="20"/>
                <w:szCs w:val="20"/>
              </w:rPr>
            </w:pPr>
          </w:p>
        </w:tc>
        <w:tc>
          <w:tcPr>
            <w:tcW w:w="1082" w:type="dxa"/>
          </w:tcPr>
          <w:p w14:paraId="3F85A3E0" w14:textId="7DB36209" w:rsidR="00CB78D3" w:rsidRPr="00BB3C18" w:rsidRDefault="00CB78D3" w:rsidP="005B3448">
            <w:pPr>
              <w:spacing w:line="276" w:lineRule="auto"/>
              <w:jc w:val="center"/>
              <w:rPr>
                <w:rFonts w:asciiTheme="minorHAnsi" w:hAnsiTheme="minorHAnsi" w:cstheme="minorHAnsi"/>
                <w:sz w:val="20"/>
                <w:szCs w:val="20"/>
              </w:rPr>
            </w:pPr>
            <w:r w:rsidRPr="00BB3C18">
              <w:rPr>
                <w:rFonts w:asciiTheme="minorHAnsi" w:hAnsiTheme="minorHAnsi" w:cstheme="minorHAnsi"/>
                <w:b/>
                <w:sz w:val="20"/>
                <w:szCs w:val="20"/>
              </w:rPr>
              <w:t>Notes</w:t>
            </w:r>
          </w:p>
        </w:tc>
        <w:tc>
          <w:tcPr>
            <w:tcW w:w="283" w:type="dxa"/>
          </w:tcPr>
          <w:p w14:paraId="04EC8DD6"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Pr>
          <w:p w14:paraId="020A0CD5" w14:textId="77777777" w:rsidR="00CB78D3" w:rsidRPr="00554619" w:rsidRDefault="00CB78D3" w:rsidP="002E7523">
            <w:pPr>
              <w:spacing w:line="276" w:lineRule="auto"/>
              <w:jc w:val="right"/>
              <w:rPr>
                <w:rFonts w:asciiTheme="minorHAnsi" w:hAnsiTheme="minorHAnsi" w:cstheme="minorHAnsi"/>
                <w:b/>
                <w:sz w:val="20"/>
                <w:szCs w:val="20"/>
                <w:highlight w:val="yellow"/>
              </w:rPr>
            </w:pPr>
          </w:p>
        </w:tc>
        <w:tc>
          <w:tcPr>
            <w:tcW w:w="287" w:type="dxa"/>
          </w:tcPr>
          <w:p w14:paraId="569B02CC"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Pr>
          <w:p w14:paraId="13C72787" w14:textId="77777777" w:rsidR="00CB78D3" w:rsidRPr="00D43854" w:rsidRDefault="00CB78D3" w:rsidP="002E7523">
            <w:pPr>
              <w:spacing w:line="276" w:lineRule="auto"/>
              <w:jc w:val="right"/>
              <w:rPr>
                <w:rFonts w:asciiTheme="minorHAnsi" w:hAnsiTheme="minorHAnsi" w:cstheme="minorHAnsi"/>
                <w:bCs/>
                <w:sz w:val="20"/>
                <w:szCs w:val="20"/>
              </w:rPr>
            </w:pPr>
          </w:p>
        </w:tc>
      </w:tr>
      <w:tr w:rsidR="005A6FA0" w:rsidRPr="00BB3C18" w14:paraId="0312F243" w14:textId="77777777" w:rsidTr="00453004">
        <w:tc>
          <w:tcPr>
            <w:tcW w:w="3629" w:type="dxa"/>
            <w:gridSpan w:val="3"/>
          </w:tcPr>
          <w:p w14:paraId="7556DF4A" w14:textId="308503B9" w:rsidR="002B5392" w:rsidRDefault="002B5392" w:rsidP="00C4130C">
            <w:pPr>
              <w:spacing w:line="276" w:lineRule="auto"/>
              <w:rPr>
                <w:rFonts w:asciiTheme="minorHAnsi" w:hAnsiTheme="minorHAnsi" w:cstheme="minorHAnsi"/>
                <w:b/>
                <w:sz w:val="20"/>
                <w:szCs w:val="20"/>
              </w:rPr>
            </w:pPr>
            <w:r>
              <w:rPr>
                <w:rFonts w:asciiTheme="minorHAnsi" w:hAnsiTheme="minorHAnsi" w:cstheme="minorHAnsi"/>
                <w:b/>
                <w:sz w:val="20"/>
                <w:szCs w:val="20"/>
              </w:rPr>
              <w:t>Assets</w:t>
            </w:r>
          </w:p>
          <w:p w14:paraId="0312F237" w14:textId="7F2D8DDF" w:rsidR="00E817B5" w:rsidRPr="00BB3C18" w:rsidDel="0048397C" w:rsidRDefault="00CB78D3" w:rsidP="00C4130C">
            <w:pPr>
              <w:spacing w:line="276" w:lineRule="auto"/>
              <w:rPr>
                <w:rFonts w:asciiTheme="minorHAnsi" w:hAnsiTheme="minorHAnsi" w:cstheme="minorHAnsi"/>
                <w:b/>
                <w:sz w:val="20"/>
                <w:szCs w:val="20"/>
              </w:rPr>
            </w:pPr>
            <w:r>
              <w:rPr>
                <w:rFonts w:asciiTheme="minorHAnsi" w:hAnsiTheme="minorHAnsi" w:cstheme="minorHAnsi"/>
                <w:b/>
                <w:sz w:val="20"/>
                <w:szCs w:val="20"/>
              </w:rPr>
              <w:t>Non-c</w:t>
            </w:r>
            <w:r w:rsidR="005A6FA0" w:rsidRPr="00BB3C18">
              <w:rPr>
                <w:rFonts w:asciiTheme="minorHAnsi" w:hAnsiTheme="minorHAnsi" w:cstheme="minorHAnsi"/>
                <w:b/>
                <w:sz w:val="20"/>
                <w:szCs w:val="20"/>
              </w:rPr>
              <w:t>urrent assets</w:t>
            </w:r>
          </w:p>
        </w:tc>
        <w:tc>
          <w:tcPr>
            <w:tcW w:w="236" w:type="dxa"/>
          </w:tcPr>
          <w:p w14:paraId="0312F238" w14:textId="77777777" w:rsidR="005A6FA0" w:rsidRPr="00BB3C18" w:rsidRDefault="005A6FA0" w:rsidP="002E7523">
            <w:pPr>
              <w:spacing w:line="276" w:lineRule="auto"/>
              <w:jc w:val="right"/>
              <w:rPr>
                <w:rFonts w:asciiTheme="minorHAnsi" w:hAnsiTheme="minorHAnsi" w:cstheme="minorHAnsi"/>
                <w:sz w:val="20"/>
                <w:szCs w:val="20"/>
              </w:rPr>
            </w:pPr>
          </w:p>
        </w:tc>
        <w:tc>
          <w:tcPr>
            <w:tcW w:w="702" w:type="dxa"/>
          </w:tcPr>
          <w:p w14:paraId="0312F239" w14:textId="77777777" w:rsidR="005A6FA0" w:rsidRPr="00BB3C18" w:rsidRDefault="005A6FA0" w:rsidP="002E7523">
            <w:pPr>
              <w:spacing w:line="276" w:lineRule="auto"/>
              <w:jc w:val="right"/>
              <w:rPr>
                <w:rFonts w:asciiTheme="minorHAnsi" w:hAnsiTheme="minorHAnsi" w:cstheme="minorHAnsi"/>
                <w:sz w:val="20"/>
                <w:szCs w:val="20"/>
              </w:rPr>
            </w:pPr>
          </w:p>
        </w:tc>
        <w:tc>
          <w:tcPr>
            <w:tcW w:w="249" w:type="dxa"/>
          </w:tcPr>
          <w:p w14:paraId="0312F23A" w14:textId="77777777" w:rsidR="005A6FA0" w:rsidRPr="00BB3C18" w:rsidRDefault="005A6FA0" w:rsidP="002E7523">
            <w:pPr>
              <w:spacing w:line="276" w:lineRule="auto"/>
              <w:jc w:val="right"/>
              <w:rPr>
                <w:rFonts w:asciiTheme="minorHAnsi" w:hAnsiTheme="minorHAnsi" w:cstheme="minorHAnsi"/>
                <w:sz w:val="20"/>
                <w:szCs w:val="20"/>
              </w:rPr>
            </w:pPr>
          </w:p>
        </w:tc>
        <w:tc>
          <w:tcPr>
            <w:tcW w:w="1202" w:type="dxa"/>
          </w:tcPr>
          <w:p w14:paraId="0312F23B" w14:textId="77777777" w:rsidR="005A6FA0" w:rsidRPr="00BB3C18" w:rsidRDefault="005A6FA0" w:rsidP="005B3448">
            <w:pPr>
              <w:spacing w:line="276" w:lineRule="auto"/>
              <w:jc w:val="center"/>
              <w:rPr>
                <w:rFonts w:asciiTheme="minorHAnsi" w:hAnsiTheme="minorHAnsi" w:cstheme="minorHAnsi"/>
                <w:b/>
                <w:sz w:val="20"/>
                <w:szCs w:val="20"/>
              </w:rPr>
            </w:pPr>
          </w:p>
        </w:tc>
        <w:tc>
          <w:tcPr>
            <w:tcW w:w="236" w:type="dxa"/>
          </w:tcPr>
          <w:p w14:paraId="0312F23C" w14:textId="77777777" w:rsidR="005A6FA0" w:rsidRPr="00BB3C18" w:rsidRDefault="005A6FA0" w:rsidP="005B3448">
            <w:pPr>
              <w:spacing w:line="276" w:lineRule="auto"/>
              <w:jc w:val="center"/>
              <w:rPr>
                <w:rFonts w:asciiTheme="minorHAnsi" w:hAnsiTheme="minorHAnsi" w:cstheme="minorHAnsi"/>
                <w:sz w:val="20"/>
                <w:szCs w:val="20"/>
              </w:rPr>
            </w:pPr>
          </w:p>
        </w:tc>
        <w:tc>
          <w:tcPr>
            <w:tcW w:w="1082" w:type="dxa"/>
          </w:tcPr>
          <w:p w14:paraId="0312F23D" w14:textId="77777777" w:rsidR="005A6FA0" w:rsidRPr="00BB3C18" w:rsidRDefault="005A6FA0" w:rsidP="005B3448">
            <w:pPr>
              <w:spacing w:line="276" w:lineRule="auto"/>
              <w:jc w:val="center"/>
              <w:rPr>
                <w:rFonts w:asciiTheme="minorHAnsi" w:hAnsiTheme="minorHAnsi" w:cstheme="minorHAnsi"/>
                <w:sz w:val="20"/>
                <w:szCs w:val="20"/>
              </w:rPr>
            </w:pPr>
          </w:p>
        </w:tc>
        <w:tc>
          <w:tcPr>
            <w:tcW w:w="283" w:type="dxa"/>
          </w:tcPr>
          <w:p w14:paraId="0312F23E" w14:textId="77777777" w:rsidR="005A6FA0" w:rsidRPr="00BB3C18" w:rsidRDefault="005A6FA0" w:rsidP="002E7523">
            <w:pPr>
              <w:spacing w:line="276" w:lineRule="auto"/>
              <w:jc w:val="right"/>
              <w:rPr>
                <w:rFonts w:asciiTheme="minorHAnsi" w:hAnsiTheme="minorHAnsi" w:cstheme="minorHAnsi"/>
                <w:sz w:val="20"/>
                <w:szCs w:val="20"/>
              </w:rPr>
            </w:pPr>
          </w:p>
        </w:tc>
        <w:tc>
          <w:tcPr>
            <w:tcW w:w="1275" w:type="dxa"/>
          </w:tcPr>
          <w:p w14:paraId="0312F240" w14:textId="4D7164D7" w:rsidR="00E817B5" w:rsidRPr="00554619" w:rsidRDefault="00E817B5" w:rsidP="002E7523">
            <w:pPr>
              <w:spacing w:line="276" w:lineRule="auto"/>
              <w:jc w:val="right"/>
              <w:rPr>
                <w:rFonts w:asciiTheme="minorHAnsi" w:hAnsiTheme="minorHAnsi" w:cstheme="minorHAnsi"/>
                <w:b/>
                <w:sz w:val="20"/>
                <w:szCs w:val="20"/>
                <w:highlight w:val="yellow"/>
              </w:rPr>
            </w:pPr>
          </w:p>
        </w:tc>
        <w:tc>
          <w:tcPr>
            <w:tcW w:w="287" w:type="dxa"/>
          </w:tcPr>
          <w:p w14:paraId="0312F241" w14:textId="77777777" w:rsidR="005A6FA0" w:rsidRPr="00BB3C18" w:rsidRDefault="005A6FA0" w:rsidP="002E7523">
            <w:pPr>
              <w:spacing w:line="276" w:lineRule="auto"/>
              <w:jc w:val="right"/>
              <w:rPr>
                <w:rFonts w:asciiTheme="minorHAnsi" w:hAnsiTheme="minorHAnsi" w:cstheme="minorHAnsi"/>
                <w:sz w:val="20"/>
                <w:szCs w:val="20"/>
              </w:rPr>
            </w:pPr>
          </w:p>
        </w:tc>
        <w:tc>
          <w:tcPr>
            <w:tcW w:w="1275" w:type="dxa"/>
          </w:tcPr>
          <w:p w14:paraId="0312F242" w14:textId="77777777" w:rsidR="005A6FA0" w:rsidRPr="00D43854" w:rsidRDefault="005A6FA0" w:rsidP="002E7523">
            <w:pPr>
              <w:spacing w:line="276" w:lineRule="auto"/>
              <w:jc w:val="right"/>
              <w:rPr>
                <w:rFonts w:asciiTheme="minorHAnsi" w:hAnsiTheme="minorHAnsi" w:cstheme="minorHAnsi"/>
                <w:bCs/>
                <w:sz w:val="20"/>
                <w:szCs w:val="20"/>
              </w:rPr>
            </w:pPr>
          </w:p>
        </w:tc>
      </w:tr>
      <w:tr w:rsidR="00CB78D3" w:rsidRPr="00BB3C18" w14:paraId="208A6009" w14:textId="77777777" w:rsidTr="007E2C95">
        <w:tc>
          <w:tcPr>
            <w:tcW w:w="3629" w:type="dxa"/>
            <w:gridSpan w:val="3"/>
          </w:tcPr>
          <w:p w14:paraId="12B5C3AE" w14:textId="38710F0E" w:rsidR="00CB78D3" w:rsidRPr="00CB78D3" w:rsidRDefault="00CB78D3" w:rsidP="00C4130C">
            <w:pPr>
              <w:spacing w:line="276" w:lineRule="auto"/>
              <w:rPr>
                <w:rFonts w:asciiTheme="minorHAnsi" w:hAnsiTheme="minorHAnsi" w:cstheme="minorHAnsi"/>
                <w:bCs/>
                <w:sz w:val="20"/>
                <w:szCs w:val="20"/>
              </w:rPr>
            </w:pPr>
            <w:r w:rsidRPr="00CB78D3">
              <w:rPr>
                <w:rFonts w:asciiTheme="minorHAnsi" w:hAnsiTheme="minorHAnsi" w:cstheme="minorHAnsi"/>
                <w:bCs/>
                <w:sz w:val="20"/>
                <w:szCs w:val="20"/>
              </w:rPr>
              <w:t>Intangible assets</w:t>
            </w:r>
          </w:p>
        </w:tc>
        <w:tc>
          <w:tcPr>
            <w:tcW w:w="236" w:type="dxa"/>
          </w:tcPr>
          <w:p w14:paraId="6220B703" w14:textId="77777777" w:rsidR="00CB78D3" w:rsidRPr="00BB3C18" w:rsidRDefault="00CB78D3" w:rsidP="002E7523">
            <w:pPr>
              <w:spacing w:line="276" w:lineRule="auto"/>
              <w:jc w:val="right"/>
              <w:rPr>
                <w:rFonts w:asciiTheme="minorHAnsi" w:hAnsiTheme="minorHAnsi" w:cstheme="minorHAnsi"/>
                <w:sz w:val="20"/>
                <w:szCs w:val="20"/>
              </w:rPr>
            </w:pPr>
          </w:p>
        </w:tc>
        <w:tc>
          <w:tcPr>
            <w:tcW w:w="702" w:type="dxa"/>
          </w:tcPr>
          <w:p w14:paraId="1C19CEE6" w14:textId="77777777" w:rsidR="00CB78D3" w:rsidRPr="00BB3C18" w:rsidRDefault="00CB78D3" w:rsidP="002E7523">
            <w:pPr>
              <w:spacing w:line="276" w:lineRule="auto"/>
              <w:jc w:val="right"/>
              <w:rPr>
                <w:rFonts w:asciiTheme="minorHAnsi" w:hAnsiTheme="minorHAnsi" w:cstheme="minorHAnsi"/>
                <w:sz w:val="20"/>
                <w:szCs w:val="20"/>
              </w:rPr>
            </w:pPr>
          </w:p>
        </w:tc>
        <w:tc>
          <w:tcPr>
            <w:tcW w:w="249" w:type="dxa"/>
          </w:tcPr>
          <w:p w14:paraId="25231B1C" w14:textId="77777777" w:rsidR="00CB78D3" w:rsidRPr="00BB3C18" w:rsidRDefault="00CB78D3" w:rsidP="002E7523">
            <w:pPr>
              <w:spacing w:line="276" w:lineRule="auto"/>
              <w:jc w:val="right"/>
              <w:rPr>
                <w:rFonts w:asciiTheme="minorHAnsi" w:hAnsiTheme="minorHAnsi" w:cstheme="minorHAnsi"/>
                <w:sz w:val="20"/>
                <w:szCs w:val="20"/>
              </w:rPr>
            </w:pPr>
          </w:p>
        </w:tc>
        <w:tc>
          <w:tcPr>
            <w:tcW w:w="1202" w:type="dxa"/>
          </w:tcPr>
          <w:p w14:paraId="4ED3B492" w14:textId="77777777" w:rsidR="00CB78D3" w:rsidRPr="00BB3C18" w:rsidRDefault="00CB78D3" w:rsidP="005B3448">
            <w:pPr>
              <w:spacing w:line="276" w:lineRule="auto"/>
              <w:jc w:val="center"/>
              <w:rPr>
                <w:rFonts w:asciiTheme="minorHAnsi" w:hAnsiTheme="minorHAnsi" w:cstheme="minorHAnsi"/>
                <w:b/>
                <w:sz w:val="20"/>
                <w:szCs w:val="20"/>
              </w:rPr>
            </w:pPr>
          </w:p>
        </w:tc>
        <w:tc>
          <w:tcPr>
            <w:tcW w:w="236" w:type="dxa"/>
          </w:tcPr>
          <w:p w14:paraId="2AC3361C" w14:textId="77777777" w:rsidR="00CB78D3" w:rsidRPr="00BB3C18" w:rsidRDefault="00CB78D3" w:rsidP="005B3448">
            <w:pPr>
              <w:spacing w:line="276" w:lineRule="auto"/>
              <w:jc w:val="center"/>
              <w:rPr>
                <w:rFonts w:asciiTheme="minorHAnsi" w:hAnsiTheme="minorHAnsi" w:cstheme="minorHAnsi"/>
                <w:sz w:val="20"/>
                <w:szCs w:val="20"/>
              </w:rPr>
            </w:pPr>
          </w:p>
        </w:tc>
        <w:tc>
          <w:tcPr>
            <w:tcW w:w="1082" w:type="dxa"/>
          </w:tcPr>
          <w:p w14:paraId="1DFF8752" w14:textId="08E2500B" w:rsidR="00CB78D3" w:rsidRPr="00BB3C18" w:rsidRDefault="003C6BB4" w:rsidP="005B3448">
            <w:pPr>
              <w:spacing w:line="276"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283" w:type="dxa"/>
          </w:tcPr>
          <w:p w14:paraId="6EF722A3"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Borders>
              <w:bottom w:val="single" w:sz="4" w:space="0" w:color="auto"/>
            </w:tcBorders>
          </w:tcPr>
          <w:p w14:paraId="19F8BCDB" w14:textId="645B5B6F" w:rsidR="00CB78D3" w:rsidRPr="00CB78D3" w:rsidRDefault="00CB78D3" w:rsidP="002E7523">
            <w:pPr>
              <w:spacing w:line="276" w:lineRule="auto"/>
              <w:jc w:val="right"/>
              <w:rPr>
                <w:rFonts w:asciiTheme="minorHAnsi" w:hAnsiTheme="minorHAnsi" w:cstheme="minorHAnsi"/>
                <w:b/>
                <w:sz w:val="20"/>
                <w:szCs w:val="20"/>
              </w:rPr>
            </w:pPr>
            <w:r w:rsidRPr="00CB78D3">
              <w:rPr>
                <w:rFonts w:asciiTheme="minorHAnsi" w:hAnsiTheme="minorHAnsi" w:cstheme="minorHAnsi"/>
                <w:b/>
                <w:sz w:val="20"/>
                <w:szCs w:val="20"/>
              </w:rPr>
              <w:t>1</w:t>
            </w:r>
          </w:p>
        </w:tc>
        <w:tc>
          <w:tcPr>
            <w:tcW w:w="287" w:type="dxa"/>
          </w:tcPr>
          <w:p w14:paraId="7671D7ED" w14:textId="77777777" w:rsidR="00CB78D3" w:rsidRPr="00CB78D3" w:rsidRDefault="00CB78D3" w:rsidP="002E7523">
            <w:pPr>
              <w:spacing w:line="276" w:lineRule="auto"/>
              <w:jc w:val="right"/>
              <w:rPr>
                <w:rFonts w:asciiTheme="minorHAnsi" w:hAnsiTheme="minorHAnsi" w:cstheme="minorHAnsi"/>
                <w:sz w:val="20"/>
                <w:szCs w:val="20"/>
              </w:rPr>
            </w:pPr>
          </w:p>
        </w:tc>
        <w:tc>
          <w:tcPr>
            <w:tcW w:w="1275" w:type="dxa"/>
            <w:tcBorders>
              <w:bottom w:val="single" w:sz="4" w:space="0" w:color="auto"/>
            </w:tcBorders>
          </w:tcPr>
          <w:p w14:paraId="08758C0C" w14:textId="1FCF98E1" w:rsidR="00CB78D3" w:rsidRPr="00D43854" w:rsidRDefault="00CB78D3" w:rsidP="002E7523">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1</w:t>
            </w:r>
          </w:p>
        </w:tc>
      </w:tr>
      <w:tr w:rsidR="00CB78D3" w:rsidRPr="00BB3C18" w14:paraId="2490B7F7" w14:textId="77777777" w:rsidTr="007E2C95">
        <w:tc>
          <w:tcPr>
            <w:tcW w:w="3629" w:type="dxa"/>
            <w:gridSpan w:val="3"/>
          </w:tcPr>
          <w:p w14:paraId="0D0EBD8A" w14:textId="616C9A5F" w:rsidR="00CB78D3" w:rsidRPr="00CB78D3" w:rsidRDefault="00CB78D3" w:rsidP="00C4130C">
            <w:pPr>
              <w:spacing w:line="276" w:lineRule="auto"/>
              <w:rPr>
                <w:rFonts w:asciiTheme="minorHAnsi" w:hAnsiTheme="minorHAnsi" w:cstheme="minorHAnsi"/>
                <w:bCs/>
                <w:sz w:val="20"/>
                <w:szCs w:val="20"/>
              </w:rPr>
            </w:pPr>
            <w:r w:rsidRPr="00CB78D3">
              <w:rPr>
                <w:rFonts w:asciiTheme="minorHAnsi" w:hAnsiTheme="minorHAnsi" w:cstheme="minorHAnsi"/>
                <w:bCs/>
                <w:sz w:val="20"/>
                <w:szCs w:val="20"/>
              </w:rPr>
              <w:t>Total non-current assets</w:t>
            </w:r>
          </w:p>
        </w:tc>
        <w:tc>
          <w:tcPr>
            <w:tcW w:w="236" w:type="dxa"/>
          </w:tcPr>
          <w:p w14:paraId="098A0C56" w14:textId="77777777" w:rsidR="00CB78D3" w:rsidRPr="00BB3C18" w:rsidRDefault="00CB78D3" w:rsidP="002E7523">
            <w:pPr>
              <w:spacing w:line="276" w:lineRule="auto"/>
              <w:jc w:val="right"/>
              <w:rPr>
                <w:rFonts w:asciiTheme="minorHAnsi" w:hAnsiTheme="minorHAnsi" w:cstheme="minorHAnsi"/>
                <w:sz w:val="20"/>
                <w:szCs w:val="20"/>
              </w:rPr>
            </w:pPr>
          </w:p>
        </w:tc>
        <w:tc>
          <w:tcPr>
            <w:tcW w:w="702" w:type="dxa"/>
          </w:tcPr>
          <w:p w14:paraId="1007F15F" w14:textId="77777777" w:rsidR="00CB78D3" w:rsidRPr="00BB3C18" w:rsidRDefault="00CB78D3" w:rsidP="002E7523">
            <w:pPr>
              <w:spacing w:line="276" w:lineRule="auto"/>
              <w:jc w:val="right"/>
              <w:rPr>
                <w:rFonts w:asciiTheme="minorHAnsi" w:hAnsiTheme="minorHAnsi" w:cstheme="minorHAnsi"/>
                <w:sz w:val="20"/>
                <w:szCs w:val="20"/>
              </w:rPr>
            </w:pPr>
          </w:p>
        </w:tc>
        <w:tc>
          <w:tcPr>
            <w:tcW w:w="249" w:type="dxa"/>
          </w:tcPr>
          <w:p w14:paraId="1BC390D9" w14:textId="77777777" w:rsidR="00CB78D3" w:rsidRPr="00BB3C18" w:rsidRDefault="00CB78D3" w:rsidP="002E7523">
            <w:pPr>
              <w:spacing w:line="276" w:lineRule="auto"/>
              <w:jc w:val="right"/>
              <w:rPr>
                <w:rFonts w:asciiTheme="minorHAnsi" w:hAnsiTheme="minorHAnsi" w:cstheme="minorHAnsi"/>
                <w:sz w:val="20"/>
                <w:szCs w:val="20"/>
              </w:rPr>
            </w:pPr>
          </w:p>
        </w:tc>
        <w:tc>
          <w:tcPr>
            <w:tcW w:w="1202" w:type="dxa"/>
          </w:tcPr>
          <w:p w14:paraId="38988550" w14:textId="77777777" w:rsidR="00CB78D3" w:rsidRPr="00BB3C18" w:rsidRDefault="00CB78D3" w:rsidP="005B3448">
            <w:pPr>
              <w:spacing w:line="276" w:lineRule="auto"/>
              <w:jc w:val="center"/>
              <w:rPr>
                <w:rFonts w:asciiTheme="minorHAnsi" w:hAnsiTheme="minorHAnsi" w:cstheme="minorHAnsi"/>
                <w:b/>
                <w:sz w:val="20"/>
                <w:szCs w:val="20"/>
              </w:rPr>
            </w:pPr>
          </w:p>
        </w:tc>
        <w:tc>
          <w:tcPr>
            <w:tcW w:w="236" w:type="dxa"/>
          </w:tcPr>
          <w:p w14:paraId="4E3F158B" w14:textId="77777777" w:rsidR="00CB78D3" w:rsidRPr="00BB3C18" w:rsidRDefault="00CB78D3" w:rsidP="005B3448">
            <w:pPr>
              <w:spacing w:line="276" w:lineRule="auto"/>
              <w:jc w:val="center"/>
              <w:rPr>
                <w:rFonts w:asciiTheme="minorHAnsi" w:hAnsiTheme="minorHAnsi" w:cstheme="minorHAnsi"/>
                <w:sz w:val="20"/>
                <w:szCs w:val="20"/>
              </w:rPr>
            </w:pPr>
          </w:p>
        </w:tc>
        <w:tc>
          <w:tcPr>
            <w:tcW w:w="1082" w:type="dxa"/>
          </w:tcPr>
          <w:p w14:paraId="652A5A46" w14:textId="77777777" w:rsidR="00CB78D3" w:rsidRPr="00BB3C18" w:rsidRDefault="00CB78D3" w:rsidP="005B3448">
            <w:pPr>
              <w:spacing w:line="276" w:lineRule="auto"/>
              <w:jc w:val="center"/>
              <w:rPr>
                <w:rFonts w:asciiTheme="minorHAnsi" w:hAnsiTheme="minorHAnsi" w:cstheme="minorHAnsi"/>
                <w:sz w:val="20"/>
                <w:szCs w:val="20"/>
              </w:rPr>
            </w:pPr>
          </w:p>
        </w:tc>
        <w:tc>
          <w:tcPr>
            <w:tcW w:w="283" w:type="dxa"/>
          </w:tcPr>
          <w:p w14:paraId="24D61509"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43F1B96F" w14:textId="7218CE98" w:rsidR="00CB78D3" w:rsidRPr="00CB78D3" w:rsidRDefault="00CB78D3" w:rsidP="002E7523">
            <w:pPr>
              <w:spacing w:line="276" w:lineRule="auto"/>
              <w:jc w:val="right"/>
              <w:rPr>
                <w:rFonts w:asciiTheme="minorHAnsi" w:hAnsiTheme="minorHAnsi" w:cstheme="minorHAnsi"/>
                <w:b/>
                <w:sz w:val="20"/>
                <w:szCs w:val="20"/>
              </w:rPr>
            </w:pPr>
            <w:r w:rsidRPr="00CB78D3">
              <w:rPr>
                <w:rFonts w:asciiTheme="minorHAnsi" w:hAnsiTheme="minorHAnsi" w:cstheme="minorHAnsi"/>
                <w:b/>
                <w:sz w:val="20"/>
                <w:szCs w:val="20"/>
              </w:rPr>
              <w:t>1</w:t>
            </w:r>
          </w:p>
        </w:tc>
        <w:tc>
          <w:tcPr>
            <w:tcW w:w="287" w:type="dxa"/>
          </w:tcPr>
          <w:p w14:paraId="2B63B5E3" w14:textId="77777777" w:rsidR="00CB78D3" w:rsidRPr="00CB78D3" w:rsidRDefault="00CB78D3" w:rsidP="002E752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2B4581C9" w14:textId="26A6EDF1" w:rsidR="00CB78D3" w:rsidRPr="00D43854" w:rsidRDefault="007E2C95" w:rsidP="002E7523">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1</w:t>
            </w:r>
          </w:p>
        </w:tc>
      </w:tr>
      <w:tr w:rsidR="00CB78D3" w:rsidRPr="00BB3C18" w14:paraId="51E0BB5E" w14:textId="77777777" w:rsidTr="007E2C95">
        <w:tc>
          <w:tcPr>
            <w:tcW w:w="3629" w:type="dxa"/>
            <w:gridSpan w:val="3"/>
          </w:tcPr>
          <w:p w14:paraId="07405E99" w14:textId="77777777" w:rsidR="00CB78D3" w:rsidRDefault="00CB78D3" w:rsidP="00C4130C">
            <w:pPr>
              <w:spacing w:line="276" w:lineRule="auto"/>
              <w:rPr>
                <w:rFonts w:asciiTheme="minorHAnsi" w:hAnsiTheme="minorHAnsi" w:cstheme="minorHAnsi"/>
                <w:b/>
                <w:sz w:val="20"/>
                <w:szCs w:val="20"/>
              </w:rPr>
            </w:pPr>
          </w:p>
        </w:tc>
        <w:tc>
          <w:tcPr>
            <w:tcW w:w="236" w:type="dxa"/>
          </w:tcPr>
          <w:p w14:paraId="4B79CBB4" w14:textId="77777777" w:rsidR="00CB78D3" w:rsidRPr="00BB3C18" w:rsidRDefault="00CB78D3" w:rsidP="002E7523">
            <w:pPr>
              <w:spacing w:line="276" w:lineRule="auto"/>
              <w:jc w:val="right"/>
              <w:rPr>
                <w:rFonts w:asciiTheme="minorHAnsi" w:hAnsiTheme="minorHAnsi" w:cstheme="minorHAnsi"/>
                <w:sz w:val="20"/>
                <w:szCs w:val="20"/>
              </w:rPr>
            </w:pPr>
          </w:p>
        </w:tc>
        <w:tc>
          <w:tcPr>
            <w:tcW w:w="702" w:type="dxa"/>
          </w:tcPr>
          <w:p w14:paraId="1A88941B" w14:textId="77777777" w:rsidR="00CB78D3" w:rsidRPr="00BB3C18" w:rsidRDefault="00CB78D3" w:rsidP="002E7523">
            <w:pPr>
              <w:spacing w:line="276" w:lineRule="auto"/>
              <w:jc w:val="right"/>
              <w:rPr>
                <w:rFonts w:asciiTheme="minorHAnsi" w:hAnsiTheme="minorHAnsi" w:cstheme="minorHAnsi"/>
                <w:sz w:val="20"/>
                <w:szCs w:val="20"/>
              </w:rPr>
            </w:pPr>
          </w:p>
        </w:tc>
        <w:tc>
          <w:tcPr>
            <w:tcW w:w="249" w:type="dxa"/>
          </w:tcPr>
          <w:p w14:paraId="04A68FE0" w14:textId="77777777" w:rsidR="00CB78D3" w:rsidRPr="00BB3C18" w:rsidRDefault="00CB78D3" w:rsidP="002E7523">
            <w:pPr>
              <w:spacing w:line="276" w:lineRule="auto"/>
              <w:jc w:val="right"/>
              <w:rPr>
                <w:rFonts w:asciiTheme="minorHAnsi" w:hAnsiTheme="minorHAnsi" w:cstheme="minorHAnsi"/>
                <w:sz w:val="20"/>
                <w:szCs w:val="20"/>
              </w:rPr>
            </w:pPr>
          </w:p>
        </w:tc>
        <w:tc>
          <w:tcPr>
            <w:tcW w:w="1202" w:type="dxa"/>
          </w:tcPr>
          <w:p w14:paraId="04EA4378" w14:textId="77777777" w:rsidR="00CB78D3" w:rsidRPr="00BB3C18" w:rsidRDefault="00CB78D3" w:rsidP="005B3448">
            <w:pPr>
              <w:spacing w:line="276" w:lineRule="auto"/>
              <w:jc w:val="center"/>
              <w:rPr>
                <w:rFonts w:asciiTheme="minorHAnsi" w:hAnsiTheme="minorHAnsi" w:cstheme="minorHAnsi"/>
                <w:b/>
                <w:sz w:val="20"/>
                <w:szCs w:val="20"/>
              </w:rPr>
            </w:pPr>
          </w:p>
        </w:tc>
        <w:tc>
          <w:tcPr>
            <w:tcW w:w="236" w:type="dxa"/>
          </w:tcPr>
          <w:p w14:paraId="2A2B03D3" w14:textId="77777777" w:rsidR="00CB78D3" w:rsidRPr="00BB3C18" w:rsidRDefault="00CB78D3" w:rsidP="005B3448">
            <w:pPr>
              <w:spacing w:line="276" w:lineRule="auto"/>
              <w:jc w:val="center"/>
              <w:rPr>
                <w:rFonts w:asciiTheme="minorHAnsi" w:hAnsiTheme="minorHAnsi" w:cstheme="minorHAnsi"/>
                <w:sz w:val="20"/>
                <w:szCs w:val="20"/>
              </w:rPr>
            </w:pPr>
          </w:p>
        </w:tc>
        <w:tc>
          <w:tcPr>
            <w:tcW w:w="1082" w:type="dxa"/>
          </w:tcPr>
          <w:p w14:paraId="4F3E7617" w14:textId="77777777" w:rsidR="00CB78D3" w:rsidRPr="00BB3C18" w:rsidRDefault="00CB78D3" w:rsidP="005B3448">
            <w:pPr>
              <w:spacing w:line="276" w:lineRule="auto"/>
              <w:jc w:val="center"/>
              <w:rPr>
                <w:rFonts w:asciiTheme="minorHAnsi" w:hAnsiTheme="minorHAnsi" w:cstheme="minorHAnsi"/>
                <w:sz w:val="20"/>
                <w:szCs w:val="20"/>
              </w:rPr>
            </w:pPr>
          </w:p>
        </w:tc>
        <w:tc>
          <w:tcPr>
            <w:tcW w:w="283" w:type="dxa"/>
          </w:tcPr>
          <w:p w14:paraId="2A45324A"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Borders>
              <w:top w:val="single" w:sz="4" w:space="0" w:color="auto"/>
            </w:tcBorders>
          </w:tcPr>
          <w:p w14:paraId="3BA703DF" w14:textId="77777777" w:rsidR="00CB78D3" w:rsidRPr="00554619" w:rsidRDefault="00CB78D3" w:rsidP="002E7523">
            <w:pPr>
              <w:spacing w:line="276" w:lineRule="auto"/>
              <w:jc w:val="right"/>
              <w:rPr>
                <w:rFonts w:asciiTheme="minorHAnsi" w:hAnsiTheme="minorHAnsi" w:cstheme="minorHAnsi"/>
                <w:b/>
                <w:sz w:val="20"/>
                <w:szCs w:val="20"/>
                <w:highlight w:val="yellow"/>
              </w:rPr>
            </w:pPr>
          </w:p>
        </w:tc>
        <w:tc>
          <w:tcPr>
            <w:tcW w:w="287" w:type="dxa"/>
          </w:tcPr>
          <w:p w14:paraId="114C4454"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Borders>
              <w:top w:val="single" w:sz="4" w:space="0" w:color="auto"/>
            </w:tcBorders>
          </w:tcPr>
          <w:p w14:paraId="35E5F47A" w14:textId="77777777" w:rsidR="00CB78D3" w:rsidRPr="00D43854" w:rsidRDefault="00CB78D3" w:rsidP="002E7523">
            <w:pPr>
              <w:spacing w:line="276" w:lineRule="auto"/>
              <w:jc w:val="right"/>
              <w:rPr>
                <w:rFonts w:asciiTheme="minorHAnsi" w:hAnsiTheme="minorHAnsi" w:cstheme="minorHAnsi"/>
                <w:bCs/>
                <w:sz w:val="20"/>
                <w:szCs w:val="20"/>
              </w:rPr>
            </w:pPr>
          </w:p>
        </w:tc>
      </w:tr>
      <w:tr w:rsidR="00CB78D3" w:rsidRPr="00BB3C18" w14:paraId="496661BE" w14:textId="77777777" w:rsidTr="00453004">
        <w:tc>
          <w:tcPr>
            <w:tcW w:w="3629" w:type="dxa"/>
            <w:gridSpan w:val="3"/>
          </w:tcPr>
          <w:p w14:paraId="56DF780F" w14:textId="2ECFB92B" w:rsidR="00CB78D3" w:rsidRDefault="00CB78D3" w:rsidP="00C4130C">
            <w:pPr>
              <w:spacing w:line="276" w:lineRule="auto"/>
              <w:rPr>
                <w:rFonts w:asciiTheme="minorHAnsi" w:hAnsiTheme="minorHAnsi" w:cstheme="minorHAnsi"/>
                <w:b/>
                <w:sz w:val="20"/>
                <w:szCs w:val="20"/>
              </w:rPr>
            </w:pPr>
            <w:r>
              <w:rPr>
                <w:rFonts w:asciiTheme="minorHAnsi" w:hAnsiTheme="minorHAnsi" w:cstheme="minorHAnsi"/>
                <w:b/>
                <w:sz w:val="20"/>
                <w:szCs w:val="20"/>
              </w:rPr>
              <w:t xml:space="preserve">Current Assets </w:t>
            </w:r>
          </w:p>
        </w:tc>
        <w:tc>
          <w:tcPr>
            <w:tcW w:w="236" w:type="dxa"/>
          </w:tcPr>
          <w:p w14:paraId="560DAAB2" w14:textId="77777777" w:rsidR="00CB78D3" w:rsidRPr="00BB3C18" w:rsidRDefault="00CB78D3" w:rsidP="002E7523">
            <w:pPr>
              <w:spacing w:line="276" w:lineRule="auto"/>
              <w:jc w:val="right"/>
              <w:rPr>
                <w:rFonts w:asciiTheme="minorHAnsi" w:hAnsiTheme="minorHAnsi" w:cstheme="minorHAnsi"/>
                <w:sz w:val="20"/>
                <w:szCs w:val="20"/>
              </w:rPr>
            </w:pPr>
          </w:p>
        </w:tc>
        <w:tc>
          <w:tcPr>
            <w:tcW w:w="702" w:type="dxa"/>
          </w:tcPr>
          <w:p w14:paraId="655A40EF" w14:textId="77777777" w:rsidR="00CB78D3" w:rsidRPr="00BB3C18" w:rsidRDefault="00CB78D3" w:rsidP="002E7523">
            <w:pPr>
              <w:spacing w:line="276" w:lineRule="auto"/>
              <w:jc w:val="right"/>
              <w:rPr>
                <w:rFonts w:asciiTheme="minorHAnsi" w:hAnsiTheme="minorHAnsi" w:cstheme="minorHAnsi"/>
                <w:sz w:val="20"/>
                <w:szCs w:val="20"/>
              </w:rPr>
            </w:pPr>
          </w:p>
        </w:tc>
        <w:tc>
          <w:tcPr>
            <w:tcW w:w="249" w:type="dxa"/>
          </w:tcPr>
          <w:p w14:paraId="5279FB99" w14:textId="77777777" w:rsidR="00CB78D3" w:rsidRPr="00BB3C18" w:rsidRDefault="00CB78D3" w:rsidP="002E7523">
            <w:pPr>
              <w:spacing w:line="276" w:lineRule="auto"/>
              <w:jc w:val="right"/>
              <w:rPr>
                <w:rFonts w:asciiTheme="minorHAnsi" w:hAnsiTheme="minorHAnsi" w:cstheme="minorHAnsi"/>
                <w:sz w:val="20"/>
                <w:szCs w:val="20"/>
              </w:rPr>
            </w:pPr>
          </w:p>
        </w:tc>
        <w:tc>
          <w:tcPr>
            <w:tcW w:w="1202" w:type="dxa"/>
          </w:tcPr>
          <w:p w14:paraId="2CB5F034" w14:textId="77777777" w:rsidR="00CB78D3" w:rsidRPr="00BB3C18" w:rsidRDefault="00CB78D3" w:rsidP="005B3448">
            <w:pPr>
              <w:spacing w:line="276" w:lineRule="auto"/>
              <w:jc w:val="center"/>
              <w:rPr>
                <w:rFonts w:asciiTheme="minorHAnsi" w:hAnsiTheme="minorHAnsi" w:cstheme="minorHAnsi"/>
                <w:b/>
                <w:sz w:val="20"/>
                <w:szCs w:val="20"/>
              </w:rPr>
            </w:pPr>
          </w:p>
        </w:tc>
        <w:tc>
          <w:tcPr>
            <w:tcW w:w="236" w:type="dxa"/>
          </w:tcPr>
          <w:p w14:paraId="5ACCC9A4" w14:textId="77777777" w:rsidR="00CB78D3" w:rsidRPr="00BB3C18" w:rsidRDefault="00CB78D3" w:rsidP="005B3448">
            <w:pPr>
              <w:spacing w:line="276" w:lineRule="auto"/>
              <w:jc w:val="center"/>
              <w:rPr>
                <w:rFonts w:asciiTheme="minorHAnsi" w:hAnsiTheme="minorHAnsi" w:cstheme="minorHAnsi"/>
                <w:sz w:val="20"/>
                <w:szCs w:val="20"/>
              </w:rPr>
            </w:pPr>
          </w:p>
        </w:tc>
        <w:tc>
          <w:tcPr>
            <w:tcW w:w="1082" w:type="dxa"/>
          </w:tcPr>
          <w:p w14:paraId="7D606EBE" w14:textId="77777777" w:rsidR="00CB78D3" w:rsidRPr="00BB3C18" w:rsidRDefault="00CB78D3" w:rsidP="005B3448">
            <w:pPr>
              <w:spacing w:line="276" w:lineRule="auto"/>
              <w:jc w:val="center"/>
              <w:rPr>
                <w:rFonts w:asciiTheme="minorHAnsi" w:hAnsiTheme="minorHAnsi" w:cstheme="minorHAnsi"/>
                <w:sz w:val="20"/>
                <w:szCs w:val="20"/>
              </w:rPr>
            </w:pPr>
          </w:p>
        </w:tc>
        <w:tc>
          <w:tcPr>
            <w:tcW w:w="283" w:type="dxa"/>
          </w:tcPr>
          <w:p w14:paraId="77856AE0"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Pr>
          <w:p w14:paraId="54621D51" w14:textId="77777777" w:rsidR="00CB78D3" w:rsidRPr="00554619" w:rsidRDefault="00CB78D3" w:rsidP="002E7523">
            <w:pPr>
              <w:spacing w:line="276" w:lineRule="auto"/>
              <w:jc w:val="right"/>
              <w:rPr>
                <w:rFonts w:asciiTheme="minorHAnsi" w:hAnsiTheme="minorHAnsi" w:cstheme="minorHAnsi"/>
                <w:b/>
                <w:sz w:val="20"/>
                <w:szCs w:val="20"/>
                <w:highlight w:val="yellow"/>
              </w:rPr>
            </w:pPr>
          </w:p>
        </w:tc>
        <w:tc>
          <w:tcPr>
            <w:tcW w:w="287" w:type="dxa"/>
          </w:tcPr>
          <w:p w14:paraId="530B95B3" w14:textId="77777777" w:rsidR="00CB78D3" w:rsidRPr="00BB3C18" w:rsidRDefault="00CB78D3" w:rsidP="002E7523">
            <w:pPr>
              <w:spacing w:line="276" w:lineRule="auto"/>
              <w:jc w:val="right"/>
              <w:rPr>
                <w:rFonts w:asciiTheme="minorHAnsi" w:hAnsiTheme="minorHAnsi" w:cstheme="minorHAnsi"/>
                <w:sz w:val="20"/>
                <w:szCs w:val="20"/>
              </w:rPr>
            </w:pPr>
          </w:p>
        </w:tc>
        <w:tc>
          <w:tcPr>
            <w:tcW w:w="1275" w:type="dxa"/>
          </w:tcPr>
          <w:p w14:paraId="7E7AD5BB" w14:textId="77777777" w:rsidR="00CB78D3" w:rsidRPr="00D43854" w:rsidRDefault="00CB78D3" w:rsidP="002E7523">
            <w:pPr>
              <w:spacing w:line="276" w:lineRule="auto"/>
              <w:jc w:val="right"/>
              <w:rPr>
                <w:rFonts w:asciiTheme="minorHAnsi" w:hAnsiTheme="minorHAnsi" w:cstheme="minorHAnsi"/>
                <w:bCs/>
                <w:sz w:val="20"/>
                <w:szCs w:val="20"/>
              </w:rPr>
            </w:pPr>
          </w:p>
        </w:tc>
      </w:tr>
      <w:tr w:rsidR="00B058C1" w:rsidRPr="00BB3C18" w14:paraId="0312F24F" w14:textId="77777777" w:rsidTr="00453004">
        <w:tc>
          <w:tcPr>
            <w:tcW w:w="3629" w:type="dxa"/>
            <w:gridSpan w:val="3"/>
          </w:tcPr>
          <w:p w14:paraId="0312F244" w14:textId="77777777" w:rsidR="00B058C1" w:rsidRPr="00BB3C18" w:rsidRDefault="00B058C1" w:rsidP="00B058C1">
            <w:pPr>
              <w:spacing w:line="276" w:lineRule="auto"/>
              <w:rPr>
                <w:rFonts w:asciiTheme="minorHAnsi" w:hAnsiTheme="minorHAnsi" w:cstheme="minorHAnsi"/>
                <w:sz w:val="20"/>
                <w:szCs w:val="20"/>
              </w:rPr>
            </w:pPr>
            <w:r w:rsidRPr="00BB3C18">
              <w:rPr>
                <w:rFonts w:asciiTheme="minorHAnsi" w:hAnsiTheme="minorHAnsi" w:cstheme="minorHAnsi"/>
                <w:sz w:val="20"/>
                <w:szCs w:val="20"/>
              </w:rPr>
              <w:t>Trade and other receivables</w:t>
            </w:r>
          </w:p>
        </w:tc>
        <w:tc>
          <w:tcPr>
            <w:tcW w:w="236" w:type="dxa"/>
          </w:tcPr>
          <w:p w14:paraId="0312F245" w14:textId="77777777" w:rsidR="00B058C1" w:rsidRPr="00BB3C18" w:rsidRDefault="00B058C1" w:rsidP="00B058C1">
            <w:pPr>
              <w:spacing w:line="276" w:lineRule="auto"/>
              <w:jc w:val="right"/>
              <w:rPr>
                <w:rFonts w:asciiTheme="minorHAnsi" w:hAnsiTheme="minorHAnsi" w:cstheme="minorHAnsi"/>
                <w:sz w:val="20"/>
                <w:szCs w:val="20"/>
              </w:rPr>
            </w:pPr>
          </w:p>
        </w:tc>
        <w:tc>
          <w:tcPr>
            <w:tcW w:w="702" w:type="dxa"/>
          </w:tcPr>
          <w:p w14:paraId="0312F246" w14:textId="77777777" w:rsidR="00B058C1" w:rsidRPr="00BB3C18" w:rsidRDefault="00B058C1" w:rsidP="00B058C1">
            <w:pPr>
              <w:spacing w:line="276" w:lineRule="auto"/>
              <w:jc w:val="right"/>
              <w:rPr>
                <w:rFonts w:asciiTheme="minorHAnsi" w:hAnsiTheme="minorHAnsi" w:cstheme="minorHAnsi"/>
                <w:sz w:val="20"/>
                <w:szCs w:val="20"/>
              </w:rPr>
            </w:pPr>
          </w:p>
        </w:tc>
        <w:tc>
          <w:tcPr>
            <w:tcW w:w="249" w:type="dxa"/>
          </w:tcPr>
          <w:p w14:paraId="0312F247" w14:textId="77777777" w:rsidR="00B058C1" w:rsidRPr="00BB3C18" w:rsidRDefault="00B058C1" w:rsidP="00B058C1">
            <w:pPr>
              <w:spacing w:line="276" w:lineRule="auto"/>
              <w:jc w:val="right"/>
              <w:rPr>
                <w:rFonts w:asciiTheme="minorHAnsi" w:hAnsiTheme="minorHAnsi" w:cstheme="minorHAnsi"/>
                <w:sz w:val="20"/>
                <w:szCs w:val="20"/>
              </w:rPr>
            </w:pPr>
          </w:p>
        </w:tc>
        <w:tc>
          <w:tcPr>
            <w:tcW w:w="1202" w:type="dxa"/>
          </w:tcPr>
          <w:p w14:paraId="0312F248" w14:textId="77777777" w:rsidR="00B058C1" w:rsidRPr="00BB3C18" w:rsidRDefault="00B058C1" w:rsidP="00B058C1">
            <w:pPr>
              <w:spacing w:line="276" w:lineRule="auto"/>
              <w:jc w:val="center"/>
              <w:rPr>
                <w:rFonts w:asciiTheme="minorHAnsi" w:hAnsiTheme="minorHAnsi" w:cstheme="minorHAnsi"/>
                <w:b/>
                <w:sz w:val="20"/>
                <w:szCs w:val="20"/>
              </w:rPr>
            </w:pPr>
          </w:p>
        </w:tc>
        <w:tc>
          <w:tcPr>
            <w:tcW w:w="236" w:type="dxa"/>
          </w:tcPr>
          <w:p w14:paraId="0312F249" w14:textId="77777777" w:rsidR="00B058C1" w:rsidRPr="00BB3C18" w:rsidRDefault="00B058C1" w:rsidP="00B058C1">
            <w:pPr>
              <w:spacing w:line="276" w:lineRule="auto"/>
              <w:jc w:val="center"/>
              <w:rPr>
                <w:rFonts w:asciiTheme="minorHAnsi" w:hAnsiTheme="minorHAnsi" w:cstheme="minorHAnsi"/>
                <w:sz w:val="20"/>
                <w:szCs w:val="20"/>
              </w:rPr>
            </w:pPr>
          </w:p>
        </w:tc>
        <w:tc>
          <w:tcPr>
            <w:tcW w:w="1082" w:type="dxa"/>
          </w:tcPr>
          <w:p w14:paraId="0312F24A" w14:textId="00D527EE" w:rsidR="00B058C1" w:rsidRPr="00BB3C18" w:rsidRDefault="00B058C1" w:rsidP="00B058C1">
            <w:pPr>
              <w:spacing w:line="276" w:lineRule="auto"/>
              <w:jc w:val="center"/>
              <w:rPr>
                <w:rFonts w:asciiTheme="minorHAnsi" w:hAnsiTheme="minorHAnsi" w:cstheme="minorHAnsi"/>
                <w:sz w:val="20"/>
                <w:szCs w:val="20"/>
              </w:rPr>
            </w:pPr>
            <w:r w:rsidRPr="00BB3C18">
              <w:rPr>
                <w:rFonts w:asciiTheme="minorHAnsi" w:hAnsiTheme="minorHAnsi" w:cstheme="minorHAnsi"/>
                <w:sz w:val="20"/>
                <w:szCs w:val="20"/>
              </w:rPr>
              <w:t>1</w:t>
            </w:r>
            <w:r w:rsidR="003C6BB4">
              <w:rPr>
                <w:rFonts w:asciiTheme="minorHAnsi" w:hAnsiTheme="minorHAnsi" w:cstheme="minorHAnsi"/>
                <w:sz w:val="20"/>
                <w:szCs w:val="20"/>
              </w:rPr>
              <w:t>1</w:t>
            </w:r>
          </w:p>
        </w:tc>
        <w:tc>
          <w:tcPr>
            <w:tcW w:w="283" w:type="dxa"/>
          </w:tcPr>
          <w:p w14:paraId="0312F24B" w14:textId="77777777" w:rsidR="00B058C1" w:rsidRPr="00BB3C18" w:rsidRDefault="00B058C1" w:rsidP="00B058C1">
            <w:pPr>
              <w:spacing w:line="276" w:lineRule="auto"/>
              <w:jc w:val="right"/>
              <w:rPr>
                <w:rFonts w:asciiTheme="minorHAnsi" w:hAnsiTheme="minorHAnsi" w:cstheme="minorHAnsi"/>
                <w:sz w:val="20"/>
                <w:szCs w:val="20"/>
              </w:rPr>
            </w:pPr>
          </w:p>
        </w:tc>
        <w:tc>
          <w:tcPr>
            <w:tcW w:w="1275" w:type="dxa"/>
          </w:tcPr>
          <w:p w14:paraId="0312F24C" w14:textId="2295F8CF" w:rsidR="00B058C1" w:rsidRPr="00F40FC5" w:rsidRDefault="00E910C0" w:rsidP="00B058C1">
            <w:pPr>
              <w:spacing w:line="276" w:lineRule="auto"/>
              <w:jc w:val="right"/>
              <w:rPr>
                <w:rFonts w:asciiTheme="minorHAnsi" w:hAnsiTheme="minorHAnsi" w:cstheme="minorHAnsi"/>
                <w:b/>
                <w:sz w:val="20"/>
                <w:szCs w:val="20"/>
              </w:rPr>
            </w:pPr>
            <w:r>
              <w:rPr>
                <w:rFonts w:asciiTheme="minorHAnsi" w:hAnsiTheme="minorHAnsi" w:cstheme="minorHAnsi"/>
                <w:b/>
                <w:sz w:val="20"/>
                <w:szCs w:val="20"/>
              </w:rPr>
              <w:t>-</w:t>
            </w:r>
          </w:p>
        </w:tc>
        <w:tc>
          <w:tcPr>
            <w:tcW w:w="287" w:type="dxa"/>
          </w:tcPr>
          <w:p w14:paraId="0312F24D" w14:textId="77777777" w:rsidR="00B058C1" w:rsidRPr="00BB3C18" w:rsidRDefault="00B058C1" w:rsidP="00B058C1">
            <w:pPr>
              <w:spacing w:line="276" w:lineRule="auto"/>
              <w:jc w:val="right"/>
              <w:rPr>
                <w:rFonts w:asciiTheme="minorHAnsi" w:hAnsiTheme="minorHAnsi" w:cstheme="minorHAnsi"/>
                <w:sz w:val="20"/>
                <w:szCs w:val="20"/>
              </w:rPr>
            </w:pPr>
          </w:p>
        </w:tc>
        <w:tc>
          <w:tcPr>
            <w:tcW w:w="1275" w:type="dxa"/>
          </w:tcPr>
          <w:p w14:paraId="0312F24E" w14:textId="3C59D41F" w:rsidR="00B058C1" w:rsidRPr="00D43854" w:rsidRDefault="00011CDC" w:rsidP="00B058C1">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103,126</w:t>
            </w:r>
          </w:p>
        </w:tc>
      </w:tr>
      <w:tr w:rsidR="00B058C1" w:rsidRPr="00BB3C18" w14:paraId="0312F267" w14:textId="77777777" w:rsidTr="00453004">
        <w:tc>
          <w:tcPr>
            <w:tcW w:w="3629" w:type="dxa"/>
            <w:gridSpan w:val="3"/>
          </w:tcPr>
          <w:p w14:paraId="0312F25C" w14:textId="77777777" w:rsidR="00B058C1" w:rsidRPr="00BB3C18" w:rsidRDefault="00B058C1" w:rsidP="00B058C1">
            <w:pPr>
              <w:spacing w:line="276" w:lineRule="auto"/>
              <w:rPr>
                <w:rFonts w:asciiTheme="minorHAnsi" w:hAnsiTheme="minorHAnsi" w:cstheme="minorHAnsi"/>
                <w:sz w:val="20"/>
                <w:szCs w:val="20"/>
              </w:rPr>
            </w:pPr>
            <w:r w:rsidRPr="00BB3C18">
              <w:rPr>
                <w:rFonts w:asciiTheme="minorHAnsi" w:hAnsiTheme="minorHAnsi" w:cstheme="minorHAnsi"/>
                <w:sz w:val="20"/>
                <w:szCs w:val="20"/>
              </w:rPr>
              <w:t>Cash and cash equivalents</w:t>
            </w:r>
          </w:p>
        </w:tc>
        <w:tc>
          <w:tcPr>
            <w:tcW w:w="236" w:type="dxa"/>
          </w:tcPr>
          <w:p w14:paraId="0312F25D" w14:textId="77777777" w:rsidR="00B058C1" w:rsidRPr="00BB3C18" w:rsidRDefault="00B058C1" w:rsidP="00B058C1">
            <w:pPr>
              <w:spacing w:line="276" w:lineRule="auto"/>
              <w:jc w:val="right"/>
              <w:rPr>
                <w:rFonts w:asciiTheme="minorHAnsi" w:hAnsiTheme="minorHAnsi" w:cstheme="minorHAnsi"/>
                <w:sz w:val="20"/>
                <w:szCs w:val="20"/>
              </w:rPr>
            </w:pPr>
          </w:p>
        </w:tc>
        <w:tc>
          <w:tcPr>
            <w:tcW w:w="702" w:type="dxa"/>
          </w:tcPr>
          <w:p w14:paraId="0312F25E" w14:textId="77777777" w:rsidR="00B058C1" w:rsidRPr="00BB3C18" w:rsidRDefault="00B058C1" w:rsidP="00B058C1">
            <w:pPr>
              <w:spacing w:line="276" w:lineRule="auto"/>
              <w:jc w:val="right"/>
              <w:rPr>
                <w:rFonts w:asciiTheme="minorHAnsi" w:hAnsiTheme="minorHAnsi" w:cstheme="minorHAnsi"/>
                <w:sz w:val="20"/>
                <w:szCs w:val="20"/>
              </w:rPr>
            </w:pPr>
          </w:p>
        </w:tc>
        <w:tc>
          <w:tcPr>
            <w:tcW w:w="249" w:type="dxa"/>
          </w:tcPr>
          <w:p w14:paraId="0312F25F" w14:textId="77777777" w:rsidR="00B058C1" w:rsidRPr="00BB3C18" w:rsidRDefault="00B058C1" w:rsidP="00B058C1">
            <w:pPr>
              <w:spacing w:line="276" w:lineRule="auto"/>
              <w:jc w:val="right"/>
              <w:rPr>
                <w:rFonts w:asciiTheme="minorHAnsi" w:hAnsiTheme="minorHAnsi" w:cstheme="minorHAnsi"/>
                <w:sz w:val="20"/>
                <w:szCs w:val="20"/>
              </w:rPr>
            </w:pPr>
          </w:p>
        </w:tc>
        <w:tc>
          <w:tcPr>
            <w:tcW w:w="1202" w:type="dxa"/>
          </w:tcPr>
          <w:p w14:paraId="0312F260" w14:textId="77777777" w:rsidR="00B058C1" w:rsidRPr="00BB3C18" w:rsidRDefault="00B058C1" w:rsidP="00B058C1">
            <w:pPr>
              <w:spacing w:line="276" w:lineRule="auto"/>
              <w:jc w:val="center"/>
              <w:rPr>
                <w:rFonts w:asciiTheme="minorHAnsi" w:hAnsiTheme="minorHAnsi" w:cstheme="minorHAnsi"/>
                <w:b/>
                <w:sz w:val="20"/>
                <w:szCs w:val="20"/>
              </w:rPr>
            </w:pPr>
          </w:p>
        </w:tc>
        <w:tc>
          <w:tcPr>
            <w:tcW w:w="236" w:type="dxa"/>
          </w:tcPr>
          <w:p w14:paraId="0312F261" w14:textId="77777777" w:rsidR="00B058C1" w:rsidRPr="00BB3C18" w:rsidRDefault="00B058C1" w:rsidP="00B058C1">
            <w:pPr>
              <w:spacing w:line="276" w:lineRule="auto"/>
              <w:jc w:val="center"/>
              <w:rPr>
                <w:rFonts w:asciiTheme="minorHAnsi" w:hAnsiTheme="minorHAnsi" w:cstheme="minorHAnsi"/>
                <w:sz w:val="20"/>
                <w:szCs w:val="20"/>
              </w:rPr>
            </w:pPr>
          </w:p>
        </w:tc>
        <w:tc>
          <w:tcPr>
            <w:tcW w:w="1082" w:type="dxa"/>
          </w:tcPr>
          <w:p w14:paraId="0312F262" w14:textId="45500C89" w:rsidR="00B058C1" w:rsidRPr="00BB3C18" w:rsidRDefault="00B058C1" w:rsidP="00B058C1">
            <w:pPr>
              <w:spacing w:line="276" w:lineRule="auto"/>
              <w:jc w:val="center"/>
              <w:rPr>
                <w:rFonts w:asciiTheme="minorHAnsi" w:hAnsiTheme="minorHAnsi" w:cstheme="minorHAnsi"/>
                <w:sz w:val="20"/>
                <w:szCs w:val="20"/>
              </w:rPr>
            </w:pPr>
            <w:r w:rsidRPr="00BB3C18">
              <w:rPr>
                <w:rFonts w:asciiTheme="minorHAnsi" w:hAnsiTheme="minorHAnsi" w:cstheme="minorHAnsi"/>
                <w:sz w:val="20"/>
                <w:szCs w:val="20"/>
              </w:rPr>
              <w:t>1</w:t>
            </w:r>
            <w:r w:rsidR="003C6BB4">
              <w:rPr>
                <w:rFonts w:asciiTheme="minorHAnsi" w:hAnsiTheme="minorHAnsi" w:cstheme="minorHAnsi"/>
                <w:sz w:val="20"/>
                <w:szCs w:val="20"/>
              </w:rPr>
              <w:t>2</w:t>
            </w:r>
          </w:p>
        </w:tc>
        <w:tc>
          <w:tcPr>
            <w:tcW w:w="283" w:type="dxa"/>
          </w:tcPr>
          <w:p w14:paraId="0312F263" w14:textId="77777777" w:rsidR="00B058C1" w:rsidRPr="00BB3C18" w:rsidRDefault="00B058C1" w:rsidP="00B058C1">
            <w:pPr>
              <w:spacing w:line="276" w:lineRule="auto"/>
              <w:jc w:val="right"/>
              <w:rPr>
                <w:rFonts w:asciiTheme="minorHAnsi" w:hAnsiTheme="minorHAnsi" w:cstheme="minorHAnsi"/>
                <w:sz w:val="20"/>
                <w:szCs w:val="20"/>
              </w:rPr>
            </w:pPr>
          </w:p>
        </w:tc>
        <w:tc>
          <w:tcPr>
            <w:tcW w:w="1275" w:type="dxa"/>
          </w:tcPr>
          <w:p w14:paraId="0312F264" w14:textId="66B3030B" w:rsidR="00B058C1" w:rsidRPr="00F40FC5" w:rsidRDefault="00F815C8" w:rsidP="00B058C1">
            <w:pPr>
              <w:spacing w:line="276" w:lineRule="auto"/>
              <w:jc w:val="right"/>
              <w:rPr>
                <w:rFonts w:asciiTheme="minorHAnsi" w:hAnsiTheme="minorHAnsi" w:cstheme="minorHAnsi"/>
                <w:b/>
                <w:sz w:val="20"/>
                <w:szCs w:val="20"/>
              </w:rPr>
            </w:pPr>
            <w:r>
              <w:rPr>
                <w:rFonts w:asciiTheme="minorHAnsi" w:hAnsiTheme="minorHAnsi" w:cstheme="minorHAnsi"/>
                <w:b/>
                <w:sz w:val="20"/>
                <w:szCs w:val="20"/>
              </w:rPr>
              <w:t>5</w:t>
            </w:r>
          </w:p>
        </w:tc>
        <w:tc>
          <w:tcPr>
            <w:tcW w:w="287" w:type="dxa"/>
          </w:tcPr>
          <w:p w14:paraId="0312F265" w14:textId="77777777" w:rsidR="00B058C1" w:rsidRPr="00BB3C18" w:rsidRDefault="00B058C1" w:rsidP="00B058C1">
            <w:pPr>
              <w:spacing w:line="276" w:lineRule="auto"/>
              <w:jc w:val="right"/>
              <w:rPr>
                <w:rFonts w:asciiTheme="minorHAnsi" w:hAnsiTheme="minorHAnsi" w:cstheme="minorHAnsi"/>
                <w:sz w:val="20"/>
                <w:szCs w:val="20"/>
              </w:rPr>
            </w:pPr>
          </w:p>
        </w:tc>
        <w:tc>
          <w:tcPr>
            <w:tcW w:w="1275" w:type="dxa"/>
          </w:tcPr>
          <w:p w14:paraId="0312F266" w14:textId="4C1ADEED" w:rsidR="00B058C1" w:rsidRPr="00D43854" w:rsidRDefault="00011CDC" w:rsidP="00B058C1">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50,929</w:t>
            </w:r>
          </w:p>
        </w:tc>
      </w:tr>
      <w:tr w:rsidR="005A6FA0" w:rsidRPr="00BB3C18" w14:paraId="0312F273" w14:textId="77777777" w:rsidTr="00453004">
        <w:tc>
          <w:tcPr>
            <w:tcW w:w="3629" w:type="dxa"/>
            <w:gridSpan w:val="3"/>
          </w:tcPr>
          <w:p w14:paraId="0312F268" w14:textId="77777777" w:rsidR="005A6FA0" w:rsidRPr="00BB3C18" w:rsidRDefault="005A6FA0" w:rsidP="002E7523">
            <w:pPr>
              <w:spacing w:line="276" w:lineRule="auto"/>
              <w:rPr>
                <w:rFonts w:asciiTheme="minorHAnsi" w:hAnsiTheme="minorHAnsi" w:cstheme="minorHAnsi"/>
                <w:b/>
                <w:sz w:val="20"/>
                <w:szCs w:val="20"/>
              </w:rPr>
            </w:pPr>
          </w:p>
        </w:tc>
        <w:tc>
          <w:tcPr>
            <w:tcW w:w="236" w:type="dxa"/>
          </w:tcPr>
          <w:p w14:paraId="0312F269" w14:textId="77777777" w:rsidR="005A6FA0" w:rsidRPr="00BB3C18" w:rsidRDefault="005A6FA0" w:rsidP="002E7523">
            <w:pPr>
              <w:spacing w:line="276" w:lineRule="auto"/>
              <w:jc w:val="right"/>
              <w:rPr>
                <w:rFonts w:asciiTheme="minorHAnsi" w:hAnsiTheme="minorHAnsi" w:cstheme="minorHAnsi"/>
                <w:sz w:val="20"/>
                <w:szCs w:val="20"/>
              </w:rPr>
            </w:pPr>
          </w:p>
        </w:tc>
        <w:tc>
          <w:tcPr>
            <w:tcW w:w="702" w:type="dxa"/>
          </w:tcPr>
          <w:p w14:paraId="0312F26A" w14:textId="77777777" w:rsidR="005A6FA0" w:rsidRPr="00BB3C18" w:rsidRDefault="005A6FA0" w:rsidP="002E7523">
            <w:pPr>
              <w:spacing w:line="276" w:lineRule="auto"/>
              <w:jc w:val="right"/>
              <w:rPr>
                <w:rFonts w:asciiTheme="minorHAnsi" w:hAnsiTheme="minorHAnsi" w:cstheme="minorHAnsi"/>
                <w:sz w:val="20"/>
                <w:szCs w:val="20"/>
              </w:rPr>
            </w:pPr>
          </w:p>
        </w:tc>
        <w:tc>
          <w:tcPr>
            <w:tcW w:w="249" w:type="dxa"/>
          </w:tcPr>
          <w:p w14:paraId="0312F26B" w14:textId="77777777" w:rsidR="005A6FA0" w:rsidRPr="00BB3C18" w:rsidRDefault="005A6FA0" w:rsidP="002E7523">
            <w:pPr>
              <w:spacing w:line="276" w:lineRule="auto"/>
              <w:jc w:val="right"/>
              <w:rPr>
                <w:rFonts w:asciiTheme="minorHAnsi" w:hAnsiTheme="minorHAnsi" w:cstheme="minorHAnsi"/>
                <w:sz w:val="20"/>
                <w:szCs w:val="20"/>
              </w:rPr>
            </w:pPr>
          </w:p>
        </w:tc>
        <w:tc>
          <w:tcPr>
            <w:tcW w:w="1202" w:type="dxa"/>
          </w:tcPr>
          <w:p w14:paraId="0312F26C" w14:textId="77777777" w:rsidR="005A6FA0" w:rsidRPr="00BB3C18" w:rsidRDefault="005A6FA0" w:rsidP="005B3448">
            <w:pPr>
              <w:spacing w:line="276" w:lineRule="auto"/>
              <w:jc w:val="center"/>
              <w:rPr>
                <w:rFonts w:asciiTheme="minorHAnsi" w:hAnsiTheme="minorHAnsi" w:cstheme="minorHAnsi"/>
                <w:b/>
                <w:sz w:val="20"/>
                <w:szCs w:val="20"/>
              </w:rPr>
            </w:pPr>
          </w:p>
        </w:tc>
        <w:tc>
          <w:tcPr>
            <w:tcW w:w="236" w:type="dxa"/>
          </w:tcPr>
          <w:p w14:paraId="0312F26D" w14:textId="77777777" w:rsidR="005A6FA0" w:rsidRPr="00BB3C18" w:rsidRDefault="005A6FA0" w:rsidP="005B3448">
            <w:pPr>
              <w:spacing w:line="276" w:lineRule="auto"/>
              <w:jc w:val="center"/>
              <w:rPr>
                <w:rFonts w:asciiTheme="minorHAnsi" w:hAnsiTheme="minorHAnsi" w:cstheme="minorHAnsi"/>
                <w:sz w:val="20"/>
                <w:szCs w:val="20"/>
              </w:rPr>
            </w:pPr>
          </w:p>
        </w:tc>
        <w:tc>
          <w:tcPr>
            <w:tcW w:w="1082" w:type="dxa"/>
          </w:tcPr>
          <w:p w14:paraId="0312F26E" w14:textId="77777777" w:rsidR="005A6FA0" w:rsidRPr="00BB3C18" w:rsidRDefault="005A6FA0" w:rsidP="005B3448">
            <w:pPr>
              <w:spacing w:line="276" w:lineRule="auto"/>
              <w:jc w:val="center"/>
              <w:rPr>
                <w:rFonts w:asciiTheme="minorHAnsi" w:hAnsiTheme="minorHAnsi" w:cstheme="minorHAnsi"/>
                <w:sz w:val="20"/>
                <w:szCs w:val="20"/>
              </w:rPr>
            </w:pPr>
          </w:p>
        </w:tc>
        <w:tc>
          <w:tcPr>
            <w:tcW w:w="283" w:type="dxa"/>
          </w:tcPr>
          <w:p w14:paraId="0312F26F" w14:textId="77777777" w:rsidR="005A6FA0" w:rsidRPr="00BB3C18" w:rsidRDefault="005A6FA0" w:rsidP="002E752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0312F270" w14:textId="4520DD0C" w:rsidR="005A6FA0" w:rsidRPr="00F40FC5" w:rsidRDefault="00CB78D3" w:rsidP="002E7523">
            <w:pPr>
              <w:spacing w:line="276" w:lineRule="auto"/>
              <w:jc w:val="right"/>
              <w:rPr>
                <w:rFonts w:asciiTheme="minorHAnsi" w:hAnsiTheme="minorHAnsi" w:cstheme="minorHAnsi"/>
                <w:b/>
                <w:sz w:val="20"/>
                <w:szCs w:val="20"/>
              </w:rPr>
            </w:pPr>
            <w:r>
              <w:rPr>
                <w:rFonts w:asciiTheme="minorHAnsi" w:hAnsiTheme="minorHAnsi" w:cstheme="minorHAnsi"/>
                <w:b/>
                <w:sz w:val="20"/>
                <w:szCs w:val="20"/>
              </w:rPr>
              <w:t>5</w:t>
            </w:r>
          </w:p>
        </w:tc>
        <w:tc>
          <w:tcPr>
            <w:tcW w:w="287" w:type="dxa"/>
          </w:tcPr>
          <w:p w14:paraId="0312F271" w14:textId="77777777" w:rsidR="005A6FA0" w:rsidRPr="00BB3C18" w:rsidRDefault="005A6FA0" w:rsidP="002E752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0312F272" w14:textId="123596BA" w:rsidR="005A6FA0" w:rsidRPr="00D43854" w:rsidRDefault="00011CDC" w:rsidP="002E7523">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154,055</w:t>
            </w:r>
          </w:p>
        </w:tc>
      </w:tr>
      <w:tr w:rsidR="005A6FA0" w:rsidRPr="00BB3C18" w14:paraId="0312F27F" w14:textId="77777777" w:rsidTr="00453004">
        <w:tc>
          <w:tcPr>
            <w:tcW w:w="3629" w:type="dxa"/>
            <w:gridSpan w:val="3"/>
          </w:tcPr>
          <w:p w14:paraId="0312F274" w14:textId="77777777" w:rsidR="005A6FA0" w:rsidRPr="00BB3C18" w:rsidRDefault="005A6FA0" w:rsidP="002E7523">
            <w:pPr>
              <w:spacing w:line="276" w:lineRule="auto"/>
              <w:rPr>
                <w:rFonts w:asciiTheme="minorHAnsi" w:hAnsiTheme="minorHAnsi" w:cstheme="minorHAnsi"/>
                <w:b/>
                <w:sz w:val="20"/>
                <w:szCs w:val="20"/>
              </w:rPr>
            </w:pPr>
          </w:p>
        </w:tc>
        <w:tc>
          <w:tcPr>
            <w:tcW w:w="236" w:type="dxa"/>
          </w:tcPr>
          <w:p w14:paraId="0312F275" w14:textId="77777777" w:rsidR="005A6FA0" w:rsidRPr="00BB3C18" w:rsidRDefault="005A6FA0" w:rsidP="002E7523">
            <w:pPr>
              <w:spacing w:line="276" w:lineRule="auto"/>
              <w:jc w:val="right"/>
              <w:rPr>
                <w:rFonts w:asciiTheme="minorHAnsi" w:hAnsiTheme="minorHAnsi" w:cstheme="minorHAnsi"/>
                <w:sz w:val="20"/>
                <w:szCs w:val="20"/>
              </w:rPr>
            </w:pPr>
          </w:p>
        </w:tc>
        <w:tc>
          <w:tcPr>
            <w:tcW w:w="702" w:type="dxa"/>
          </w:tcPr>
          <w:p w14:paraId="0312F276" w14:textId="77777777" w:rsidR="005A6FA0" w:rsidRPr="00BB3C18" w:rsidRDefault="005A6FA0" w:rsidP="002E7523">
            <w:pPr>
              <w:spacing w:line="276" w:lineRule="auto"/>
              <w:jc w:val="right"/>
              <w:rPr>
                <w:rFonts w:asciiTheme="minorHAnsi" w:hAnsiTheme="minorHAnsi" w:cstheme="minorHAnsi"/>
                <w:sz w:val="20"/>
                <w:szCs w:val="20"/>
              </w:rPr>
            </w:pPr>
          </w:p>
        </w:tc>
        <w:tc>
          <w:tcPr>
            <w:tcW w:w="249" w:type="dxa"/>
          </w:tcPr>
          <w:p w14:paraId="0312F277" w14:textId="77777777" w:rsidR="005A6FA0" w:rsidRPr="00BB3C18" w:rsidRDefault="005A6FA0" w:rsidP="002E7523">
            <w:pPr>
              <w:spacing w:line="276" w:lineRule="auto"/>
              <w:jc w:val="right"/>
              <w:rPr>
                <w:rFonts w:asciiTheme="minorHAnsi" w:hAnsiTheme="minorHAnsi" w:cstheme="minorHAnsi"/>
                <w:sz w:val="20"/>
                <w:szCs w:val="20"/>
              </w:rPr>
            </w:pPr>
          </w:p>
        </w:tc>
        <w:tc>
          <w:tcPr>
            <w:tcW w:w="1202" w:type="dxa"/>
          </w:tcPr>
          <w:p w14:paraId="0312F278" w14:textId="77777777" w:rsidR="005A6FA0" w:rsidRPr="00BB3C18" w:rsidRDefault="005A6FA0" w:rsidP="005B3448">
            <w:pPr>
              <w:spacing w:line="276" w:lineRule="auto"/>
              <w:jc w:val="center"/>
              <w:rPr>
                <w:rFonts w:asciiTheme="minorHAnsi" w:hAnsiTheme="minorHAnsi" w:cstheme="minorHAnsi"/>
                <w:b/>
                <w:sz w:val="20"/>
                <w:szCs w:val="20"/>
              </w:rPr>
            </w:pPr>
          </w:p>
        </w:tc>
        <w:tc>
          <w:tcPr>
            <w:tcW w:w="236" w:type="dxa"/>
          </w:tcPr>
          <w:p w14:paraId="0312F279" w14:textId="77777777" w:rsidR="005A6FA0" w:rsidRPr="00BB3C18" w:rsidRDefault="005A6FA0" w:rsidP="005B3448">
            <w:pPr>
              <w:spacing w:line="276" w:lineRule="auto"/>
              <w:jc w:val="center"/>
              <w:rPr>
                <w:rFonts w:asciiTheme="minorHAnsi" w:hAnsiTheme="minorHAnsi" w:cstheme="minorHAnsi"/>
                <w:sz w:val="20"/>
                <w:szCs w:val="20"/>
              </w:rPr>
            </w:pPr>
          </w:p>
        </w:tc>
        <w:tc>
          <w:tcPr>
            <w:tcW w:w="1082" w:type="dxa"/>
          </w:tcPr>
          <w:p w14:paraId="0312F27A" w14:textId="77777777" w:rsidR="005A6FA0" w:rsidRPr="00BB3C18" w:rsidRDefault="005A6FA0" w:rsidP="005B3448">
            <w:pPr>
              <w:spacing w:line="276" w:lineRule="auto"/>
              <w:jc w:val="center"/>
              <w:rPr>
                <w:rFonts w:asciiTheme="minorHAnsi" w:hAnsiTheme="minorHAnsi" w:cstheme="minorHAnsi"/>
                <w:sz w:val="20"/>
                <w:szCs w:val="20"/>
              </w:rPr>
            </w:pPr>
          </w:p>
        </w:tc>
        <w:tc>
          <w:tcPr>
            <w:tcW w:w="283" w:type="dxa"/>
          </w:tcPr>
          <w:p w14:paraId="0312F27B" w14:textId="77777777" w:rsidR="005A6FA0" w:rsidRPr="00BB3C18" w:rsidRDefault="005A6FA0" w:rsidP="002E752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0312F27C" w14:textId="77777777" w:rsidR="005A6FA0" w:rsidRPr="00F40FC5" w:rsidRDefault="005A6FA0" w:rsidP="002E7523">
            <w:pPr>
              <w:spacing w:line="276" w:lineRule="auto"/>
              <w:jc w:val="right"/>
              <w:rPr>
                <w:rFonts w:asciiTheme="minorHAnsi" w:hAnsiTheme="minorHAnsi" w:cstheme="minorHAnsi"/>
                <w:b/>
                <w:sz w:val="20"/>
                <w:szCs w:val="20"/>
              </w:rPr>
            </w:pPr>
          </w:p>
        </w:tc>
        <w:tc>
          <w:tcPr>
            <w:tcW w:w="287" w:type="dxa"/>
          </w:tcPr>
          <w:p w14:paraId="0312F27D" w14:textId="77777777" w:rsidR="005A6FA0" w:rsidRPr="00BB3C18" w:rsidRDefault="005A6FA0" w:rsidP="002E752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0312F27E" w14:textId="77777777" w:rsidR="005A6FA0" w:rsidRPr="00D43854" w:rsidRDefault="005A6FA0" w:rsidP="002E7523">
            <w:pPr>
              <w:spacing w:line="276" w:lineRule="auto"/>
              <w:jc w:val="right"/>
              <w:rPr>
                <w:rFonts w:asciiTheme="minorHAnsi" w:hAnsiTheme="minorHAnsi" w:cstheme="minorHAnsi"/>
                <w:bCs/>
                <w:sz w:val="20"/>
                <w:szCs w:val="20"/>
              </w:rPr>
            </w:pPr>
          </w:p>
        </w:tc>
      </w:tr>
      <w:tr w:rsidR="00453004" w:rsidRPr="00BB3C18" w14:paraId="1D1F3289" w14:textId="77777777" w:rsidTr="00453004">
        <w:tc>
          <w:tcPr>
            <w:tcW w:w="3629" w:type="dxa"/>
            <w:gridSpan w:val="3"/>
          </w:tcPr>
          <w:p w14:paraId="62E77C52" w14:textId="301FDFE0" w:rsidR="00453004" w:rsidRPr="00BB3C18" w:rsidRDefault="00453004" w:rsidP="00453004">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Total assets</w:t>
            </w:r>
          </w:p>
        </w:tc>
        <w:tc>
          <w:tcPr>
            <w:tcW w:w="236" w:type="dxa"/>
          </w:tcPr>
          <w:p w14:paraId="65995012" w14:textId="77777777" w:rsidR="00453004" w:rsidRPr="00BB3C18" w:rsidRDefault="00453004" w:rsidP="00453004">
            <w:pPr>
              <w:spacing w:line="276" w:lineRule="auto"/>
              <w:jc w:val="right"/>
              <w:rPr>
                <w:rFonts w:asciiTheme="minorHAnsi" w:hAnsiTheme="minorHAnsi" w:cstheme="minorHAnsi"/>
                <w:sz w:val="20"/>
                <w:szCs w:val="20"/>
              </w:rPr>
            </w:pPr>
          </w:p>
        </w:tc>
        <w:tc>
          <w:tcPr>
            <w:tcW w:w="702" w:type="dxa"/>
          </w:tcPr>
          <w:p w14:paraId="45A1AD29" w14:textId="77777777" w:rsidR="00453004" w:rsidRPr="00BB3C18" w:rsidRDefault="00453004" w:rsidP="00453004">
            <w:pPr>
              <w:spacing w:line="276" w:lineRule="auto"/>
              <w:jc w:val="right"/>
              <w:rPr>
                <w:rFonts w:asciiTheme="minorHAnsi" w:hAnsiTheme="minorHAnsi" w:cstheme="minorHAnsi"/>
                <w:sz w:val="20"/>
                <w:szCs w:val="20"/>
              </w:rPr>
            </w:pPr>
          </w:p>
        </w:tc>
        <w:tc>
          <w:tcPr>
            <w:tcW w:w="249" w:type="dxa"/>
          </w:tcPr>
          <w:p w14:paraId="667CE9F0" w14:textId="77777777" w:rsidR="00453004" w:rsidRPr="00BB3C18" w:rsidRDefault="00453004" w:rsidP="00453004">
            <w:pPr>
              <w:spacing w:line="276" w:lineRule="auto"/>
              <w:jc w:val="right"/>
              <w:rPr>
                <w:rFonts w:asciiTheme="minorHAnsi" w:hAnsiTheme="minorHAnsi" w:cstheme="minorHAnsi"/>
                <w:sz w:val="20"/>
                <w:szCs w:val="20"/>
              </w:rPr>
            </w:pPr>
          </w:p>
        </w:tc>
        <w:tc>
          <w:tcPr>
            <w:tcW w:w="1202" w:type="dxa"/>
          </w:tcPr>
          <w:p w14:paraId="6127998A" w14:textId="77777777" w:rsidR="00453004" w:rsidRPr="00BB3C18" w:rsidRDefault="00453004" w:rsidP="00453004">
            <w:pPr>
              <w:spacing w:line="276" w:lineRule="auto"/>
              <w:jc w:val="center"/>
              <w:rPr>
                <w:rFonts w:asciiTheme="minorHAnsi" w:hAnsiTheme="minorHAnsi" w:cstheme="minorHAnsi"/>
                <w:b/>
                <w:sz w:val="20"/>
                <w:szCs w:val="20"/>
              </w:rPr>
            </w:pPr>
          </w:p>
        </w:tc>
        <w:tc>
          <w:tcPr>
            <w:tcW w:w="236" w:type="dxa"/>
          </w:tcPr>
          <w:p w14:paraId="473A3EEA" w14:textId="77777777" w:rsidR="00453004" w:rsidRPr="00BB3C18" w:rsidRDefault="00453004" w:rsidP="00453004">
            <w:pPr>
              <w:spacing w:line="276" w:lineRule="auto"/>
              <w:jc w:val="center"/>
              <w:rPr>
                <w:rFonts w:asciiTheme="minorHAnsi" w:hAnsiTheme="minorHAnsi" w:cstheme="minorHAnsi"/>
                <w:sz w:val="20"/>
                <w:szCs w:val="20"/>
              </w:rPr>
            </w:pPr>
          </w:p>
        </w:tc>
        <w:tc>
          <w:tcPr>
            <w:tcW w:w="1082" w:type="dxa"/>
          </w:tcPr>
          <w:p w14:paraId="208C738C" w14:textId="77777777" w:rsidR="00453004" w:rsidRPr="00BB3C18" w:rsidRDefault="00453004" w:rsidP="00453004">
            <w:pPr>
              <w:spacing w:line="276" w:lineRule="auto"/>
              <w:jc w:val="center"/>
              <w:rPr>
                <w:rFonts w:asciiTheme="minorHAnsi" w:hAnsiTheme="minorHAnsi" w:cstheme="minorHAnsi"/>
                <w:sz w:val="20"/>
                <w:szCs w:val="20"/>
              </w:rPr>
            </w:pPr>
          </w:p>
        </w:tc>
        <w:tc>
          <w:tcPr>
            <w:tcW w:w="283" w:type="dxa"/>
          </w:tcPr>
          <w:p w14:paraId="473981D9"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Borders>
              <w:top w:val="single" w:sz="4" w:space="0" w:color="auto"/>
              <w:bottom w:val="double" w:sz="4" w:space="0" w:color="auto"/>
            </w:tcBorders>
          </w:tcPr>
          <w:p w14:paraId="04374052" w14:textId="40FCC683" w:rsidR="00453004" w:rsidRPr="00F40FC5" w:rsidRDefault="00453004" w:rsidP="00453004">
            <w:pPr>
              <w:spacing w:line="276" w:lineRule="auto"/>
              <w:jc w:val="right"/>
              <w:rPr>
                <w:rFonts w:asciiTheme="minorHAnsi" w:hAnsiTheme="minorHAnsi" w:cstheme="minorHAnsi"/>
                <w:b/>
                <w:sz w:val="20"/>
                <w:szCs w:val="20"/>
              </w:rPr>
            </w:pPr>
            <w:r>
              <w:rPr>
                <w:rFonts w:asciiTheme="minorHAnsi" w:hAnsiTheme="minorHAnsi" w:cstheme="minorHAnsi"/>
                <w:b/>
                <w:sz w:val="20"/>
                <w:szCs w:val="20"/>
              </w:rPr>
              <w:tab/>
            </w:r>
            <w:r w:rsidR="00CB78D3">
              <w:rPr>
                <w:rFonts w:asciiTheme="minorHAnsi" w:hAnsiTheme="minorHAnsi" w:cstheme="minorHAnsi"/>
                <w:b/>
                <w:sz w:val="20"/>
                <w:szCs w:val="20"/>
              </w:rPr>
              <w:t>6</w:t>
            </w:r>
          </w:p>
        </w:tc>
        <w:tc>
          <w:tcPr>
            <w:tcW w:w="287" w:type="dxa"/>
          </w:tcPr>
          <w:p w14:paraId="56AB3F23"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Borders>
              <w:top w:val="single" w:sz="4" w:space="0" w:color="auto"/>
              <w:bottom w:val="double" w:sz="4" w:space="0" w:color="auto"/>
            </w:tcBorders>
          </w:tcPr>
          <w:p w14:paraId="02A20825" w14:textId="28090FFA" w:rsidR="00453004" w:rsidRPr="00D43854" w:rsidRDefault="00453004" w:rsidP="00453004">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154,05</w:t>
            </w:r>
            <w:r w:rsidR="007E2C95">
              <w:rPr>
                <w:rFonts w:asciiTheme="minorHAnsi" w:hAnsiTheme="minorHAnsi" w:cstheme="minorHAnsi"/>
                <w:bCs/>
                <w:sz w:val="20"/>
                <w:szCs w:val="20"/>
              </w:rPr>
              <w:t>6</w:t>
            </w:r>
          </w:p>
        </w:tc>
      </w:tr>
      <w:tr w:rsidR="00453004" w:rsidRPr="00BB3C18" w14:paraId="0312F28B" w14:textId="77777777" w:rsidTr="00453004">
        <w:tc>
          <w:tcPr>
            <w:tcW w:w="3629" w:type="dxa"/>
            <w:gridSpan w:val="3"/>
          </w:tcPr>
          <w:p w14:paraId="0312F280" w14:textId="019C8705" w:rsidR="00453004" w:rsidRPr="00BB3C18" w:rsidRDefault="00453004" w:rsidP="00453004">
            <w:pPr>
              <w:spacing w:line="276" w:lineRule="auto"/>
              <w:rPr>
                <w:rFonts w:asciiTheme="minorHAnsi" w:hAnsiTheme="minorHAnsi" w:cstheme="minorHAnsi"/>
                <w:b/>
                <w:sz w:val="20"/>
                <w:szCs w:val="20"/>
              </w:rPr>
            </w:pPr>
          </w:p>
        </w:tc>
        <w:tc>
          <w:tcPr>
            <w:tcW w:w="236" w:type="dxa"/>
          </w:tcPr>
          <w:p w14:paraId="0312F281" w14:textId="77777777" w:rsidR="00453004" w:rsidRPr="00BB3C18" w:rsidRDefault="00453004" w:rsidP="00453004">
            <w:pPr>
              <w:spacing w:line="276" w:lineRule="auto"/>
              <w:jc w:val="right"/>
              <w:rPr>
                <w:rFonts w:asciiTheme="minorHAnsi" w:hAnsiTheme="minorHAnsi" w:cstheme="minorHAnsi"/>
                <w:sz w:val="20"/>
                <w:szCs w:val="20"/>
              </w:rPr>
            </w:pPr>
          </w:p>
        </w:tc>
        <w:tc>
          <w:tcPr>
            <w:tcW w:w="702" w:type="dxa"/>
          </w:tcPr>
          <w:p w14:paraId="0312F282" w14:textId="77777777" w:rsidR="00453004" w:rsidRPr="00BB3C18" w:rsidRDefault="00453004" w:rsidP="00453004">
            <w:pPr>
              <w:spacing w:line="276" w:lineRule="auto"/>
              <w:jc w:val="right"/>
              <w:rPr>
                <w:rFonts w:asciiTheme="minorHAnsi" w:hAnsiTheme="minorHAnsi" w:cstheme="minorHAnsi"/>
                <w:sz w:val="20"/>
                <w:szCs w:val="20"/>
              </w:rPr>
            </w:pPr>
          </w:p>
        </w:tc>
        <w:tc>
          <w:tcPr>
            <w:tcW w:w="249" w:type="dxa"/>
          </w:tcPr>
          <w:p w14:paraId="0312F283" w14:textId="77777777" w:rsidR="00453004" w:rsidRPr="00BB3C18" w:rsidRDefault="00453004" w:rsidP="00453004">
            <w:pPr>
              <w:spacing w:line="276" w:lineRule="auto"/>
              <w:jc w:val="right"/>
              <w:rPr>
                <w:rFonts w:asciiTheme="minorHAnsi" w:hAnsiTheme="minorHAnsi" w:cstheme="minorHAnsi"/>
                <w:sz w:val="20"/>
                <w:szCs w:val="20"/>
              </w:rPr>
            </w:pPr>
          </w:p>
        </w:tc>
        <w:tc>
          <w:tcPr>
            <w:tcW w:w="1202" w:type="dxa"/>
          </w:tcPr>
          <w:p w14:paraId="0312F284" w14:textId="77777777" w:rsidR="00453004" w:rsidRPr="00BB3C18" w:rsidRDefault="00453004" w:rsidP="00453004">
            <w:pPr>
              <w:spacing w:line="276" w:lineRule="auto"/>
              <w:jc w:val="center"/>
              <w:rPr>
                <w:rFonts w:asciiTheme="minorHAnsi" w:hAnsiTheme="minorHAnsi" w:cstheme="minorHAnsi"/>
                <w:b/>
                <w:sz w:val="20"/>
                <w:szCs w:val="20"/>
              </w:rPr>
            </w:pPr>
          </w:p>
        </w:tc>
        <w:tc>
          <w:tcPr>
            <w:tcW w:w="236" w:type="dxa"/>
          </w:tcPr>
          <w:p w14:paraId="0312F285" w14:textId="77777777" w:rsidR="00453004" w:rsidRPr="00BB3C18" w:rsidRDefault="00453004" w:rsidP="00453004">
            <w:pPr>
              <w:spacing w:line="276" w:lineRule="auto"/>
              <w:jc w:val="center"/>
              <w:rPr>
                <w:rFonts w:asciiTheme="minorHAnsi" w:hAnsiTheme="minorHAnsi" w:cstheme="minorHAnsi"/>
                <w:sz w:val="20"/>
                <w:szCs w:val="20"/>
              </w:rPr>
            </w:pPr>
          </w:p>
        </w:tc>
        <w:tc>
          <w:tcPr>
            <w:tcW w:w="1082" w:type="dxa"/>
          </w:tcPr>
          <w:p w14:paraId="64F46639" w14:textId="77777777" w:rsidR="00453004" w:rsidRDefault="00453004" w:rsidP="00453004">
            <w:pPr>
              <w:spacing w:line="276" w:lineRule="auto"/>
              <w:jc w:val="center"/>
              <w:rPr>
                <w:rFonts w:asciiTheme="minorHAnsi" w:hAnsiTheme="minorHAnsi" w:cstheme="minorHAnsi"/>
                <w:sz w:val="20"/>
                <w:szCs w:val="20"/>
              </w:rPr>
            </w:pPr>
          </w:p>
          <w:p w14:paraId="0312F286" w14:textId="24EE4C5E" w:rsidR="00453004" w:rsidRPr="00BB3C18" w:rsidRDefault="00453004" w:rsidP="00453004">
            <w:pPr>
              <w:spacing w:line="276" w:lineRule="auto"/>
              <w:jc w:val="center"/>
              <w:rPr>
                <w:rFonts w:asciiTheme="minorHAnsi" w:hAnsiTheme="minorHAnsi" w:cstheme="minorHAnsi"/>
                <w:sz w:val="20"/>
                <w:szCs w:val="20"/>
              </w:rPr>
            </w:pPr>
          </w:p>
        </w:tc>
        <w:tc>
          <w:tcPr>
            <w:tcW w:w="283" w:type="dxa"/>
          </w:tcPr>
          <w:p w14:paraId="0312F287"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Borders>
              <w:top w:val="single" w:sz="4" w:space="0" w:color="auto"/>
            </w:tcBorders>
          </w:tcPr>
          <w:p w14:paraId="0312F288" w14:textId="79D52940" w:rsidR="00453004" w:rsidRPr="00F40FC5" w:rsidRDefault="00453004" w:rsidP="00453004">
            <w:pPr>
              <w:tabs>
                <w:tab w:val="left" w:pos="1020"/>
              </w:tabs>
              <w:spacing w:line="276" w:lineRule="auto"/>
              <w:rPr>
                <w:rFonts w:asciiTheme="minorHAnsi" w:hAnsiTheme="minorHAnsi" w:cstheme="minorHAnsi"/>
                <w:b/>
                <w:sz w:val="20"/>
                <w:szCs w:val="20"/>
              </w:rPr>
            </w:pPr>
          </w:p>
        </w:tc>
        <w:tc>
          <w:tcPr>
            <w:tcW w:w="287" w:type="dxa"/>
          </w:tcPr>
          <w:p w14:paraId="0312F289" w14:textId="77777777" w:rsidR="00453004" w:rsidRPr="00BB3C18" w:rsidRDefault="00453004" w:rsidP="00453004">
            <w:pPr>
              <w:spacing w:line="276" w:lineRule="auto"/>
              <w:rPr>
                <w:rFonts w:asciiTheme="minorHAnsi" w:hAnsiTheme="minorHAnsi" w:cstheme="minorHAnsi"/>
                <w:b/>
                <w:sz w:val="20"/>
                <w:szCs w:val="20"/>
              </w:rPr>
            </w:pPr>
          </w:p>
        </w:tc>
        <w:tc>
          <w:tcPr>
            <w:tcW w:w="1275" w:type="dxa"/>
            <w:tcBorders>
              <w:top w:val="single" w:sz="4" w:space="0" w:color="auto"/>
            </w:tcBorders>
          </w:tcPr>
          <w:p w14:paraId="0312F28A" w14:textId="2361CBD3" w:rsidR="00453004" w:rsidRPr="00D43854" w:rsidRDefault="00453004" w:rsidP="00453004">
            <w:pPr>
              <w:spacing w:line="276" w:lineRule="auto"/>
              <w:jc w:val="right"/>
              <w:rPr>
                <w:rFonts w:asciiTheme="minorHAnsi" w:hAnsiTheme="minorHAnsi" w:cstheme="minorHAnsi"/>
                <w:bCs/>
                <w:sz w:val="20"/>
                <w:szCs w:val="20"/>
              </w:rPr>
            </w:pPr>
          </w:p>
        </w:tc>
      </w:tr>
      <w:tr w:rsidR="00453004" w:rsidRPr="00BB3C18" w14:paraId="0312F2A3" w14:textId="77777777" w:rsidTr="00453004">
        <w:tc>
          <w:tcPr>
            <w:tcW w:w="3629" w:type="dxa"/>
            <w:gridSpan w:val="3"/>
          </w:tcPr>
          <w:p w14:paraId="0312F298" w14:textId="77777777" w:rsidR="00453004" w:rsidRPr="00BB3C18" w:rsidRDefault="00453004" w:rsidP="00453004">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Equity</w:t>
            </w:r>
          </w:p>
        </w:tc>
        <w:tc>
          <w:tcPr>
            <w:tcW w:w="236" w:type="dxa"/>
          </w:tcPr>
          <w:p w14:paraId="0312F299" w14:textId="77777777" w:rsidR="00453004" w:rsidRPr="00BB3C18" w:rsidRDefault="00453004" w:rsidP="00453004">
            <w:pPr>
              <w:spacing w:line="276" w:lineRule="auto"/>
              <w:jc w:val="right"/>
              <w:rPr>
                <w:rFonts w:asciiTheme="minorHAnsi" w:hAnsiTheme="minorHAnsi" w:cstheme="minorHAnsi"/>
                <w:sz w:val="20"/>
                <w:szCs w:val="20"/>
              </w:rPr>
            </w:pPr>
          </w:p>
        </w:tc>
        <w:tc>
          <w:tcPr>
            <w:tcW w:w="702" w:type="dxa"/>
          </w:tcPr>
          <w:p w14:paraId="0312F29A" w14:textId="77777777" w:rsidR="00453004" w:rsidRPr="00BB3C18" w:rsidRDefault="00453004" w:rsidP="00453004">
            <w:pPr>
              <w:spacing w:line="276" w:lineRule="auto"/>
              <w:jc w:val="right"/>
              <w:rPr>
                <w:rFonts w:asciiTheme="minorHAnsi" w:hAnsiTheme="minorHAnsi" w:cstheme="minorHAnsi"/>
                <w:sz w:val="20"/>
                <w:szCs w:val="20"/>
              </w:rPr>
            </w:pPr>
          </w:p>
        </w:tc>
        <w:tc>
          <w:tcPr>
            <w:tcW w:w="249" w:type="dxa"/>
          </w:tcPr>
          <w:p w14:paraId="0312F29B" w14:textId="77777777" w:rsidR="00453004" w:rsidRPr="00BB3C18" w:rsidRDefault="00453004" w:rsidP="00453004">
            <w:pPr>
              <w:spacing w:line="276" w:lineRule="auto"/>
              <w:jc w:val="right"/>
              <w:rPr>
                <w:rFonts w:asciiTheme="minorHAnsi" w:hAnsiTheme="minorHAnsi" w:cstheme="minorHAnsi"/>
                <w:sz w:val="20"/>
                <w:szCs w:val="20"/>
              </w:rPr>
            </w:pPr>
          </w:p>
        </w:tc>
        <w:tc>
          <w:tcPr>
            <w:tcW w:w="1202" w:type="dxa"/>
          </w:tcPr>
          <w:p w14:paraId="0312F29C" w14:textId="77777777" w:rsidR="00453004" w:rsidRPr="00BB3C18" w:rsidRDefault="00453004" w:rsidP="00453004">
            <w:pPr>
              <w:spacing w:line="276" w:lineRule="auto"/>
              <w:jc w:val="center"/>
              <w:rPr>
                <w:rFonts w:asciiTheme="minorHAnsi" w:hAnsiTheme="minorHAnsi" w:cstheme="minorHAnsi"/>
                <w:b/>
                <w:sz w:val="20"/>
                <w:szCs w:val="20"/>
              </w:rPr>
            </w:pPr>
          </w:p>
        </w:tc>
        <w:tc>
          <w:tcPr>
            <w:tcW w:w="236" w:type="dxa"/>
          </w:tcPr>
          <w:p w14:paraId="0312F29D" w14:textId="77777777" w:rsidR="00453004" w:rsidRPr="00BB3C18" w:rsidRDefault="00453004" w:rsidP="00453004">
            <w:pPr>
              <w:spacing w:line="276" w:lineRule="auto"/>
              <w:jc w:val="center"/>
              <w:rPr>
                <w:rFonts w:asciiTheme="minorHAnsi" w:hAnsiTheme="minorHAnsi" w:cstheme="minorHAnsi"/>
                <w:sz w:val="20"/>
                <w:szCs w:val="20"/>
              </w:rPr>
            </w:pPr>
          </w:p>
        </w:tc>
        <w:tc>
          <w:tcPr>
            <w:tcW w:w="1082" w:type="dxa"/>
          </w:tcPr>
          <w:p w14:paraId="0312F29E" w14:textId="77777777" w:rsidR="00453004" w:rsidRPr="00BB3C18" w:rsidRDefault="00453004" w:rsidP="00453004">
            <w:pPr>
              <w:spacing w:line="276" w:lineRule="auto"/>
              <w:jc w:val="center"/>
              <w:rPr>
                <w:rFonts w:asciiTheme="minorHAnsi" w:hAnsiTheme="minorHAnsi" w:cstheme="minorHAnsi"/>
                <w:sz w:val="20"/>
                <w:szCs w:val="20"/>
              </w:rPr>
            </w:pPr>
          </w:p>
        </w:tc>
        <w:tc>
          <w:tcPr>
            <w:tcW w:w="283" w:type="dxa"/>
          </w:tcPr>
          <w:p w14:paraId="0312F29F"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Pr>
          <w:p w14:paraId="0312F2A0" w14:textId="77777777" w:rsidR="00453004" w:rsidRPr="00554619" w:rsidRDefault="00453004" w:rsidP="00453004">
            <w:pPr>
              <w:spacing w:line="276" w:lineRule="auto"/>
              <w:jc w:val="right"/>
              <w:rPr>
                <w:rFonts w:asciiTheme="minorHAnsi" w:hAnsiTheme="minorHAnsi" w:cstheme="minorHAnsi"/>
                <w:b/>
                <w:sz w:val="20"/>
                <w:szCs w:val="20"/>
                <w:highlight w:val="yellow"/>
              </w:rPr>
            </w:pPr>
          </w:p>
        </w:tc>
        <w:tc>
          <w:tcPr>
            <w:tcW w:w="287" w:type="dxa"/>
          </w:tcPr>
          <w:p w14:paraId="0312F2A1"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Pr>
          <w:p w14:paraId="0312F2A2" w14:textId="77777777" w:rsidR="00453004" w:rsidRPr="00D43854" w:rsidRDefault="00453004" w:rsidP="00453004">
            <w:pPr>
              <w:spacing w:line="276" w:lineRule="auto"/>
              <w:jc w:val="right"/>
              <w:rPr>
                <w:rFonts w:asciiTheme="minorHAnsi" w:hAnsiTheme="minorHAnsi" w:cstheme="minorHAnsi"/>
                <w:bCs/>
                <w:sz w:val="20"/>
                <w:szCs w:val="20"/>
              </w:rPr>
            </w:pPr>
          </w:p>
        </w:tc>
      </w:tr>
      <w:tr w:rsidR="00453004" w:rsidRPr="00BB3C18" w14:paraId="0312F2AF" w14:textId="77777777" w:rsidTr="00453004">
        <w:tc>
          <w:tcPr>
            <w:tcW w:w="3629" w:type="dxa"/>
            <w:gridSpan w:val="3"/>
          </w:tcPr>
          <w:p w14:paraId="0312F2A4" w14:textId="77777777" w:rsidR="00453004" w:rsidRPr="00BB3C18" w:rsidRDefault="00453004" w:rsidP="00453004">
            <w:pPr>
              <w:spacing w:line="276" w:lineRule="auto"/>
              <w:rPr>
                <w:rFonts w:asciiTheme="minorHAnsi" w:hAnsiTheme="minorHAnsi" w:cstheme="minorHAnsi"/>
                <w:sz w:val="20"/>
                <w:szCs w:val="20"/>
              </w:rPr>
            </w:pPr>
            <w:r w:rsidRPr="00BB3C18">
              <w:rPr>
                <w:rFonts w:asciiTheme="minorHAnsi" w:hAnsiTheme="minorHAnsi" w:cstheme="minorHAnsi"/>
                <w:sz w:val="20"/>
                <w:szCs w:val="20"/>
              </w:rPr>
              <w:t>Share capital</w:t>
            </w:r>
          </w:p>
        </w:tc>
        <w:tc>
          <w:tcPr>
            <w:tcW w:w="236" w:type="dxa"/>
          </w:tcPr>
          <w:p w14:paraId="0312F2A5" w14:textId="77777777" w:rsidR="00453004" w:rsidRPr="00BB3C18" w:rsidRDefault="00453004" w:rsidP="00453004">
            <w:pPr>
              <w:spacing w:line="276" w:lineRule="auto"/>
              <w:jc w:val="right"/>
              <w:rPr>
                <w:rFonts w:asciiTheme="minorHAnsi" w:hAnsiTheme="minorHAnsi" w:cstheme="minorHAnsi"/>
                <w:sz w:val="20"/>
                <w:szCs w:val="20"/>
              </w:rPr>
            </w:pPr>
          </w:p>
        </w:tc>
        <w:tc>
          <w:tcPr>
            <w:tcW w:w="702" w:type="dxa"/>
          </w:tcPr>
          <w:p w14:paraId="0312F2A6" w14:textId="77777777" w:rsidR="00453004" w:rsidRPr="00BB3C18" w:rsidRDefault="00453004" w:rsidP="00453004">
            <w:pPr>
              <w:spacing w:line="276" w:lineRule="auto"/>
              <w:jc w:val="right"/>
              <w:rPr>
                <w:rFonts w:asciiTheme="minorHAnsi" w:hAnsiTheme="minorHAnsi" w:cstheme="minorHAnsi"/>
                <w:sz w:val="20"/>
                <w:szCs w:val="20"/>
              </w:rPr>
            </w:pPr>
          </w:p>
        </w:tc>
        <w:tc>
          <w:tcPr>
            <w:tcW w:w="249" w:type="dxa"/>
          </w:tcPr>
          <w:p w14:paraId="0312F2A7" w14:textId="77777777" w:rsidR="00453004" w:rsidRPr="00BB3C18" w:rsidRDefault="00453004" w:rsidP="00453004">
            <w:pPr>
              <w:spacing w:line="276" w:lineRule="auto"/>
              <w:jc w:val="right"/>
              <w:rPr>
                <w:rFonts w:asciiTheme="minorHAnsi" w:hAnsiTheme="minorHAnsi" w:cstheme="minorHAnsi"/>
                <w:sz w:val="20"/>
                <w:szCs w:val="20"/>
              </w:rPr>
            </w:pPr>
          </w:p>
        </w:tc>
        <w:tc>
          <w:tcPr>
            <w:tcW w:w="1202" w:type="dxa"/>
          </w:tcPr>
          <w:p w14:paraId="0312F2A8" w14:textId="77777777" w:rsidR="00453004" w:rsidRPr="00BB3C18" w:rsidRDefault="00453004" w:rsidP="00453004">
            <w:pPr>
              <w:spacing w:line="276" w:lineRule="auto"/>
              <w:jc w:val="center"/>
              <w:rPr>
                <w:rFonts w:asciiTheme="minorHAnsi" w:hAnsiTheme="minorHAnsi" w:cstheme="minorHAnsi"/>
                <w:b/>
                <w:sz w:val="20"/>
                <w:szCs w:val="20"/>
              </w:rPr>
            </w:pPr>
          </w:p>
        </w:tc>
        <w:tc>
          <w:tcPr>
            <w:tcW w:w="236" w:type="dxa"/>
          </w:tcPr>
          <w:p w14:paraId="0312F2A9" w14:textId="77777777" w:rsidR="00453004" w:rsidRPr="00BB3C18" w:rsidRDefault="00453004" w:rsidP="00453004">
            <w:pPr>
              <w:spacing w:line="276" w:lineRule="auto"/>
              <w:jc w:val="center"/>
              <w:rPr>
                <w:rFonts w:asciiTheme="minorHAnsi" w:hAnsiTheme="minorHAnsi" w:cstheme="minorHAnsi"/>
                <w:sz w:val="20"/>
                <w:szCs w:val="20"/>
              </w:rPr>
            </w:pPr>
          </w:p>
        </w:tc>
        <w:tc>
          <w:tcPr>
            <w:tcW w:w="1082" w:type="dxa"/>
          </w:tcPr>
          <w:p w14:paraId="0312F2AA" w14:textId="64F69914" w:rsidR="00453004" w:rsidRPr="00BB3C18" w:rsidRDefault="00453004" w:rsidP="00453004">
            <w:pPr>
              <w:spacing w:line="276" w:lineRule="auto"/>
              <w:jc w:val="center"/>
              <w:rPr>
                <w:rFonts w:asciiTheme="minorHAnsi" w:hAnsiTheme="minorHAnsi" w:cstheme="minorHAnsi"/>
                <w:sz w:val="20"/>
                <w:szCs w:val="20"/>
              </w:rPr>
            </w:pPr>
            <w:r w:rsidRPr="00BB3C18">
              <w:rPr>
                <w:rFonts w:asciiTheme="minorHAnsi" w:hAnsiTheme="minorHAnsi" w:cstheme="minorHAnsi"/>
                <w:sz w:val="20"/>
                <w:szCs w:val="20"/>
              </w:rPr>
              <w:t>1</w:t>
            </w:r>
            <w:r w:rsidR="003C6BB4">
              <w:rPr>
                <w:rFonts w:asciiTheme="minorHAnsi" w:hAnsiTheme="minorHAnsi" w:cstheme="minorHAnsi"/>
                <w:sz w:val="20"/>
                <w:szCs w:val="20"/>
              </w:rPr>
              <w:t>3</w:t>
            </w:r>
          </w:p>
        </w:tc>
        <w:tc>
          <w:tcPr>
            <w:tcW w:w="283" w:type="dxa"/>
          </w:tcPr>
          <w:p w14:paraId="0312F2AB"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Pr>
          <w:p w14:paraId="0312F2AC" w14:textId="35ED62D4" w:rsidR="00453004" w:rsidRPr="007F4426" w:rsidRDefault="00453004" w:rsidP="00453004">
            <w:pPr>
              <w:spacing w:line="276" w:lineRule="auto"/>
              <w:jc w:val="right"/>
              <w:rPr>
                <w:rFonts w:asciiTheme="minorHAnsi" w:hAnsiTheme="minorHAnsi" w:cstheme="minorHAnsi"/>
                <w:b/>
                <w:sz w:val="20"/>
                <w:szCs w:val="20"/>
              </w:rPr>
            </w:pPr>
            <w:r>
              <w:rPr>
                <w:rFonts w:asciiTheme="minorHAnsi" w:hAnsiTheme="minorHAnsi" w:cstheme="minorHAnsi"/>
                <w:b/>
                <w:sz w:val="20"/>
                <w:szCs w:val="20"/>
              </w:rPr>
              <w:t>4,450,</w:t>
            </w:r>
            <w:r w:rsidR="002F7ACF">
              <w:rPr>
                <w:rFonts w:asciiTheme="minorHAnsi" w:hAnsiTheme="minorHAnsi" w:cstheme="minorHAnsi"/>
                <w:b/>
                <w:sz w:val="20"/>
                <w:szCs w:val="20"/>
              </w:rPr>
              <w:t>5</w:t>
            </w:r>
            <w:r>
              <w:rPr>
                <w:rFonts w:asciiTheme="minorHAnsi" w:hAnsiTheme="minorHAnsi" w:cstheme="minorHAnsi"/>
                <w:b/>
                <w:sz w:val="20"/>
                <w:szCs w:val="20"/>
              </w:rPr>
              <w:t>06</w:t>
            </w:r>
          </w:p>
        </w:tc>
        <w:tc>
          <w:tcPr>
            <w:tcW w:w="287" w:type="dxa"/>
          </w:tcPr>
          <w:p w14:paraId="0312F2AD"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Pr>
          <w:p w14:paraId="0312F2AE" w14:textId="6B893EB1" w:rsidR="00453004" w:rsidRPr="00D43854" w:rsidRDefault="00453004" w:rsidP="00453004">
            <w:pPr>
              <w:spacing w:line="276" w:lineRule="auto"/>
              <w:jc w:val="right"/>
              <w:rPr>
                <w:rFonts w:asciiTheme="minorHAnsi" w:hAnsiTheme="minorHAnsi" w:cstheme="minorHAnsi"/>
                <w:bCs/>
                <w:sz w:val="20"/>
                <w:szCs w:val="20"/>
              </w:rPr>
            </w:pPr>
            <w:r w:rsidRPr="00D43854">
              <w:rPr>
                <w:rFonts w:asciiTheme="minorHAnsi" w:hAnsiTheme="minorHAnsi" w:cstheme="minorHAnsi"/>
                <w:bCs/>
                <w:sz w:val="20"/>
                <w:szCs w:val="20"/>
              </w:rPr>
              <w:t>4,</w:t>
            </w:r>
            <w:r>
              <w:rPr>
                <w:rFonts w:asciiTheme="minorHAnsi" w:hAnsiTheme="minorHAnsi" w:cstheme="minorHAnsi"/>
                <w:bCs/>
                <w:sz w:val="20"/>
                <w:szCs w:val="20"/>
              </w:rPr>
              <w:t>450,506</w:t>
            </w:r>
          </w:p>
        </w:tc>
      </w:tr>
      <w:tr w:rsidR="00453004" w:rsidRPr="00BB3C18" w14:paraId="0312F2BB" w14:textId="77777777" w:rsidTr="00453004">
        <w:tc>
          <w:tcPr>
            <w:tcW w:w="3629" w:type="dxa"/>
            <w:gridSpan w:val="3"/>
          </w:tcPr>
          <w:p w14:paraId="0312F2B0" w14:textId="77777777" w:rsidR="00453004" w:rsidRPr="00BB3C18" w:rsidRDefault="00453004" w:rsidP="00453004">
            <w:pPr>
              <w:spacing w:line="276" w:lineRule="auto"/>
              <w:rPr>
                <w:rFonts w:asciiTheme="minorHAnsi" w:hAnsiTheme="minorHAnsi" w:cstheme="minorHAnsi"/>
                <w:sz w:val="20"/>
                <w:szCs w:val="20"/>
              </w:rPr>
            </w:pPr>
            <w:r w:rsidRPr="00BB3C18">
              <w:rPr>
                <w:rFonts w:asciiTheme="minorHAnsi" w:hAnsiTheme="minorHAnsi" w:cstheme="minorHAnsi"/>
                <w:sz w:val="20"/>
                <w:szCs w:val="20"/>
              </w:rPr>
              <w:t>Share premium</w:t>
            </w:r>
          </w:p>
        </w:tc>
        <w:tc>
          <w:tcPr>
            <w:tcW w:w="236" w:type="dxa"/>
          </w:tcPr>
          <w:p w14:paraId="0312F2B1" w14:textId="77777777" w:rsidR="00453004" w:rsidRPr="00BB3C18" w:rsidRDefault="00453004" w:rsidP="00453004">
            <w:pPr>
              <w:spacing w:line="276" w:lineRule="auto"/>
              <w:jc w:val="right"/>
              <w:rPr>
                <w:rFonts w:asciiTheme="minorHAnsi" w:hAnsiTheme="minorHAnsi" w:cstheme="minorHAnsi"/>
                <w:sz w:val="20"/>
                <w:szCs w:val="20"/>
              </w:rPr>
            </w:pPr>
          </w:p>
        </w:tc>
        <w:tc>
          <w:tcPr>
            <w:tcW w:w="702" w:type="dxa"/>
          </w:tcPr>
          <w:p w14:paraId="0312F2B2" w14:textId="77777777" w:rsidR="00453004" w:rsidRPr="00BB3C18" w:rsidRDefault="00453004" w:rsidP="00453004">
            <w:pPr>
              <w:spacing w:line="276" w:lineRule="auto"/>
              <w:jc w:val="right"/>
              <w:rPr>
                <w:rFonts w:asciiTheme="minorHAnsi" w:hAnsiTheme="minorHAnsi" w:cstheme="minorHAnsi"/>
                <w:sz w:val="20"/>
                <w:szCs w:val="20"/>
              </w:rPr>
            </w:pPr>
          </w:p>
        </w:tc>
        <w:tc>
          <w:tcPr>
            <w:tcW w:w="249" w:type="dxa"/>
          </w:tcPr>
          <w:p w14:paraId="0312F2B3" w14:textId="77777777" w:rsidR="00453004" w:rsidRPr="00BB3C18" w:rsidRDefault="00453004" w:rsidP="00453004">
            <w:pPr>
              <w:spacing w:line="276" w:lineRule="auto"/>
              <w:jc w:val="right"/>
              <w:rPr>
                <w:rFonts w:asciiTheme="minorHAnsi" w:hAnsiTheme="minorHAnsi" w:cstheme="minorHAnsi"/>
                <w:sz w:val="20"/>
                <w:szCs w:val="20"/>
              </w:rPr>
            </w:pPr>
          </w:p>
        </w:tc>
        <w:tc>
          <w:tcPr>
            <w:tcW w:w="1202" w:type="dxa"/>
          </w:tcPr>
          <w:p w14:paraId="0312F2B4" w14:textId="77777777" w:rsidR="00453004" w:rsidRPr="00BB3C18" w:rsidRDefault="00453004" w:rsidP="00453004">
            <w:pPr>
              <w:spacing w:line="276" w:lineRule="auto"/>
              <w:jc w:val="center"/>
              <w:rPr>
                <w:rFonts w:asciiTheme="minorHAnsi" w:hAnsiTheme="minorHAnsi" w:cstheme="minorHAnsi"/>
                <w:b/>
                <w:sz w:val="20"/>
                <w:szCs w:val="20"/>
              </w:rPr>
            </w:pPr>
          </w:p>
        </w:tc>
        <w:tc>
          <w:tcPr>
            <w:tcW w:w="236" w:type="dxa"/>
          </w:tcPr>
          <w:p w14:paraId="0312F2B5" w14:textId="77777777" w:rsidR="00453004" w:rsidRPr="00BB3C18" w:rsidRDefault="00453004" w:rsidP="00453004">
            <w:pPr>
              <w:spacing w:line="276" w:lineRule="auto"/>
              <w:jc w:val="center"/>
              <w:rPr>
                <w:rFonts w:asciiTheme="minorHAnsi" w:hAnsiTheme="minorHAnsi" w:cstheme="minorHAnsi"/>
                <w:sz w:val="20"/>
                <w:szCs w:val="20"/>
              </w:rPr>
            </w:pPr>
          </w:p>
        </w:tc>
        <w:tc>
          <w:tcPr>
            <w:tcW w:w="1082" w:type="dxa"/>
          </w:tcPr>
          <w:p w14:paraId="0312F2B6" w14:textId="4AA95949" w:rsidR="00453004" w:rsidRPr="00BB3C18" w:rsidRDefault="00453004" w:rsidP="00453004">
            <w:pPr>
              <w:spacing w:line="276" w:lineRule="auto"/>
              <w:jc w:val="center"/>
              <w:rPr>
                <w:rFonts w:asciiTheme="minorHAnsi" w:hAnsiTheme="minorHAnsi" w:cstheme="minorHAnsi"/>
                <w:sz w:val="20"/>
                <w:szCs w:val="20"/>
              </w:rPr>
            </w:pPr>
            <w:r w:rsidRPr="00BB3C18">
              <w:rPr>
                <w:rFonts w:asciiTheme="minorHAnsi" w:hAnsiTheme="minorHAnsi" w:cstheme="minorHAnsi"/>
                <w:sz w:val="20"/>
                <w:szCs w:val="20"/>
              </w:rPr>
              <w:t>1</w:t>
            </w:r>
            <w:r w:rsidR="003C6BB4">
              <w:rPr>
                <w:rFonts w:asciiTheme="minorHAnsi" w:hAnsiTheme="minorHAnsi" w:cstheme="minorHAnsi"/>
                <w:sz w:val="20"/>
                <w:szCs w:val="20"/>
              </w:rPr>
              <w:t>4</w:t>
            </w:r>
          </w:p>
        </w:tc>
        <w:tc>
          <w:tcPr>
            <w:tcW w:w="283" w:type="dxa"/>
          </w:tcPr>
          <w:p w14:paraId="0312F2B7"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Pr>
          <w:p w14:paraId="0312F2B8" w14:textId="328374CA" w:rsidR="00453004" w:rsidRPr="007F4426" w:rsidRDefault="00453004" w:rsidP="00453004">
            <w:pPr>
              <w:spacing w:line="276" w:lineRule="auto"/>
              <w:jc w:val="right"/>
              <w:rPr>
                <w:rFonts w:asciiTheme="minorHAnsi" w:hAnsiTheme="minorHAnsi" w:cstheme="minorHAnsi"/>
                <w:b/>
                <w:sz w:val="20"/>
                <w:szCs w:val="20"/>
              </w:rPr>
            </w:pPr>
            <w:r>
              <w:rPr>
                <w:rFonts w:asciiTheme="minorHAnsi" w:hAnsiTheme="minorHAnsi" w:cstheme="minorHAnsi"/>
                <w:b/>
                <w:sz w:val="20"/>
                <w:szCs w:val="20"/>
              </w:rPr>
              <w:t>7,900,</w:t>
            </w:r>
            <w:r w:rsidR="00D32A9E">
              <w:rPr>
                <w:rFonts w:asciiTheme="minorHAnsi" w:hAnsiTheme="minorHAnsi" w:cstheme="minorHAnsi"/>
                <w:b/>
                <w:sz w:val="20"/>
                <w:szCs w:val="20"/>
              </w:rPr>
              <w:t>7</w:t>
            </w:r>
            <w:r>
              <w:rPr>
                <w:rFonts w:asciiTheme="minorHAnsi" w:hAnsiTheme="minorHAnsi" w:cstheme="minorHAnsi"/>
                <w:b/>
                <w:sz w:val="20"/>
                <w:szCs w:val="20"/>
              </w:rPr>
              <w:t>78</w:t>
            </w:r>
          </w:p>
        </w:tc>
        <w:tc>
          <w:tcPr>
            <w:tcW w:w="287" w:type="dxa"/>
          </w:tcPr>
          <w:p w14:paraId="0312F2B9"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Pr>
          <w:p w14:paraId="0312F2BA" w14:textId="410AE637" w:rsidR="00453004" w:rsidRPr="00D43854" w:rsidRDefault="00453004" w:rsidP="00453004">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7,900,778</w:t>
            </w:r>
          </w:p>
        </w:tc>
      </w:tr>
      <w:tr w:rsidR="00453004" w:rsidRPr="00BB3C18" w14:paraId="0312F2D3" w14:textId="77777777" w:rsidTr="008C2A6C">
        <w:tc>
          <w:tcPr>
            <w:tcW w:w="3629" w:type="dxa"/>
            <w:gridSpan w:val="3"/>
          </w:tcPr>
          <w:p w14:paraId="0312F2C8" w14:textId="77777777" w:rsidR="00453004" w:rsidRPr="00BB3C18" w:rsidRDefault="00453004" w:rsidP="00453004">
            <w:pPr>
              <w:spacing w:line="276" w:lineRule="auto"/>
              <w:rPr>
                <w:rFonts w:asciiTheme="minorHAnsi" w:hAnsiTheme="minorHAnsi" w:cstheme="minorHAnsi"/>
                <w:sz w:val="20"/>
                <w:szCs w:val="20"/>
              </w:rPr>
            </w:pPr>
            <w:r w:rsidRPr="00BB3C18">
              <w:rPr>
                <w:rFonts w:asciiTheme="minorHAnsi" w:hAnsiTheme="minorHAnsi" w:cstheme="minorHAnsi"/>
                <w:sz w:val="20"/>
                <w:szCs w:val="20"/>
              </w:rPr>
              <w:t>Retained deficit</w:t>
            </w:r>
          </w:p>
        </w:tc>
        <w:tc>
          <w:tcPr>
            <w:tcW w:w="236" w:type="dxa"/>
          </w:tcPr>
          <w:p w14:paraId="0312F2C9" w14:textId="77777777" w:rsidR="00453004" w:rsidRPr="00BB3C18" w:rsidRDefault="00453004" w:rsidP="00453004">
            <w:pPr>
              <w:spacing w:line="276" w:lineRule="auto"/>
              <w:jc w:val="right"/>
              <w:rPr>
                <w:rFonts w:asciiTheme="minorHAnsi" w:hAnsiTheme="minorHAnsi" w:cstheme="minorHAnsi"/>
                <w:sz w:val="20"/>
                <w:szCs w:val="20"/>
              </w:rPr>
            </w:pPr>
          </w:p>
        </w:tc>
        <w:tc>
          <w:tcPr>
            <w:tcW w:w="702" w:type="dxa"/>
          </w:tcPr>
          <w:p w14:paraId="0312F2CA" w14:textId="77777777" w:rsidR="00453004" w:rsidRPr="00BB3C18" w:rsidRDefault="00453004" w:rsidP="00453004">
            <w:pPr>
              <w:spacing w:line="276" w:lineRule="auto"/>
              <w:jc w:val="right"/>
              <w:rPr>
                <w:rFonts w:asciiTheme="minorHAnsi" w:hAnsiTheme="minorHAnsi" w:cstheme="minorHAnsi"/>
                <w:sz w:val="20"/>
                <w:szCs w:val="20"/>
              </w:rPr>
            </w:pPr>
          </w:p>
        </w:tc>
        <w:tc>
          <w:tcPr>
            <w:tcW w:w="249" w:type="dxa"/>
          </w:tcPr>
          <w:p w14:paraId="0312F2CB" w14:textId="77777777" w:rsidR="00453004" w:rsidRPr="00BB3C18" w:rsidRDefault="00453004" w:rsidP="00453004">
            <w:pPr>
              <w:spacing w:line="276" w:lineRule="auto"/>
              <w:jc w:val="right"/>
              <w:rPr>
                <w:rFonts w:asciiTheme="minorHAnsi" w:hAnsiTheme="minorHAnsi" w:cstheme="minorHAnsi"/>
                <w:sz w:val="20"/>
                <w:szCs w:val="20"/>
              </w:rPr>
            </w:pPr>
          </w:p>
        </w:tc>
        <w:tc>
          <w:tcPr>
            <w:tcW w:w="1202" w:type="dxa"/>
          </w:tcPr>
          <w:p w14:paraId="0312F2CC" w14:textId="77777777" w:rsidR="00453004" w:rsidRPr="00BB3C18" w:rsidRDefault="00453004" w:rsidP="00453004">
            <w:pPr>
              <w:spacing w:line="276" w:lineRule="auto"/>
              <w:jc w:val="center"/>
              <w:rPr>
                <w:rFonts w:asciiTheme="minorHAnsi" w:hAnsiTheme="minorHAnsi" w:cstheme="minorHAnsi"/>
                <w:b/>
                <w:sz w:val="20"/>
                <w:szCs w:val="20"/>
              </w:rPr>
            </w:pPr>
          </w:p>
        </w:tc>
        <w:tc>
          <w:tcPr>
            <w:tcW w:w="236" w:type="dxa"/>
          </w:tcPr>
          <w:p w14:paraId="0312F2CD" w14:textId="77777777" w:rsidR="00453004" w:rsidRPr="00BB3C18" w:rsidRDefault="00453004" w:rsidP="00453004">
            <w:pPr>
              <w:spacing w:line="276" w:lineRule="auto"/>
              <w:jc w:val="center"/>
              <w:rPr>
                <w:rFonts w:asciiTheme="minorHAnsi" w:hAnsiTheme="minorHAnsi" w:cstheme="minorHAnsi"/>
                <w:sz w:val="20"/>
                <w:szCs w:val="20"/>
              </w:rPr>
            </w:pPr>
          </w:p>
        </w:tc>
        <w:tc>
          <w:tcPr>
            <w:tcW w:w="1082" w:type="dxa"/>
          </w:tcPr>
          <w:p w14:paraId="0312F2CE" w14:textId="05617560" w:rsidR="00453004" w:rsidRPr="00BB3C18" w:rsidRDefault="00453004" w:rsidP="00453004">
            <w:pPr>
              <w:spacing w:line="276" w:lineRule="auto"/>
              <w:jc w:val="center"/>
              <w:rPr>
                <w:rFonts w:asciiTheme="minorHAnsi" w:hAnsiTheme="minorHAnsi" w:cstheme="minorHAnsi"/>
                <w:sz w:val="20"/>
                <w:szCs w:val="20"/>
              </w:rPr>
            </w:pPr>
            <w:r w:rsidRPr="00BB3C18">
              <w:rPr>
                <w:rFonts w:asciiTheme="minorHAnsi" w:hAnsiTheme="minorHAnsi" w:cstheme="minorHAnsi"/>
                <w:sz w:val="20"/>
                <w:szCs w:val="20"/>
              </w:rPr>
              <w:t>1</w:t>
            </w:r>
            <w:r w:rsidR="003C6BB4">
              <w:rPr>
                <w:rFonts w:asciiTheme="minorHAnsi" w:hAnsiTheme="minorHAnsi" w:cstheme="minorHAnsi"/>
                <w:sz w:val="20"/>
                <w:szCs w:val="20"/>
              </w:rPr>
              <w:t>4</w:t>
            </w:r>
          </w:p>
        </w:tc>
        <w:tc>
          <w:tcPr>
            <w:tcW w:w="283" w:type="dxa"/>
            <w:shd w:val="clear" w:color="auto" w:fill="auto"/>
          </w:tcPr>
          <w:p w14:paraId="0312F2CF" w14:textId="77777777" w:rsidR="00453004" w:rsidRPr="00DE50E4" w:rsidRDefault="00453004" w:rsidP="00453004">
            <w:pPr>
              <w:spacing w:line="276" w:lineRule="auto"/>
              <w:jc w:val="right"/>
              <w:rPr>
                <w:rFonts w:asciiTheme="minorHAnsi" w:hAnsiTheme="minorHAnsi" w:cstheme="minorHAnsi"/>
                <w:sz w:val="20"/>
                <w:szCs w:val="20"/>
              </w:rPr>
            </w:pPr>
          </w:p>
        </w:tc>
        <w:tc>
          <w:tcPr>
            <w:tcW w:w="1275" w:type="dxa"/>
            <w:shd w:val="clear" w:color="auto" w:fill="auto"/>
          </w:tcPr>
          <w:p w14:paraId="0312F2D0" w14:textId="20118BF4" w:rsidR="00453004" w:rsidRPr="00DE50E4" w:rsidRDefault="00453004" w:rsidP="00453004">
            <w:pPr>
              <w:spacing w:line="276" w:lineRule="auto"/>
              <w:jc w:val="right"/>
              <w:rPr>
                <w:rFonts w:asciiTheme="minorHAnsi" w:hAnsiTheme="minorHAnsi" w:cstheme="minorHAnsi"/>
                <w:b/>
                <w:sz w:val="20"/>
                <w:szCs w:val="20"/>
              </w:rPr>
            </w:pPr>
            <w:r w:rsidRPr="00DE50E4">
              <w:rPr>
                <w:rFonts w:asciiTheme="minorHAnsi" w:hAnsiTheme="minorHAnsi" w:cstheme="minorHAnsi"/>
                <w:b/>
                <w:sz w:val="20"/>
                <w:szCs w:val="20"/>
              </w:rPr>
              <w:t>(2</w:t>
            </w:r>
            <w:r w:rsidR="003C6BB4">
              <w:rPr>
                <w:rFonts w:asciiTheme="minorHAnsi" w:hAnsiTheme="minorHAnsi" w:cstheme="minorHAnsi"/>
                <w:b/>
                <w:sz w:val="20"/>
                <w:szCs w:val="20"/>
              </w:rPr>
              <w:t>1,289,</w:t>
            </w:r>
            <w:r w:rsidR="00D32A9E">
              <w:rPr>
                <w:rFonts w:asciiTheme="minorHAnsi" w:hAnsiTheme="minorHAnsi" w:cstheme="minorHAnsi"/>
                <w:b/>
                <w:sz w:val="20"/>
                <w:szCs w:val="20"/>
              </w:rPr>
              <w:t>8</w:t>
            </w:r>
            <w:r w:rsidR="003C6BB4">
              <w:rPr>
                <w:rFonts w:asciiTheme="minorHAnsi" w:hAnsiTheme="minorHAnsi" w:cstheme="minorHAnsi"/>
                <w:b/>
                <w:sz w:val="20"/>
                <w:szCs w:val="20"/>
              </w:rPr>
              <w:t>04</w:t>
            </w:r>
            <w:r w:rsidRPr="00DE50E4">
              <w:rPr>
                <w:rFonts w:asciiTheme="minorHAnsi" w:hAnsiTheme="minorHAnsi" w:cstheme="minorHAnsi"/>
                <w:b/>
                <w:sz w:val="20"/>
                <w:szCs w:val="20"/>
              </w:rPr>
              <w:t>)</w:t>
            </w:r>
            <w:r w:rsidRPr="00DE50E4" w:rsidDel="00B058C1">
              <w:rPr>
                <w:rFonts w:asciiTheme="minorHAnsi" w:hAnsiTheme="minorHAnsi" w:cstheme="minorHAnsi"/>
                <w:b/>
                <w:sz w:val="20"/>
                <w:szCs w:val="20"/>
              </w:rPr>
              <w:t xml:space="preserve"> </w:t>
            </w:r>
          </w:p>
        </w:tc>
        <w:tc>
          <w:tcPr>
            <w:tcW w:w="287" w:type="dxa"/>
          </w:tcPr>
          <w:p w14:paraId="0312F2D1" w14:textId="77777777" w:rsidR="00453004" w:rsidRPr="00BB3C18" w:rsidRDefault="00453004" w:rsidP="00453004">
            <w:pPr>
              <w:spacing w:line="276" w:lineRule="auto"/>
              <w:jc w:val="right"/>
              <w:rPr>
                <w:rFonts w:asciiTheme="minorHAnsi" w:hAnsiTheme="minorHAnsi" w:cstheme="minorHAnsi"/>
                <w:sz w:val="20"/>
                <w:szCs w:val="20"/>
              </w:rPr>
            </w:pPr>
          </w:p>
        </w:tc>
        <w:tc>
          <w:tcPr>
            <w:tcW w:w="1275" w:type="dxa"/>
          </w:tcPr>
          <w:p w14:paraId="0312F2D2" w14:textId="4B3773FA" w:rsidR="00453004" w:rsidRPr="00D43854" w:rsidRDefault="00453004" w:rsidP="00453004">
            <w:pPr>
              <w:spacing w:line="276" w:lineRule="auto"/>
              <w:jc w:val="right"/>
              <w:rPr>
                <w:rFonts w:asciiTheme="minorHAnsi" w:hAnsiTheme="minorHAnsi" w:cstheme="minorHAnsi"/>
                <w:bCs/>
                <w:sz w:val="20"/>
                <w:szCs w:val="20"/>
              </w:rPr>
            </w:pPr>
            <w:r w:rsidRPr="00D43854">
              <w:rPr>
                <w:rFonts w:asciiTheme="minorHAnsi" w:hAnsiTheme="minorHAnsi" w:cstheme="minorHAnsi"/>
                <w:bCs/>
                <w:sz w:val="20"/>
                <w:szCs w:val="20"/>
              </w:rPr>
              <w:t>(</w:t>
            </w:r>
            <w:r>
              <w:rPr>
                <w:rFonts w:asciiTheme="minorHAnsi" w:hAnsiTheme="minorHAnsi" w:cstheme="minorHAnsi"/>
                <w:bCs/>
                <w:sz w:val="20"/>
                <w:szCs w:val="20"/>
              </w:rPr>
              <w:t>20,527,697</w:t>
            </w:r>
            <w:r w:rsidRPr="00D43854">
              <w:rPr>
                <w:rFonts w:asciiTheme="minorHAnsi" w:hAnsiTheme="minorHAnsi" w:cstheme="minorHAnsi"/>
                <w:bCs/>
                <w:sz w:val="20"/>
                <w:szCs w:val="20"/>
              </w:rPr>
              <w:t>)</w:t>
            </w:r>
          </w:p>
        </w:tc>
      </w:tr>
      <w:tr w:rsidR="008C2A6C" w:rsidRPr="00BB3C18" w14:paraId="5BB57840" w14:textId="77777777" w:rsidTr="00453004">
        <w:tc>
          <w:tcPr>
            <w:tcW w:w="4567" w:type="dxa"/>
            <w:gridSpan w:val="5"/>
          </w:tcPr>
          <w:p w14:paraId="78369A54" w14:textId="15077989" w:rsidR="008C2A6C" w:rsidRPr="00FF4799" w:rsidRDefault="008C2A6C" w:rsidP="008C2A6C">
            <w:pPr>
              <w:spacing w:line="276" w:lineRule="auto"/>
              <w:rPr>
                <w:rFonts w:asciiTheme="minorHAnsi" w:hAnsiTheme="minorHAnsi" w:cstheme="minorHAnsi"/>
                <w:b/>
                <w:bCs/>
                <w:sz w:val="20"/>
                <w:szCs w:val="20"/>
              </w:rPr>
            </w:pPr>
          </w:p>
        </w:tc>
        <w:tc>
          <w:tcPr>
            <w:tcW w:w="249" w:type="dxa"/>
          </w:tcPr>
          <w:p w14:paraId="61CB7037" w14:textId="77777777" w:rsidR="008C2A6C" w:rsidRPr="00BB3C18" w:rsidRDefault="008C2A6C" w:rsidP="008C2A6C">
            <w:pPr>
              <w:spacing w:line="276" w:lineRule="auto"/>
              <w:jc w:val="right"/>
              <w:rPr>
                <w:rFonts w:asciiTheme="minorHAnsi" w:hAnsiTheme="minorHAnsi" w:cstheme="minorHAnsi"/>
                <w:sz w:val="20"/>
                <w:szCs w:val="20"/>
              </w:rPr>
            </w:pPr>
          </w:p>
        </w:tc>
        <w:tc>
          <w:tcPr>
            <w:tcW w:w="1202" w:type="dxa"/>
          </w:tcPr>
          <w:p w14:paraId="549CD6CE" w14:textId="77777777" w:rsidR="008C2A6C" w:rsidRPr="00BB3C18" w:rsidRDefault="008C2A6C" w:rsidP="008C2A6C">
            <w:pPr>
              <w:spacing w:line="276" w:lineRule="auto"/>
              <w:jc w:val="center"/>
              <w:rPr>
                <w:rFonts w:asciiTheme="minorHAnsi" w:hAnsiTheme="minorHAnsi" w:cstheme="minorHAnsi"/>
                <w:b/>
                <w:sz w:val="20"/>
                <w:szCs w:val="20"/>
              </w:rPr>
            </w:pPr>
          </w:p>
        </w:tc>
        <w:tc>
          <w:tcPr>
            <w:tcW w:w="236" w:type="dxa"/>
          </w:tcPr>
          <w:p w14:paraId="1FE97B19" w14:textId="77777777" w:rsidR="008C2A6C" w:rsidRPr="00BB3C18" w:rsidRDefault="008C2A6C" w:rsidP="008C2A6C">
            <w:pPr>
              <w:spacing w:line="276" w:lineRule="auto"/>
              <w:jc w:val="center"/>
              <w:rPr>
                <w:rFonts w:asciiTheme="minorHAnsi" w:hAnsiTheme="minorHAnsi" w:cstheme="minorHAnsi"/>
                <w:sz w:val="20"/>
                <w:szCs w:val="20"/>
              </w:rPr>
            </w:pPr>
          </w:p>
        </w:tc>
        <w:tc>
          <w:tcPr>
            <w:tcW w:w="1082" w:type="dxa"/>
          </w:tcPr>
          <w:p w14:paraId="5B2434E3" w14:textId="77777777" w:rsidR="008C2A6C" w:rsidRPr="00BB3C18" w:rsidRDefault="008C2A6C" w:rsidP="008C2A6C">
            <w:pPr>
              <w:spacing w:line="276" w:lineRule="auto"/>
              <w:jc w:val="center"/>
              <w:rPr>
                <w:rFonts w:asciiTheme="minorHAnsi" w:hAnsiTheme="minorHAnsi" w:cstheme="minorHAnsi"/>
                <w:sz w:val="20"/>
                <w:szCs w:val="20"/>
              </w:rPr>
            </w:pPr>
          </w:p>
        </w:tc>
        <w:tc>
          <w:tcPr>
            <w:tcW w:w="283" w:type="dxa"/>
            <w:shd w:val="clear" w:color="auto" w:fill="auto"/>
          </w:tcPr>
          <w:p w14:paraId="170DDB42" w14:textId="77777777" w:rsidR="008C2A6C" w:rsidRPr="00DE50E4" w:rsidRDefault="008C2A6C" w:rsidP="008C2A6C">
            <w:pPr>
              <w:spacing w:line="276" w:lineRule="auto"/>
              <w:jc w:val="right"/>
              <w:rPr>
                <w:rFonts w:asciiTheme="minorHAnsi" w:hAnsiTheme="minorHAnsi" w:cstheme="minorHAnsi"/>
                <w:sz w:val="20"/>
                <w:szCs w:val="20"/>
              </w:rPr>
            </w:pPr>
          </w:p>
        </w:tc>
        <w:tc>
          <w:tcPr>
            <w:tcW w:w="1275" w:type="dxa"/>
            <w:tcBorders>
              <w:top w:val="single" w:sz="4" w:space="0" w:color="auto"/>
            </w:tcBorders>
            <w:shd w:val="clear" w:color="auto" w:fill="auto"/>
          </w:tcPr>
          <w:p w14:paraId="09A130F2" w14:textId="4C09651F" w:rsidR="008C2A6C" w:rsidRPr="00DE50E4" w:rsidRDefault="00FF4799" w:rsidP="008C2A6C">
            <w:pPr>
              <w:spacing w:line="276" w:lineRule="auto"/>
              <w:jc w:val="right"/>
              <w:rPr>
                <w:rFonts w:asciiTheme="minorHAnsi" w:hAnsiTheme="minorHAnsi" w:cstheme="minorHAnsi"/>
                <w:b/>
                <w:sz w:val="20"/>
                <w:szCs w:val="20"/>
              </w:rPr>
            </w:pPr>
            <w:r>
              <w:rPr>
                <w:rFonts w:asciiTheme="minorHAnsi" w:hAnsiTheme="minorHAnsi" w:cstheme="minorHAnsi"/>
                <w:b/>
                <w:sz w:val="20"/>
                <w:szCs w:val="20"/>
              </w:rPr>
              <w:t>(8,</w:t>
            </w:r>
            <w:r w:rsidR="002F7ACF">
              <w:rPr>
                <w:rFonts w:asciiTheme="minorHAnsi" w:hAnsiTheme="minorHAnsi" w:cstheme="minorHAnsi"/>
                <w:b/>
                <w:sz w:val="20"/>
                <w:szCs w:val="20"/>
              </w:rPr>
              <w:t>938</w:t>
            </w:r>
            <w:r>
              <w:rPr>
                <w:rFonts w:asciiTheme="minorHAnsi" w:hAnsiTheme="minorHAnsi" w:cstheme="minorHAnsi"/>
                <w:b/>
                <w:sz w:val="20"/>
                <w:szCs w:val="20"/>
              </w:rPr>
              <w:t>,5</w:t>
            </w:r>
            <w:r w:rsidR="001A257F">
              <w:rPr>
                <w:rFonts w:asciiTheme="minorHAnsi" w:hAnsiTheme="minorHAnsi" w:cstheme="minorHAnsi"/>
                <w:b/>
                <w:sz w:val="20"/>
                <w:szCs w:val="20"/>
              </w:rPr>
              <w:t>20</w:t>
            </w:r>
            <w:r>
              <w:rPr>
                <w:rFonts w:asciiTheme="minorHAnsi" w:hAnsiTheme="minorHAnsi" w:cstheme="minorHAnsi"/>
                <w:b/>
                <w:sz w:val="20"/>
                <w:szCs w:val="20"/>
              </w:rPr>
              <w:t>)</w:t>
            </w:r>
          </w:p>
        </w:tc>
        <w:tc>
          <w:tcPr>
            <w:tcW w:w="287" w:type="dxa"/>
          </w:tcPr>
          <w:p w14:paraId="07DF6FB6" w14:textId="77777777" w:rsidR="008C2A6C" w:rsidRPr="00BB3C18" w:rsidRDefault="008C2A6C" w:rsidP="00FF4799">
            <w:pPr>
              <w:spacing w:line="276" w:lineRule="auto"/>
              <w:rPr>
                <w:rFonts w:asciiTheme="minorHAnsi" w:hAnsiTheme="minorHAnsi" w:cstheme="minorHAnsi"/>
                <w:sz w:val="20"/>
                <w:szCs w:val="20"/>
              </w:rPr>
            </w:pPr>
          </w:p>
        </w:tc>
        <w:tc>
          <w:tcPr>
            <w:tcW w:w="1275" w:type="dxa"/>
            <w:tcBorders>
              <w:top w:val="single" w:sz="4" w:space="0" w:color="auto"/>
            </w:tcBorders>
          </w:tcPr>
          <w:p w14:paraId="21CD4AA6" w14:textId="3D700D37" w:rsidR="008C2A6C" w:rsidRPr="00D43854" w:rsidRDefault="008C2A6C" w:rsidP="008C2A6C">
            <w:pPr>
              <w:spacing w:line="276" w:lineRule="auto"/>
              <w:jc w:val="right"/>
              <w:rPr>
                <w:rFonts w:asciiTheme="minorHAnsi" w:hAnsiTheme="minorHAnsi" w:cstheme="minorHAnsi"/>
                <w:bCs/>
                <w:sz w:val="20"/>
                <w:szCs w:val="20"/>
              </w:rPr>
            </w:pPr>
            <w:r w:rsidRPr="00D43854">
              <w:rPr>
                <w:rFonts w:asciiTheme="minorHAnsi" w:hAnsiTheme="minorHAnsi" w:cstheme="minorHAnsi"/>
                <w:bCs/>
                <w:sz w:val="20"/>
                <w:szCs w:val="20"/>
              </w:rPr>
              <w:t>(</w:t>
            </w:r>
            <w:r>
              <w:rPr>
                <w:rFonts w:asciiTheme="minorHAnsi" w:hAnsiTheme="minorHAnsi" w:cstheme="minorHAnsi"/>
                <w:bCs/>
                <w:sz w:val="20"/>
                <w:szCs w:val="20"/>
              </w:rPr>
              <w:t>8,176,413</w:t>
            </w:r>
            <w:r w:rsidRPr="00D43854">
              <w:rPr>
                <w:rFonts w:asciiTheme="minorHAnsi" w:hAnsiTheme="minorHAnsi" w:cstheme="minorHAnsi"/>
                <w:bCs/>
                <w:sz w:val="20"/>
                <w:szCs w:val="20"/>
              </w:rPr>
              <w:t>)</w:t>
            </w:r>
          </w:p>
        </w:tc>
      </w:tr>
      <w:tr w:rsidR="008C2A6C" w:rsidRPr="00BB3C18" w14:paraId="0312F2E9" w14:textId="77777777" w:rsidTr="00453004">
        <w:tc>
          <w:tcPr>
            <w:tcW w:w="3629" w:type="dxa"/>
            <w:gridSpan w:val="3"/>
          </w:tcPr>
          <w:p w14:paraId="0312F2DE" w14:textId="77777777" w:rsidR="008C2A6C" w:rsidRPr="00FF4799" w:rsidRDefault="008C2A6C" w:rsidP="008C2A6C">
            <w:pPr>
              <w:spacing w:line="276" w:lineRule="auto"/>
              <w:rPr>
                <w:rFonts w:asciiTheme="minorHAnsi" w:hAnsiTheme="minorHAnsi" w:cstheme="minorHAnsi"/>
                <w:b/>
                <w:bCs/>
                <w:sz w:val="20"/>
                <w:szCs w:val="20"/>
              </w:rPr>
            </w:pPr>
          </w:p>
        </w:tc>
        <w:tc>
          <w:tcPr>
            <w:tcW w:w="236" w:type="dxa"/>
          </w:tcPr>
          <w:p w14:paraId="0312F2DF" w14:textId="77777777" w:rsidR="008C2A6C" w:rsidRPr="00BB3C18" w:rsidRDefault="008C2A6C" w:rsidP="008C2A6C">
            <w:pPr>
              <w:spacing w:line="276" w:lineRule="auto"/>
              <w:jc w:val="right"/>
              <w:rPr>
                <w:rFonts w:asciiTheme="minorHAnsi" w:hAnsiTheme="minorHAnsi" w:cstheme="minorHAnsi"/>
                <w:sz w:val="20"/>
                <w:szCs w:val="20"/>
              </w:rPr>
            </w:pPr>
          </w:p>
        </w:tc>
        <w:tc>
          <w:tcPr>
            <w:tcW w:w="702" w:type="dxa"/>
          </w:tcPr>
          <w:p w14:paraId="0312F2E0" w14:textId="77777777" w:rsidR="008C2A6C" w:rsidRPr="00BB3C18" w:rsidRDefault="008C2A6C" w:rsidP="008C2A6C">
            <w:pPr>
              <w:spacing w:line="276" w:lineRule="auto"/>
              <w:jc w:val="right"/>
              <w:rPr>
                <w:rFonts w:asciiTheme="minorHAnsi" w:hAnsiTheme="minorHAnsi" w:cstheme="minorHAnsi"/>
                <w:sz w:val="20"/>
                <w:szCs w:val="20"/>
              </w:rPr>
            </w:pPr>
          </w:p>
        </w:tc>
        <w:tc>
          <w:tcPr>
            <w:tcW w:w="249" w:type="dxa"/>
          </w:tcPr>
          <w:p w14:paraId="0312F2E1" w14:textId="77777777" w:rsidR="008C2A6C" w:rsidRPr="00BB3C18" w:rsidRDefault="008C2A6C" w:rsidP="008C2A6C">
            <w:pPr>
              <w:spacing w:line="276" w:lineRule="auto"/>
              <w:jc w:val="right"/>
              <w:rPr>
                <w:rFonts w:asciiTheme="minorHAnsi" w:hAnsiTheme="minorHAnsi" w:cstheme="minorHAnsi"/>
                <w:sz w:val="20"/>
                <w:szCs w:val="20"/>
              </w:rPr>
            </w:pPr>
          </w:p>
        </w:tc>
        <w:tc>
          <w:tcPr>
            <w:tcW w:w="1202" w:type="dxa"/>
          </w:tcPr>
          <w:p w14:paraId="0312F2E2" w14:textId="77777777" w:rsidR="008C2A6C" w:rsidRPr="00BB3C18" w:rsidRDefault="008C2A6C" w:rsidP="008C2A6C">
            <w:pPr>
              <w:spacing w:line="276" w:lineRule="auto"/>
              <w:jc w:val="center"/>
              <w:rPr>
                <w:rFonts w:asciiTheme="minorHAnsi" w:hAnsiTheme="minorHAnsi" w:cstheme="minorHAnsi"/>
                <w:b/>
                <w:sz w:val="20"/>
                <w:szCs w:val="20"/>
              </w:rPr>
            </w:pPr>
          </w:p>
        </w:tc>
        <w:tc>
          <w:tcPr>
            <w:tcW w:w="236" w:type="dxa"/>
          </w:tcPr>
          <w:p w14:paraId="0312F2E3" w14:textId="77777777" w:rsidR="008C2A6C" w:rsidRPr="00BB3C18" w:rsidRDefault="008C2A6C" w:rsidP="008C2A6C">
            <w:pPr>
              <w:spacing w:line="276" w:lineRule="auto"/>
              <w:jc w:val="center"/>
              <w:rPr>
                <w:rFonts w:asciiTheme="minorHAnsi" w:hAnsiTheme="minorHAnsi" w:cstheme="minorHAnsi"/>
                <w:sz w:val="20"/>
                <w:szCs w:val="20"/>
              </w:rPr>
            </w:pPr>
          </w:p>
        </w:tc>
        <w:tc>
          <w:tcPr>
            <w:tcW w:w="1082" w:type="dxa"/>
          </w:tcPr>
          <w:p w14:paraId="0312F2E4" w14:textId="77777777" w:rsidR="008C2A6C" w:rsidRPr="00BB3C18" w:rsidRDefault="008C2A6C" w:rsidP="008C2A6C">
            <w:pPr>
              <w:spacing w:line="276" w:lineRule="auto"/>
              <w:jc w:val="center"/>
              <w:rPr>
                <w:rFonts w:asciiTheme="minorHAnsi" w:hAnsiTheme="minorHAnsi" w:cstheme="minorHAnsi"/>
                <w:sz w:val="20"/>
                <w:szCs w:val="20"/>
              </w:rPr>
            </w:pPr>
          </w:p>
        </w:tc>
        <w:tc>
          <w:tcPr>
            <w:tcW w:w="283" w:type="dxa"/>
          </w:tcPr>
          <w:p w14:paraId="0312F2E5"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Borders>
              <w:top w:val="single" w:sz="4" w:space="0" w:color="auto"/>
            </w:tcBorders>
          </w:tcPr>
          <w:p w14:paraId="0312F2E6" w14:textId="77777777" w:rsidR="008C2A6C" w:rsidRPr="007F4426" w:rsidRDefault="008C2A6C" w:rsidP="008C2A6C">
            <w:pPr>
              <w:spacing w:line="276" w:lineRule="auto"/>
              <w:jc w:val="right"/>
              <w:rPr>
                <w:rFonts w:asciiTheme="minorHAnsi" w:hAnsiTheme="minorHAnsi" w:cstheme="minorHAnsi"/>
                <w:b/>
                <w:sz w:val="20"/>
                <w:szCs w:val="20"/>
              </w:rPr>
            </w:pPr>
          </w:p>
        </w:tc>
        <w:tc>
          <w:tcPr>
            <w:tcW w:w="287" w:type="dxa"/>
          </w:tcPr>
          <w:p w14:paraId="0312F2E7"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Borders>
              <w:top w:val="single" w:sz="4" w:space="0" w:color="auto"/>
            </w:tcBorders>
          </w:tcPr>
          <w:p w14:paraId="0312F2E8" w14:textId="77777777" w:rsidR="008C2A6C" w:rsidRPr="00D43854" w:rsidRDefault="008C2A6C" w:rsidP="008C2A6C">
            <w:pPr>
              <w:spacing w:line="276" w:lineRule="auto"/>
              <w:jc w:val="right"/>
              <w:rPr>
                <w:rFonts w:asciiTheme="minorHAnsi" w:hAnsiTheme="minorHAnsi" w:cstheme="minorHAnsi"/>
                <w:bCs/>
                <w:sz w:val="20"/>
                <w:szCs w:val="20"/>
              </w:rPr>
            </w:pPr>
          </w:p>
        </w:tc>
      </w:tr>
      <w:tr w:rsidR="008C2A6C" w:rsidRPr="00BB3C18" w14:paraId="77D34C2E" w14:textId="77777777" w:rsidTr="00453004">
        <w:tc>
          <w:tcPr>
            <w:tcW w:w="3629" w:type="dxa"/>
            <w:gridSpan w:val="3"/>
          </w:tcPr>
          <w:p w14:paraId="057D9557" w14:textId="15EFC223" w:rsidR="008C2A6C" w:rsidRPr="00BB3C18" w:rsidRDefault="008C2A6C" w:rsidP="008C2A6C">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Liabilities</w:t>
            </w:r>
          </w:p>
        </w:tc>
        <w:tc>
          <w:tcPr>
            <w:tcW w:w="236" w:type="dxa"/>
          </w:tcPr>
          <w:p w14:paraId="3DD6D89D" w14:textId="77777777" w:rsidR="008C2A6C" w:rsidRPr="00BB3C18" w:rsidRDefault="008C2A6C" w:rsidP="008C2A6C">
            <w:pPr>
              <w:spacing w:line="276" w:lineRule="auto"/>
              <w:jc w:val="right"/>
              <w:rPr>
                <w:rFonts w:asciiTheme="minorHAnsi" w:hAnsiTheme="minorHAnsi" w:cstheme="minorHAnsi"/>
                <w:sz w:val="20"/>
                <w:szCs w:val="20"/>
              </w:rPr>
            </w:pPr>
          </w:p>
        </w:tc>
        <w:tc>
          <w:tcPr>
            <w:tcW w:w="702" w:type="dxa"/>
          </w:tcPr>
          <w:p w14:paraId="7640C6BD" w14:textId="77777777" w:rsidR="008C2A6C" w:rsidRPr="00BB3C18" w:rsidRDefault="008C2A6C" w:rsidP="008C2A6C">
            <w:pPr>
              <w:spacing w:line="276" w:lineRule="auto"/>
              <w:jc w:val="right"/>
              <w:rPr>
                <w:rFonts w:asciiTheme="minorHAnsi" w:hAnsiTheme="minorHAnsi" w:cstheme="minorHAnsi"/>
                <w:sz w:val="20"/>
                <w:szCs w:val="20"/>
              </w:rPr>
            </w:pPr>
          </w:p>
        </w:tc>
        <w:tc>
          <w:tcPr>
            <w:tcW w:w="249" w:type="dxa"/>
          </w:tcPr>
          <w:p w14:paraId="2E153A58" w14:textId="77777777" w:rsidR="008C2A6C" w:rsidRPr="00BB3C18" w:rsidRDefault="008C2A6C" w:rsidP="008C2A6C">
            <w:pPr>
              <w:spacing w:line="276" w:lineRule="auto"/>
              <w:jc w:val="right"/>
              <w:rPr>
                <w:rFonts w:asciiTheme="minorHAnsi" w:hAnsiTheme="minorHAnsi" w:cstheme="minorHAnsi"/>
                <w:sz w:val="20"/>
                <w:szCs w:val="20"/>
              </w:rPr>
            </w:pPr>
          </w:p>
        </w:tc>
        <w:tc>
          <w:tcPr>
            <w:tcW w:w="1202" w:type="dxa"/>
          </w:tcPr>
          <w:p w14:paraId="7F6C1B34" w14:textId="77777777" w:rsidR="008C2A6C" w:rsidRPr="00BB3C18" w:rsidRDefault="008C2A6C" w:rsidP="008C2A6C">
            <w:pPr>
              <w:spacing w:line="276" w:lineRule="auto"/>
              <w:jc w:val="center"/>
              <w:rPr>
                <w:rFonts w:asciiTheme="minorHAnsi" w:hAnsiTheme="minorHAnsi" w:cstheme="minorHAnsi"/>
                <w:b/>
                <w:sz w:val="20"/>
                <w:szCs w:val="20"/>
              </w:rPr>
            </w:pPr>
          </w:p>
        </w:tc>
        <w:tc>
          <w:tcPr>
            <w:tcW w:w="236" w:type="dxa"/>
          </w:tcPr>
          <w:p w14:paraId="715CA6E7" w14:textId="77777777" w:rsidR="008C2A6C" w:rsidRPr="00BB3C18" w:rsidRDefault="008C2A6C" w:rsidP="008C2A6C">
            <w:pPr>
              <w:spacing w:line="276" w:lineRule="auto"/>
              <w:jc w:val="center"/>
              <w:rPr>
                <w:rFonts w:asciiTheme="minorHAnsi" w:hAnsiTheme="minorHAnsi" w:cstheme="minorHAnsi"/>
                <w:sz w:val="20"/>
                <w:szCs w:val="20"/>
              </w:rPr>
            </w:pPr>
          </w:p>
        </w:tc>
        <w:tc>
          <w:tcPr>
            <w:tcW w:w="1082" w:type="dxa"/>
          </w:tcPr>
          <w:p w14:paraId="0A7BE66E" w14:textId="77777777" w:rsidR="008C2A6C" w:rsidRPr="00BB3C18" w:rsidRDefault="008C2A6C" w:rsidP="008C2A6C">
            <w:pPr>
              <w:spacing w:line="276" w:lineRule="auto"/>
              <w:jc w:val="center"/>
              <w:rPr>
                <w:rFonts w:asciiTheme="minorHAnsi" w:hAnsiTheme="minorHAnsi" w:cstheme="minorHAnsi"/>
                <w:sz w:val="20"/>
                <w:szCs w:val="20"/>
              </w:rPr>
            </w:pPr>
          </w:p>
        </w:tc>
        <w:tc>
          <w:tcPr>
            <w:tcW w:w="283" w:type="dxa"/>
          </w:tcPr>
          <w:p w14:paraId="4E43BCD6"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Pr>
          <w:p w14:paraId="17B04466" w14:textId="77777777" w:rsidR="008C2A6C" w:rsidRPr="007F4426" w:rsidRDefault="008C2A6C" w:rsidP="008C2A6C">
            <w:pPr>
              <w:spacing w:line="276" w:lineRule="auto"/>
              <w:jc w:val="right"/>
              <w:rPr>
                <w:rFonts w:asciiTheme="minorHAnsi" w:hAnsiTheme="minorHAnsi" w:cstheme="minorHAnsi"/>
                <w:b/>
                <w:sz w:val="20"/>
                <w:szCs w:val="20"/>
              </w:rPr>
            </w:pPr>
          </w:p>
        </w:tc>
        <w:tc>
          <w:tcPr>
            <w:tcW w:w="287" w:type="dxa"/>
          </w:tcPr>
          <w:p w14:paraId="603CAAAF"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Pr>
          <w:p w14:paraId="126CED2B" w14:textId="77777777" w:rsidR="008C2A6C" w:rsidRPr="00D43854" w:rsidRDefault="008C2A6C" w:rsidP="008C2A6C">
            <w:pPr>
              <w:spacing w:line="276" w:lineRule="auto"/>
              <w:jc w:val="right"/>
              <w:rPr>
                <w:rFonts w:asciiTheme="minorHAnsi" w:hAnsiTheme="minorHAnsi" w:cstheme="minorHAnsi"/>
                <w:bCs/>
                <w:sz w:val="20"/>
                <w:szCs w:val="20"/>
              </w:rPr>
            </w:pPr>
          </w:p>
        </w:tc>
      </w:tr>
      <w:tr w:rsidR="008C2A6C" w:rsidRPr="00BB3C18" w14:paraId="0312F2F5" w14:textId="77777777" w:rsidTr="00453004">
        <w:tc>
          <w:tcPr>
            <w:tcW w:w="3629" w:type="dxa"/>
            <w:gridSpan w:val="3"/>
          </w:tcPr>
          <w:p w14:paraId="0312F2EA" w14:textId="77777777" w:rsidR="008C2A6C" w:rsidRPr="00BB3C18" w:rsidRDefault="008C2A6C" w:rsidP="008C2A6C">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Current liabilities</w:t>
            </w:r>
          </w:p>
        </w:tc>
        <w:tc>
          <w:tcPr>
            <w:tcW w:w="236" w:type="dxa"/>
          </w:tcPr>
          <w:p w14:paraId="0312F2EB" w14:textId="77777777" w:rsidR="008C2A6C" w:rsidRPr="00BB3C18" w:rsidRDefault="008C2A6C" w:rsidP="008C2A6C">
            <w:pPr>
              <w:spacing w:line="276" w:lineRule="auto"/>
              <w:jc w:val="right"/>
              <w:rPr>
                <w:rFonts w:asciiTheme="minorHAnsi" w:hAnsiTheme="minorHAnsi" w:cstheme="minorHAnsi"/>
                <w:sz w:val="20"/>
                <w:szCs w:val="20"/>
              </w:rPr>
            </w:pPr>
          </w:p>
        </w:tc>
        <w:tc>
          <w:tcPr>
            <w:tcW w:w="702" w:type="dxa"/>
          </w:tcPr>
          <w:p w14:paraId="0312F2EC" w14:textId="77777777" w:rsidR="008C2A6C" w:rsidRPr="00BB3C18" w:rsidRDefault="008C2A6C" w:rsidP="008C2A6C">
            <w:pPr>
              <w:spacing w:line="276" w:lineRule="auto"/>
              <w:jc w:val="right"/>
              <w:rPr>
                <w:rFonts w:asciiTheme="minorHAnsi" w:hAnsiTheme="minorHAnsi" w:cstheme="minorHAnsi"/>
                <w:sz w:val="20"/>
                <w:szCs w:val="20"/>
              </w:rPr>
            </w:pPr>
          </w:p>
        </w:tc>
        <w:tc>
          <w:tcPr>
            <w:tcW w:w="249" w:type="dxa"/>
          </w:tcPr>
          <w:p w14:paraId="0312F2ED" w14:textId="77777777" w:rsidR="008C2A6C" w:rsidRPr="00BB3C18" w:rsidRDefault="008C2A6C" w:rsidP="008C2A6C">
            <w:pPr>
              <w:spacing w:line="276" w:lineRule="auto"/>
              <w:jc w:val="right"/>
              <w:rPr>
                <w:rFonts w:asciiTheme="minorHAnsi" w:hAnsiTheme="minorHAnsi" w:cstheme="minorHAnsi"/>
                <w:sz w:val="20"/>
                <w:szCs w:val="20"/>
              </w:rPr>
            </w:pPr>
          </w:p>
        </w:tc>
        <w:tc>
          <w:tcPr>
            <w:tcW w:w="1202" w:type="dxa"/>
          </w:tcPr>
          <w:p w14:paraId="0312F2EE" w14:textId="77777777" w:rsidR="008C2A6C" w:rsidRPr="00BB3C18" w:rsidRDefault="008C2A6C" w:rsidP="008C2A6C">
            <w:pPr>
              <w:spacing w:line="276" w:lineRule="auto"/>
              <w:jc w:val="center"/>
              <w:rPr>
                <w:rFonts w:asciiTheme="minorHAnsi" w:hAnsiTheme="minorHAnsi" w:cstheme="minorHAnsi"/>
                <w:b/>
                <w:sz w:val="20"/>
                <w:szCs w:val="20"/>
              </w:rPr>
            </w:pPr>
          </w:p>
        </w:tc>
        <w:tc>
          <w:tcPr>
            <w:tcW w:w="236" w:type="dxa"/>
          </w:tcPr>
          <w:p w14:paraId="0312F2EF" w14:textId="77777777" w:rsidR="008C2A6C" w:rsidRPr="00BB3C18" w:rsidRDefault="008C2A6C" w:rsidP="008C2A6C">
            <w:pPr>
              <w:spacing w:line="276" w:lineRule="auto"/>
              <w:jc w:val="center"/>
              <w:rPr>
                <w:rFonts w:asciiTheme="minorHAnsi" w:hAnsiTheme="minorHAnsi" w:cstheme="minorHAnsi"/>
                <w:sz w:val="20"/>
                <w:szCs w:val="20"/>
              </w:rPr>
            </w:pPr>
          </w:p>
        </w:tc>
        <w:tc>
          <w:tcPr>
            <w:tcW w:w="1082" w:type="dxa"/>
          </w:tcPr>
          <w:p w14:paraId="0312F2F0" w14:textId="77777777" w:rsidR="008C2A6C" w:rsidRPr="00BB3C18" w:rsidRDefault="008C2A6C" w:rsidP="008C2A6C">
            <w:pPr>
              <w:spacing w:line="276" w:lineRule="auto"/>
              <w:jc w:val="center"/>
              <w:rPr>
                <w:rFonts w:asciiTheme="minorHAnsi" w:hAnsiTheme="minorHAnsi" w:cstheme="minorHAnsi"/>
                <w:sz w:val="20"/>
                <w:szCs w:val="20"/>
              </w:rPr>
            </w:pPr>
          </w:p>
        </w:tc>
        <w:tc>
          <w:tcPr>
            <w:tcW w:w="283" w:type="dxa"/>
          </w:tcPr>
          <w:p w14:paraId="0312F2F1"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Pr>
          <w:p w14:paraId="0312F2F2" w14:textId="77777777" w:rsidR="008C2A6C" w:rsidRPr="007F4426" w:rsidRDefault="008C2A6C" w:rsidP="008C2A6C">
            <w:pPr>
              <w:spacing w:line="276" w:lineRule="auto"/>
              <w:jc w:val="right"/>
              <w:rPr>
                <w:rFonts w:asciiTheme="minorHAnsi" w:hAnsiTheme="minorHAnsi" w:cstheme="minorHAnsi"/>
                <w:b/>
                <w:sz w:val="20"/>
                <w:szCs w:val="20"/>
              </w:rPr>
            </w:pPr>
          </w:p>
        </w:tc>
        <w:tc>
          <w:tcPr>
            <w:tcW w:w="287" w:type="dxa"/>
          </w:tcPr>
          <w:p w14:paraId="0312F2F3"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Pr>
          <w:p w14:paraId="0312F2F4" w14:textId="77777777" w:rsidR="008C2A6C" w:rsidRPr="00D43854" w:rsidRDefault="008C2A6C" w:rsidP="008C2A6C">
            <w:pPr>
              <w:spacing w:line="276" w:lineRule="auto"/>
              <w:jc w:val="right"/>
              <w:rPr>
                <w:rFonts w:asciiTheme="minorHAnsi" w:hAnsiTheme="minorHAnsi" w:cstheme="minorHAnsi"/>
                <w:bCs/>
                <w:sz w:val="20"/>
                <w:szCs w:val="20"/>
              </w:rPr>
            </w:pPr>
          </w:p>
        </w:tc>
      </w:tr>
      <w:tr w:rsidR="008C2A6C" w:rsidRPr="00BB3C18" w14:paraId="0312F301" w14:textId="77777777" w:rsidTr="00453004">
        <w:tc>
          <w:tcPr>
            <w:tcW w:w="3629" w:type="dxa"/>
            <w:gridSpan w:val="3"/>
          </w:tcPr>
          <w:p w14:paraId="0312F2F6" w14:textId="77777777" w:rsidR="008C2A6C" w:rsidRPr="00BB3C18" w:rsidRDefault="008C2A6C" w:rsidP="008C2A6C">
            <w:pPr>
              <w:spacing w:line="276" w:lineRule="auto"/>
              <w:rPr>
                <w:rFonts w:asciiTheme="minorHAnsi" w:hAnsiTheme="minorHAnsi" w:cstheme="minorHAnsi"/>
                <w:sz w:val="20"/>
                <w:szCs w:val="20"/>
              </w:rPr>
            </w:pPr>
            <w:r w:rsidRPr="00BB3C18">
              <w:rPr>
                <w:rFonts w:asciiTheme="minorHAnsi" w:hAnsiTheme="minorHAnsi" w:cstheme="minorHAnsi"/>
                <w:sz w:val="20"/>
                <w:szCs w:val="20"/>
              </w:rPr>
              <w:t>Trade and other payables</w:t>
            </w:r>
          </w:p>
        </w:tc>
        <w:tc>
          <w:tcPr>
            <w:tcW w:w="236" w:type="dxa"/>
          </w:tcPr>
          <w:p w14:paraId="0312F2F7" w14:textId="77777777" w:rsidR="008C2A6C" w:rsidRPr="00BB3C18" w:rsidRDefault="008C2A6C" w:rsidP="008C2A6C">
            <w:pPr>
              <w:spacing w:line="276" w:lineRule="auto"/>
              <w:jc w:val="right"/>
              <w:rPr>
                <w:rFonts w:asciiTheme="minorHAnsi" w:hAnsiTheme="minorHAnsi" w:cstheme="minorHAnsi"/>
                <w:sz w:val="20"/>
                <w:szCs w:val="20"/>
              </w:rPr>
            </w:pPr>
          </w:p>
        </w:tc>
        <w:tc>
          <w:tcPr>
            <w:tcW w:w="702" w:type="dxa"/>
          </w:tcPr>
          <w:p w14:paraId="0312F2F8" w14:textId="77777777" w:rsidR="008C2A6C" w:rsidRPr="00BB3C18" w:rsidRDefault="008C2A6C" w:rsidP="008C2A6C">
            <w:pPr>
              <w:spacing w:line="276" w:lineRule="auto"/>
              <w:jc w:val="right"/>
              <w:rPr>
                <w:rFonts w:asciiTheme="minorHAnsi" w:hAnsiTheme="minorHAnsi" w:cstheme="minorHAnsi"/>
                <w:sz w:val="20"/>
                <w:szCs w:val="20"/>
              </w:rPr>
            </w:pPr>
          </w:p>
        </w:tc>
        <w:tc>
          <w:tcPr>
            <w:tcW w:w="249" w:type="dxa"/>
          </w:tcPr>
          <w:p w14:paraId="0312F2F9" w14:textId="77777777" w:rsidR="008C2A6C" w:rsidRPr="00BB3C18" w:rsidRDefault="008C2A6C" w:rsidP="008C2A6C">
            <w:pPr>
              <w:spacing w:line="276" w:lineRule="auto"/>
              <w:jc w:val="right"/>
              <w:rPr>
                <w:rFonts w:asciiTheme="minorHAnsi" w:hAnsiTheme="minorHAnsi" w:cstheme="minorHAnsi"/>
                <w:sz w:val="20"/>
                <w:szCs w:val="20"/>
              </w:rPr>
            </w:pPr>
          </w:p>
        </w:tc>
        <w:tc>
          <w:tcPr>
            <w:tcW w:w="1202" w:type="dxa"/>
          </w:tcPr>
          <w:p w14:paraId="0312F2FA" w14:textId="77777777" w:rsidR="008C2A6C" w:rsidRPr="00BB3C18" w:rsidRDefault="008C2A6C" w:rsidP="008C2A6C">
            <w:pPr>
              <w:spacing w:line="276" w:lineRule="auto"/>
              <w:jc w:val="center"/>
              <w:rPr>
                <w:rFonts w:asciiTheme="minorHAnsi" w:hAnsiTheme="minorHAnsi" w:cstheme="minorHAnsi"/>
                <w:b/>
                <w:sz w:val="20"/>
                <w:szCs w:val="20"/>
              </w:rPr>
            </w:pPr>
          </w:p>
        </w:tc>
        <w:tc>
          <w:tcPr>
            <w:tcW w:w="236" w:type="dxa"/>
          </w:tcPr>
          <w:p w14:paraId="0312F2FB" w14:textId="77777777" w:rsidR="008C2A6C" w:rsidRPr="00BB3C18" w:rsidRDefault="008C2A6C" w:rsidP="008C2A6C">
            <w:pPr>
              <w:spacing w:line="276" w:lineRule="auto"/>
              <w:jc w:val="center"/>
              <w:rPr>
                <w:rFonts w:asciiTheme="minorHAnsi" w:hAnsiTheme="minorHAnsi" w:cstheme="minorHAnsi"/>
                <w:sz w:val="20"/>
                <w:szCs w:val="20"/>
              </w:rPr>
            </w:pPr>
          </w:p>
        </w:tc>
        <w:tc>
          <w:tcPr>
            <w:tcW w:w="1082" w:type="dxa"/>
          </w:tcPr>
          <w:p w14:paraId="0312F2FC" w14:textId="72F853E5" w:rsidR="008C2A6C" w:rsidRPr="00BB3C18" w:rsidRDefault="008C2A6C" w:rsidP="008C2A6C">
            <w:pPr>
              <w:spacing w:line="276" w:lineRule="auto"/>
              <w:jc w:val="center"/>
              <w:rPr>
                <w:rFonts w:asciiTheme="minorHAnsi" w:hAnsiTheme="minorHAnsi" w:cstheme="minorHAnsi"/>
                <w:sz w:val="20"/>
                <w:szCs w:val="20"/>
              </w:rPr>
            </w:pPr>
            <w:r w:rsidRPr="00BB3C18">
              <w:rPr>
                <w:rFonts w:asciiTheme="minorHAnsi" w:hAnsiTheme="minorHAnsi" w:cstheme="minorHAnsi"/>
                <w:sz w:val="20"/>
                <w:szCs w:val="20"/>
              </w:rPr>
              <w:t>1</w:t>
            </w:r>
            <w:r w:rsidR="003C6BB4">
              <w:rPr>
                <w:rFonts w:asciiTheme="minorHAnsi" w:hAnsiTheme="minorHAnsi" w:cstheme="minorHAnsi"/>
                <w:sz w:val="20"/>
                <w:szCs w:val="20"/>
              </w:rPr>
              <w:t>5</w:t>
            </w:r>
          </w:p>
        </w:tc>
        <w:tc>
          <w:tcPr>
            <w:tcW w:w="283" w:type="dxa"/>
          </w:tcPr>
          <w:p w14:paraId="0312F2FD"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Pr>
          <w:p w14:paraId="0312F2FE" w14:textId="023D9B70" w:rsidR="008C2A6C" w:rsidRPr="007F4426" w:rsidRDefault="008C2A6C" w:rsidP="008C2A6C">
            <w:pPr>
              <w:spacing w:line="276" w:lineRule="auto"/>
              <w:jc w:val="right"/>
              <w:rPr>
                <w:rFonts w:asciiTheme="minorHAnsi" w:hAnsiTheme="minorHAnsi" w:cstheme="minorHAnsi"/>
                <w:b/>
                <w:sz w:val="20"/>
                <w:szCs w:val="20"/>
              </w:rPr>
            </w:pPr>
            <w:r>
              <w:rPr>
                <w:rFonts w:asciiTheme="minorHAnsi" w:hAnsiTheme="minorHAnsi" w:cstheme="minorHAnsi"/>
                <w:b/>
                <w:sz w:val="20"/>
                <w:szCs w:val="20"/>
              </w:rPr>
              <w:t>6,</w:t>
            </w:r>
            <w:r w:rsidR="003C6BB4">
              <w:rPr>
                <w:rFonts w:asciiTheme="minorHAnsi" w:hAnsiTheme="minorHAnsi" w:cstheme="minorHAnsi"/>
                <w:b/>
                <w:sz w:val="20"/>
                <w:szCs w:val="20"/>
              </w:rPr>
              <w:t>523,526</w:t>
            </w:r>
          </w:p>
        </w:tc>
        <w:tc>
          <w:tcPr>
            <w:tcW w:w="287" w:type="dxa"/>
          </w:tcPr>
          <w:p w14:paraId="0312F2FF" w14:textId="77777777" w:rsidR="008C2A6C" w:rsidRPr="00BB3C18" w:rsidRDefault="008C2A6C" w:rsidP="008C2A6C">
            <w:pPr>
              <w:spacing w:line="276" w:lineRule="auto"/>
              <w:jc w:val="right"/>
              <w:rPr>
                <w:rFonts w:asciiTheme="minorHAnsi" w:hAnsiTheme="minorHAnsi" w:cstheme="minorHAnsi"/>
                <w:sz w:val="20"/>
                <w:szCs w:val="20"/>
              </w:rPr>
            </w:pPr>
          </w:p>
        </w:tc>
        <w:tc>
          <w:tcPr>
            <w:tcW w:w="1275" w:type="dxa"/>
          </w:tcPr>
          <w:p w14:paraId="0312F300" w14:textId="22EAE7D6" w:rsidR="008C2A6C" w:rsidRPr="00D43854" w:rsidRDefault="008C2A6C" w:rsidP="008C2A6C">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5,881,469</w:t>
            </w:r>
          </w:p>
        </w:tc>
      </w:tr>
      <w:tr w:rsidR="00371CD3" w:rsidRPr="00BB3C18" w14:paraId="7FC24EBE" w14:textId="77777777" w:rsidTr="00371CD3">
        <w:tc>
          <w:tcPr>
            <w:tcW w:w="3629" w:type="dxa"/>
            <w:gridSpan w:val="3"/>
          </w:tcPr>
          <w:p w14:paraId="22BBE5C9" w14:textId="3989F571" w:rsidR="00371CD3" w:rsidRPr="00BB3C18" w:rsidRDefault="00371CD3" w:rsidP="00371CD3">
            <w:pPr>
              <w:spacing w:line="276" w:lineRule="auto"/>
              <w:rPr>
                <w:rFonts w:asciiTheme="minorHAnsi" w:hAnsiTheme="minorHAnsi" w:cstheme="minorHAnsi"/>
                <w:sz w:val="20"/>
                <w:szCs w:val="20"/>
              </w:rPr>
            </w:pPr>
            <w:r w:rsidRPr="00BB3C18">
              <w:rPr>
                <w:rFonts w:asciiTheme="minorHAnsi" w:hAnsiTheme="minorHAnsi" w:cstheme="minorHAnsi"/>
                <w:sz w:val="20"/>
                <w:szCs w:val="20"/>
              </w:rPr>
              <w:t>Loans and borrowings</w:t>
            </w:r>
          </w:p>
        </w:tc>
        <w:tc>
          <w:tcPr>
            <w:tcW w:w="236" w:type="dxa"/>
          </w:tcPr>
          <w:p w14:paraId="1D6B15EE" w14:textId="77777777" w:rsidR="00371CD3" w:rsidRPr="00BB3C18" w:rsidRDefault="00371CD3" w:rsidP="00371CD3">
            <w:pPr>
              <w:spacing w:line="276" w:lineRule="auto"/>
              <w:jc w:val="right"/>
              <w:rPr>
                <w:rFonts w:asciiTheme="minorHAnsi" w:hAnsiTheme="minorHAnsi" w:cstheme="minorHAnsi"/>
                <w:sz w:val="20"/>
                <w:szCs w:val="20"/>
              </w:rPr>
            </w:pPr>
          </w:p>
        </w:tc>
        <w:tc>
          <w:tcPr>
            <w:tcW w:w="702" w:type="dxa"/>
          </w:tcPr>
          <w:p w14:paraId="303510FF" w14:textId="77777777" w:rsidR="00371CD3" w:rsidRPr="00BB3C18" w:rsidRDefault="00371CD3" w:rsidP="00371CD3">
            <w:pPr>
              <w:spacing w:line="276" w:lineRule="auto"/>
              <w:jc w:val="right"/>
              <w:rPr>
                <w:rFonts w:asciiTheme="minorHAnsi" w:hAnsiTheme="minorHAnsi" w:cstheme="minorHAnsi"/>
                <w:sz w:val="20"/>
                <w:szCs w:val="20"/>
              </w:rPr>
            </w:pPr>
          </w:p>
        </w:tc>
        <w:tc>
          <w:tcPr>
            <w:tcW w:w="249" w:type="dxa"/>
          </w:tcPr>
          <w:p w14:paraId="7ED9CFB0" w14:textId="77777777" w:rsidR="00371CD3" w:rsidRPr="00BB3C18" w:rsidRDefault="00371CD3" w:rsidP="00371CD3">
            <w:pPr>
              <w:spacing w:line="276" w:lineRule="auto"/>
              <w:jc w:val="right"/>
              <w:rPr>
                <w:rFonts w:asciiTheme="minorHAnsi" w:hAnsiTheme="minorHAnsi" w:cstheme="minorHAnsi"/>
                <w:sz w:val="20"/>
                <w:szCs w:val="20"/>
              </w:rPr>
            </w:pPr>
          </w:p>
        </w:tc>
        <w:tc>
          <w:tcPr>
            <w:tcW w:w="1202" w:type="dxa"/>
          </w:tcPr>
          <w:p w14:paraId="050196F7" w14:textId="77777777" w:rsidR="00371CD3" w:rsidRPr="00BB3C18" w:rsidRDefault="00371CD3" w:rsidP="00371CD3">
            <w:pPr>
              <w:spacing w:line="276" w:lineRule="auto"/>
              <w:jc w:val="center"/>
              <w:rPr>
                <w:rFonts w:asciiTheme="minorHAnsi" w:hAnsiTheme="minorHAnsi" w:cstheme="minorHAnsi"/>
                <w:b/>
                <w:sz w:val="20"/>
                <w:szCs w:val="20"/>
              </w:rPr>
            </w:pPr>
          </w:p>
        </w:tc>
        <w:tc>
          <w:tcPr>
            <w:tcW w:w="236" w:type="dxa"/>
          </w:tcPr>
          <w:p w14:paraId="2909374E" w14:textId="77777777" w:rsidR="00371CD3" w:rsidRPr="00BB3C18" w:rsidRDefault="00371CD3" w:rsidP="00371CD3">
            <w:pPr>
              <w:spacing w:line="276" w:lineRule="auto"/>
              <w:jc w:val="center"/>
              <w:rPr>
                <w:rFonts w:asciiTheme="minorHAnsi" w:hAnsiTheme="minorHAnsi" w:cstheme="minorHAnsi"/>
                <w:sz w:val="20"/>
                <w:szCs w:val="20"/>
              </w:rPr>
            </w:pPr>
          </w:p>
        </w:tc>
        <w:tc>
          <w:tcPr>
            <w:tcW w:w="1082" w:type="dxa"/>
          </w:tcPr>
          <w:p w14:paraId="619B804E" w14:textId="09788219" w:rsidR="00371CD3" w:rsidRPr="00BB3C18" w:rsidRDefault="00371CD3" w:rsidP="00371CD3">
            <w:pPr>
              <w:spacing w:line="276" w:lineRule="auto"/>
              <w:jc w:val="center"/>
              <w:rPr>
                <w:rFonts w:asciiTheme="minorHAnsi" w:hAnsiTheme="minorHAnsi" w:cstheme="minorHAnsi"/>
                <w:sz w:val="20"/>
                <w:szCs w:val="20"/>
              </w:rPr>
            </w:pPr>
            <w:r w:rsidRPr="00BB3C18">
              <w:rPr>
                <w:rFonts w:asciiTheme="minorHAnsi" w:hAnsiTheme="minorHAnsi" w:cstheme="minorHAnsi"/>
                <w:sz w:val="20"/>
                <w:szCs w:val="20"/>
              </w:rPr>
              <w:t>1</w:t>
            </w:r>
            <w:r w:rsidR="003C6BB4">
              <w:rPr>
                <w:rFonts w:asciiTheme="minorHAnsi" w:hAnsiTheme="minorHAnsi" w:cstheme="minorHAnsi"/>
                <w:sz w:val="20"/>
                <w:szCs w:val="20"/>
              </w:rPr>
              <w:t>6</w:t>
            </w:r>
          </w:p>
        </w:tc>
        <w:tc>
          <w:tcPr>
            <w:tcW w:w="283" w:type="dxa"/>
          </w:tcPr>
          <w:p w14:paraId="2596096D" w14:textId="77777777" w:rsidR="00371CD3" w:rsidRPr="00BB3C18" w:rsidRDefault="00371CD3" w:rsidP="00371CD3">
            <w:pPr>
              <w:spacing w:line="276" w:lineRule="auto"/>
              <w:jc w:val="right"/>
              <w:rPr>
                <w:rFonts w:asciiTheme="minorHAnsi" w:hAnsiTheme="minorHAnsi" w:cstheme="minorHAnsi"/>
                <w:sz w:val="20"/>
                <w:szCs w:val="20"/>
              </w:rPr>
            </w:pPr>
          </w:p>
        </w:tc>
        <w:tc>
          <w:tcPr>
            <w:tcW w:w="1275" w:type="dxa"/>
          </w:tcPr>
          <w:p w14:paraId="07F47351" w14:textId="7E12FD9A" w:rsidR="00371CD3" w:rsidRPr="007F4426" w:rsidRDefault="00371CD3" w:rsidP="00371CD3">
            <w:pPr>
              <w:spacing w:line="276" w:lineRule="auto"/>
              <w:jc w:val="right"/>
              <w:rPr>
                <w:rFonts w:asciiTheme="minorHAnsi" w:hAnsiTheme="minorHAnsi" w:cstheme="minorHAnsi"/>
                <w:b/>
                <w:sz w:val="20"/>
                <w:szCs w:val="20"/>
              </w:rPr>
            </w:pPr>
            <w:r>
              <w:rPr>
                <w:rFonts w:asciiTheme="minorHAnsi" w:hAnsiTheme="minorHAnsi" w:cstheme="minorHAnsi"/>
                <w:b/>
                <w:sz w:val="20"/>
                <w:szCs w:val="20"/>
              </w:rPr>
              <w:t>2,415,000</w:t>
            </w:r>
          </w:p>
        </w:tc>
        <w:tc>
          <w:tcPr>
            <w:tcW w:w="287" w:type="dxa"/>
          </w:tcPr>
          <w:p w14:paraId="47F8A04D" w14:textId="77777777" w:rsidR="00371CD3" w:rsidRPr="00BB3C18" w:rsidRDefault="00371CD3" w:rsidP="00371CD3">
            <w:pPr>
              <w:spacing w:line="276" w:lineRule="auto"/>
              <w:jc w:val="right"/>
              <w:rPr>
                <w:rFonts w:asciiTheme="minorHAnsi" w:hAnsiTheme="minorHAnsi" w:cstheme="minorHAnsi"/>
                <w:sz w:val="20"/>
                <w:szCs w:val="20"/>
              </w:rPr>
            </w:pPr>
          </w:p>
        </w:tc>
        <w:tc>
          <w:tcPr>
            <w:tcW w:w="1275" w:type="dxa"/>
          </w:tcPr>
          <w:p w14:paraId="282A7474" w14:textId="1783E4CB" w:rsidR="00371CD3" w:rsidRPr="00D43854" w:rsidRDefault="00371CD3" w:rsidP="00371CD3">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2,415,000</w:t>
            </w:r>
          </w:p>
        </w:tc>
      </w:tr>
      <w:tr w:rsidR="00371CD3" w:rsidRPr="00BB3C18" w14:paraId="0312F325" w14:textId="77777777" w:rsidTr="00552C25">
        <w:trPr>
          <w:trHeight w:val="70"/>
        </w:trPr>
        <w:tc>
          <w:tcPr>
            <w:tcW w:w="3629" w:type="dxa"/>
            <w:gridSpan w:val="3"/>
          </w:tcPr>
          <w:p w14:paraId="0312F31A" w14:textId="39ED0F05" w:rsidR="00371CD3" w:rsidRPr="00BB3C18" w:rsidRDefault="00371CD3" w:rsidP="00371CD3">
            <w:pPr>
              <w:spacing w:line="276" w:lineRule="auto"/>
              <w:rPr>
                <w:rFonts w:asciiTheme="minorHAnsi" w:hAnsiTheme="minorHAnsi" w:cstheme="minorHAnsi"/>
                <w:sz w:val="20"/>
                <w:szCs w:val="20"/>
              </w:rPr>
            </w:pPr>
            <w:r>
              <w:rPr>
                <w:rFonts w:asciiTheme="minorHAnsi" w:hAnsiTheme="minorHAnsi" w:cstheme="minorHAnsi"/>
                <w:sz w:val="20"/>
                <w:szCs w:val="20"/>
              </w:rPr>
              <w:t>Provisions</w:t>
            </w:r>
          </w:p>
        </w:tc>
        <w:tc>
          <w:tcPr>
            <w:tcW w:w="236" w:type="dxa"/>
          </w:tcPr>
          <w:p w14:paraId="0312F31B" w14:textId="77777777" w:rsidR="00371CD3" w:rsidRPr="00BB3C18" w:rsidRDefault="00371CD3" w:rsidP="00371CD3">
            <w:pPr>
              <w:spacing w:line="276" w:lineRule="auto"/>
              <w:jc w:val="right"/>
              <w:rPr>
                <w:rFonts w:asciiTheme="minorHAnsi" w:hAnsiTheme="minorHAnsi" w:cstheme="minorHAnsi"/>
                <w:sz w:val="20"/>
                <w:szCs w:val="20"/>
              </w:rPr>
            </w:pPr>
          </w:p>
        </w:tc>
        <w:tc>
          <w:tcPr>
            <w:tcW w:w="702" w:type="dxa"/>
          </w:tcPr>
          <w:p w14:paraId="0312F31C" w14:textId="77777777" w:rsidR="00371CD3" w:rsidRPr="00BB3C18" w:rsidRDefault="00371CD3" w:rsidP="00371CD3">
            <w:pPr>
              <w:spacing w:line="276" w:lineRule="auto"/>
              <w:jc w:val="right"/>
              <w:rPr>
                <w:rFonts w:asciiTheme="minorHAnsi" w:hAnsiTheme="minorHAnsi" w:cstheme="minorHAnsi"/>
                <w:sz w:val="20"/>
                <w:szCs w:val="20"/>
              </w:rPr>
            </w:pPr>
          </w:p>
        </w:tc>
        <w:tc>
          <w:tcPr>
            <w:tcW w:w="249" w:type="dxa"/>
          </w:tcPr>
          <w:p w14:paraId="0312F31D" w14:textId="77777777" w:rsidR="00371CD3" w:rsidRPr="00BB3C18" w:rsidRDefault="00371CD3" w:rsidP="00371CD3">
            <w:pPr>
              <w:spacing w:line="276" w:lineRule="auto"/>
              <w:jc w:val="right"/>
              <w:rPr>
                <w:rFonts w:asciiTheme="minorHAnsi" w:hAnsiTheme="minorHAnsi" w:cstheme="minorHAnsi"/>
                <w:sz w:val="20"/>
                <w:szCs w:val="20"/>
              </w:rPr>
            </w:pPr>
          </w:p>
        </w:tc>
        <w:tc>
          <w:tcPr>
            <w:tcW w:w="1202" w:type="dxa"/>
          </w:tcPr>
          <w:p w14:paraId="0312F31E" w14:textId="77777777" w:rsidR="00371CD3" w:rsidRPr="00BB3C18" w:rsidRDefault="00371CD3" w:rsidP="00371CD3">
            <w:pPr>
              <w:spacing w:line="276" w:lineRule="auto"/>
              <w:jc w:val="center"/>
              <w:rPr>
                <w:rFonts w:asciiTheme="minorHAnsi" w:hAnsiTheme="minorHAnsi" w:cstheme="minorHAnsi"/>
                <w:b/>
                <w:sz w:val="20"/>
                <w:szCs w:val="20"/>
              </w:rPr>
            </w:pPr>
          </w:p>
        </w:tc>
        <w:tc>
          <w:tcPr>
            <w:tcW w:w="236" w:type="dxa"/>
          </w:tcPr>
          <w:p w14:paraId="0312F31F" w14:textId="77777777" w:rsidR="00371CD3" w:rsidRPr="00BB3C18" w:rsidRDefault="00371CD3" w:rsidP="00371CD3">
            <w:pPr>
              <w:spacing w:line="276" w:lineRule="auto"/>
              <w:jc w:val="center"/>
              <w:rPr>
                <w:rFonts w:asciiTheme="minorHAnsi" w:hAnsiTheme="minorHAnsi" w:cstheme="minorHAnsi"/>
                <w:sz w:val="20"/>
                <w:szCs w:val="20"/>
              </w:rPr>
            </w:pPr>
          </w:p>
        </w:tc>
        <w:tc>
          <w:tcPr>
            <w:tcW w:w="1082" w:type="dxa"/>
          </w:tcPr>
          <w:p w14:paraId="0312F320" w14:textId="442FF7AF" w:rsidR="00371CD3" w:rsidRPr="00BB3C18" w:rsidRDefault="00371CD3" w:rsidP="00371CD3">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3C6BB4">
              <w:rPr>
                <w:rFonts w:asciiTheme="minorHAnsi" w:hAnsiTheme="minorHAnsi" w:cstheme="minorHAnsi"/>
                <w:sz w:val="20"/>
                <w:szCs w:val="20"/>
              </w:rPr>
              <w:t>7</w:t>
            </w:r>
          </w:p>
        </w:tc>
        <w:tc>
          <w:tcPr>
            <w:tcW w:w="283" w:type="dxa"/>
          </w:tcPr>
          <w:p w14:paraId="0312F321" w14:textId="77777777" w:rsidR="00371CD3" w:rsidRPr="00BB3C18" w:rsidRDefault="00371CD3" w:rsidP="00371CD3">
            <w:pPr>
              <w:spacing w:line="276" w:lineRule="auto"/>
              <w:jc w:val="right"/>
              <w:rPr>
                <w:rFonts w:asciiTheme="minorHAnsi" w:hAnsiTheme="minorHAnsi" w:cstheme="minorHAnsi"/>
                <w:sz w:val="20"/>
                <w:szCs w:val="20"/>
              </w:rPr>
            </w:pPr>
          </w:p>
        </w:tc>
        <w:tc>
          <w:tcPr>
            <w:tcW w:w="1275" w:type="dxa"/>
          </w:tcPr>
          <w:p w14:paraId="0312F322" w14:textId="0165BEF2" w:rsidR="00371CD3" w:rsidRPr="007F4426" w:rsidRDefault="00371CD3" w:rsidP="00371CD3">
            <w:pPr>
              <w:spacing w:line="276" w:lineRule="auto"/>
              <w:jc w:val="right"/>
              <w:rPr>
                <w:rFonts w:asciiTheme="minorHAnsi" w:hAnsiTheme="minorHAnsi" w:cstheme="minorHAnsi"/>
                <w:b/>
                <w:sz w:val="20"/>
                <w:szCs w:val="20"/>
              </w:rPr>
            </w:pPr>
            <w:r>
              <w:rPr>
                <w:rFonts w:asciiTheme="minorHAnsi" w:hAnsiTheme="minorHAnsi" w:cstheme="minorHAnsi"/>
                <w:b/>
                <w:sz w:val="20"/>
                <w:szCs w:val="20"/>
              </w:rPr>
              <w:t>-</w:t>
            </w:r>
          </w:p>
        </w:tc>
        <w:tc>
          <w:tcPr>
            <w:tcW w:w="287" w:type="dxa"/>
          </w:tcPr>
          <w:p w14:paraId="0312F323" w14:textId="77777777" w:rsidR="00371CD3" w:rsidRPr="00BB3C18" w:rsidRDefault="00371CD3" w:rsidP="00371CD3">
            <w:pPr>
              <w:spacing w:line="276" w:lineRule="auto"/>
              <w:jc w:val="right"/>
              <w:rPr>
                <w:rFonts w:asciiTheme="minorHAnsi" w:hAnsiTheme="minorHAnsi" w:cstheme="minorHAnsi"/>
                <w:sz w:val="20"/>
                <w:szCs w:val="20"/>
              </w:rPr>
            </w:pPr>
          </w:p>
        </w:tc>
        <w:tc>
          <w:tcPr>
            <w:tcW w:w="1275" w:type="dxa"/>
          </w:tcPr>
          <w:p w14:paraId="0312F324" w14:textId="3647F311" w:rsidR="00371CD3" w:rsidRPr="00D43854" w:rsidRDefault="00371CD3" w:rsidP="00371CD3">
            <w:pPr>
              <w:spacing w:line="276" w:lineRule="auto"/>
              <w:jc w:val="right"/>
              <w:rPr>
                <w:rFonts w:asciiTheme="minorHAnsi" w:hAnsiTheme="minorHAnsi" w:cstheme="minorHAnsi"/>
                <w:bCs/>
                <w:sz w:val="20"/>
                <w:szCs w:val="20"/>
              </w:rPr>
            </w:pPr>
            <w:r w:rsidRPr="00D43854">
              <w:rPr>
                <w:rFonts w:asciiTheme="minorHAnsi" w:hAnsiTheme="minorHAnsi" w:cstheme="minorHAnsi"/>
                <w:bCs/>
                <w:sz w:val="20"/>
                <w:szCs w:val="20"/>
              </w:rPr>
              <w:t>34,000</w:t>
            </w:r>
          </w:p>
        </w:tc>
      </w:tr>
      <w:tr w:rsidR="00371CD3" w:rsidRPr="00BB3C18" w14:paraId="4BFC6018" w14:textId="77777777" w:rsidTr="00371CD3">
        <w:trPr>
          <w:trHeight w:val="70"/>
        </w:trPr>
        <w:tc>
          <w:tcPr>
            <w:tcW w:w="3629" w:type="dxa"/>
            <w:gridSpan w:val="3"/>
          </w:tcPr>
          <w:p w14:paraId="55B047E6" w14:textId="77777777" w:rsidR="00371CD3" w:rsidRPr="00BB3C18" w:rsidRDefault="00371CD3" w:rsidP="00371CD3">
            <w:pPr>
              <w:spacing w:line="276" w:lineRule="auto"/>
              <w:rPr>
                <w:rFonts w:asciiTheme="minorHAnsi" w:hAnsiTheme="minorHAnsi" w:cstheme="minorHAnsi"/>
                <w:sz w:val="20"/>
                <w:szCs w:val="20"/>
              </w:rPr>
            </w:pPr>
          </w:p>
        </w:tc>
        <w:tc>
          <w:tcPr>
            <w:tcW w:w="236" w:type="dxa"/>
          </w:tcPr>
          <w:p w14:paraId="66C31C9E" w14:textId="77777777" w:rsidR="00371CD3" w:rsidRPr="00BB3C18" w:rsidRDefault="00371CD3" w:rsidP="00371CD3">
            <w:pPr>
              <w:spacing w:line="276" w:lineRule="auto"/>
              <w:jc w:val="right"/>
              <w:rPr>
                <w:rFonts w:asciiTheme="minorHAnsi" w:hAnsiTheme="minorHAnsi" w:cstheme="minorHAnsi"/>
                <w:sz w:val="20"/>
                <w:szCs w:val="20"/>
              </w:rPr>
            </w:pPr>
          </w:p>
        </w:tc>
        <w:tc>
          <w:tcPr>
            <w:tcW w:w="702" w:type="dxa"/>
          </w:tcPr>
          <w:p w14:paraId="662DBFF9" w14:textId="77777777" w:rsidR="00371CD3" w:rsidRPr="00BB3C18" w:rsidRDefault="00371CD3" w:rsidP="00371CD3">
            <w:pPr>
              <w:spacing w:line="276" w:lineRule="auto"/>
              <w:jc w:val="right"/>
              <w:rPr>
                <w:rFonts w:asciiTheme="minorHAnsi" w:hAnsiTheme="minorHAnsi" w:cstheme="minorHAnsi"/>
                <w:sz w:val="20"/>
                <w:szCs w:val="20"/>
              </w:rPr>
            </w:pPr>
          </w:p>
        </w:tc>
        <w:tc>
          <w:tcPr>
            <w:tcW w:w="249" w:type="dxa"/>
          </w:tcPr>
          <w:p w14:paraId="042AA6DA" w14:textId="77777777" w:rsidR="00371CD3" w:rsidRPr="00BB3C18" w:rsidRDefault="00371CD3" w:rsidP="00371CD3">
            <w:pPr>
              <w:spacing w:line="276" w:lineRule="auto"/>
              <w:jc w:val="right"/>
              <w:rPr>
                <w:rFonts w:asciiTheme="minorHAnsi" w:hAnsiTheme="minorHAnsi" w:cstheme="minorHAnsi"/>
                <w:sz w:val="20"/>
                <w:szCs w:val="20"/>
              </w:rPr>
            </w:pPr>
          </w:p>
        </w:tc>
        <w:tc>
          <w:tcPr>
            <w:tcW w:w="1202" w:type="dxa"/>
          </w:tcPr>
          <w:p w14:paraId="734FA22E" w14:textId="77777777" w:rsidR="00371CD3" w:rsidRPr="00BB3C18" w:rsidRDefault="00371CD3" w:rsidP="00371CD3">
            <w:pPr>
              <w:spacing w:line="276" w:lineRule="auto"/>
              <w:jc w:val="center"/>
              <w:rPr>
                <w:rFonts w:asciiTheme="minorHAnsi" w:hAnsiTheme="minorHAnsi" w:cstheme="minorHAnsi"/>
                <w:b/>
                <w:sz w:val="20"/>
                <w:szCs w:val="20"/>
              </w:rPr>
            </w:pPr>
          </w:p>
        </w:tc>
        <w:tc>
          <w:tcPr>
            <w:tcW w:w="236" w:type="dxa"/>
          </w:tcPr>
          <w:p w14:paraId="510DA643" w14:textId="77777777" w:rsidR="00371CD3" w:rsidRPr="00BB3C18" w:rsidRDefault="00371CD3" w:rsidP="00371CD3">
            <w:pPr>
              <w:spacing w:line="276" w:lineRule="auto"/>
              <w:jc w:val="center"/>
              <w:rPr>
                <w:rFonts w:asciiTheme="minorHAnsi" w:hAnsiTheme="minorHAnsi" w:cstheme="minorHAnsi"/>
                <w:sz w:val="20"/>
                <w:szCs w:val="20"/>
              </w:rPr>
            </w:pPr>
          </w:p>
        </w:tc>
        <w:tc>
          <w:tcPr>
            <w:tcW w:w="1082" w:type="dxa"/>
          </w:tcPr>
          <w:p w14:paraId="13B03361" w14:textId="77777777" w:rsidR="00371CD3" w:rsidRPr="00BB3C18" w:rsidRDefault="00371CD3" w:rsidP="00371CD3">
            <w:pPr>
              <w:spacing w:line="276" w:lineRule="auto"/>
              <w:jc w:val="center"/>
              <w:rPr>
                <w:rFonts w:asciiTheme="minorHAnsi" w:hAnsiTheme="minorHAnsi" w:cstheme="minorHAnsi"/>
                <w:sz w:val="20"/>
                <w:szCs w:val="20"/>
              </w:rPr>
            </w:pPr>
          </w:p>
        </w:tc>
        <w:tc>
          <w:tcPr>
            <w:tcW w:w="283" w:type="dxa"/>
          </w:tcPr>
          <w:p w14:paraId="69AFDE50" w14:textId="77777777" w:rsidR="00371CD3" w:rsidRPr="00BB3C18" w:rsidRDefault="00371CD3" w:rsidP="00371CD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1AF0873F" w14:textId="2F90AA3B" w:rsidR="00371CD3" w:rsidRDefault="00920A01" w:rsidP="00371CD3">
            <w:pPr>
              <w:spacing w:line="276" w:lineRule="auto"/>
              <w:jc w:val="right"/>
              <w:rPr>
                <w:rFonts w:asciiTheme="minorHAnsi" w:hAnsiTheme="minorHAnsi" w:cstheme="minorHAnsi"/>
                <w:b/>
                <w:sz w:val="20"/>
                <w:szCs w:val="20"/>
              </w:rPr>
            </w:pPr>
            <w:r>
              <w:rPr>
                <w:rFonts w:asciiTheme="minorHAnsi" w:hAnsiTheme="minorHAnsi" w:cstheme="minorHAnsi"/>
                <w:b/>
                <w:sz w:val="20"/>
                <w:szCs w:val="20"/>
              </w:rPr>
              <w:t>8,938,526</w:t>
            </w:r>
          </w:p>
        </w:tc>
        <w:tc>
          <w:tcPr>
            <w:tcW w:w="287" w:type="dxa"/>
          </w:tcPr>
          <w:p w14:paraId="188129BF" w14:textId="77777777" w:rsidR="00371CD3" w:rsidRPr="00BB3C18" w:rsidRDefault="00371CD3" w:rsidP="00371CD3">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2E2B3E28" w14:textId="0B154F4E" w:rsidR="00371CD3" w:rsidRDefault="00371CD3" w:rsidP="00371CD3">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8,330,469</w:t>
            </w:r>
          </w:p>
        </w:tc>
      </w:tr>
      <w:tr w:rsidR="00371CD3" w:rsidRPr="00BB3C18" w14:paraId="7C92C130" w14:textId="77777777" w:rsidTr="00453004">
        <w:trPr>
          <w:trHeight w:val="70"/>
        </w:trPr>
        <w:tc>
          <w:tcPr>
            <w:tcW w:w="3629" w:type="dxa"/>
            <w:gridSpan w:val="3"/>
          </w:tcPr>
          <w:p w14:paraId="7BFA90FB" w14:textId="54EF87E9" w:rsidR="00371CD3" w:rsidRPr="00BB3C18" w:rsidRDefault="00371CD3" w:rsidP="00371CD3">
            <w:pPr>
              <w:rPr>
                <w:rFonts w:asciiTheme="minorHAnsi" w:hAnsiTheme="minorHAnsi" w:cstheme="minorHAnsi"/>
                <w:b/>
                <w:sz w:val="20"/>
                <w:szCs w:val="20"/>
              </w:rPr>
            </w:pPr>
            <w:r w:rsidRPr="00BB3C18">
              <w:rPr>
                <w:rFonts w:asciiTheme="minorHAnsi" w:hAnsiTheme="minorHAnsi" w:cstheme="minorHAnsi"/>
                <w:b/>
                <w:sz w:val="20"/>
                <w:szCs w:val="20"/>
              </w:rPr>
              <w:t>Total liabilities</w:t>
            </w:r>
          </w:p>
        </w:tc>
        <w:tc>
          <w:tcPr>
            <w:tcW w:w="236" w:type="dxa"/>
          </w:tcPr>
          <w:p w14:paraId="5698EAEA" w14:textId="77777777" w:rsidR="00371CD3" w:rsidRPr="00BB3C18" w:rsidRDefault="00371CD3" w:rsidP="00371CD3">
            <w:pPr>
              <w:jc w:val="right"/>
              <w:rPr>
                <w:rFonts w:asciiTheme="minorHAnsi" w:hAnsiTheme="minorHAnsi" w:cstheme="minorHAnsi"/>
                <w:sz w:val="20"/>
                <w:szCs w:val="20"/>
              </w:rPr>
            </w:pPr>
          </w:p>
        </w:tc>
        <w:tc>
          <w:tcPr>
            <w:tcW w:w="702" w:type="dxa"/>
          </w:tcPr>
          <w:p w14:paraId="4378E50E" w14:textId="77777777" w:rsidR="00371CD3" w:rsidRPr="00BB3C18" w:rsidRDefault="00371CD3" w:rsidP="00371CD3">
            <w:pPr>
              <w:jc w:val="right"/>
              <w:rPr>
                <w:rFonts w:asciiTheme="minorHAnsi" w:hAnsiTheme="minorHAnsi" w:cstheme="minorHAnsi"/>
                <w:sz w:val="20"/>
                <w:szCs w:val="20"/>
              </w:rPr>
            </w:pPr>
          </w:p>
        </w:tc>
        <w:tc>
          <w:tcPr>
            <w:tcW w:w="249" w:type="dxa"/>
          </w:tcPr>
          <w:p w14:paraId="0FF81FF5" w14:textId="77777777" w:rsidR="00371CD3" w:rsidRPr="00BB3C18" w:rsidRDefault="00371CD3" w:rsidP="00371CD3">
            <w:pPr>
              <w:jc w:val="right"/>
              <w:rPr>
                <w:rFonts w:asciiTheme="minorHAnsi" w:hAnsiTheme="minorHAnsi" w:cstheme="minorHAnsi"/>
                <w:sz w:val="20"/>
                <w:szCs w:val="20"/>
              </w:rPr>
            </w:pPr>
          </w:p>
        </w:tc>
        <w:tc>
          <w:tcPr>
            <w:tcW w:w="1202" w:type="dxa"/>
          </w:tcPr>
          <w:p w14:paraId="3CEEB3A0" w14:textId="77777777" w:rsidR="00371CD3" w:rsidRPr="00BB3C18" w:rsidRDefault="00371CD3" w:rsidP="00371CD3">
            <w:pPr>
              <w:jc w:val="center"/>
              <w:rPr>
                <w:rFonts w:asciiTheme="minorHAnsi" w:hAnsiTheme="minorHAnsi" w:cstheme="minorHAnsi"/>
                <w:b/>
                <w:sz w:val="20"/>
                <w:szCs w:val="20"/>
              </w:rPr>
            </w:pPr>
          </w:p>
        </w:tc>
        <w:tc>
          <w:tcPr>
            <w:tcW w:w="236" w:type="dxa"/>
          </w:tcPr>
          <w:p w14:paraId="2C6DCEC1" w14:textId="77777777" w:rsidR="00371CD3" w:rsidRPr="00BB3C18" w:rsidRDefault="00371CD3" w:rsidP="00371CD3">
            <w:pPr>
              <w:jc w:val="center"/>
              <w:rPr>
                <w:rFonts w:asciiTheme="minorHAnsi" w:hAnsiTheme="minorHAnsi" w:cstheme="minorHAnsi"/>
                <w:sz w:val="20"/>
                <w:szCs w:val="20"/>
              </w:rPr>
            </w:pPr>
          </w:p>
        </w:tc>
        <w:tc>
          <w:tcPr>
            <w:tcW w:w="1082" w:type="dxa"/>
          </w:tcPr>
          <w:p w14:paraId="0BA17C7C" w14:textId="77777777" w:rsidR="00371CD3" w:rsidRPr="00BB3C18" w:rsidRDefault="00371CD3" w:rsidP="00371CD3">
            <w:pPr>
              <w:jc w:val="center"/>
              <w:rPr>
                <w:rFonts w:asciiTheme="minorHAnsi" w:hAnsiTheme="minorHAnsi" w:cstheme="minorHAnsi"/>
                <w:sz w:val="20"/>
                <w:szCs w:val="20"/>
              </w:rPr>
            </w:pPr>
          </w:p>
        </w:tc>
        <w:tc>
          <w:tcPr>
            <w:tcW w:w="283" w:type="dxa"/>
          </w:tcPr>
          <w:p w14:paraId="4D3167A1" w14:textId="77777777" w:rsidR="00371CD3" w:rsidRPr="00BB3C18" w:rsidRDefault="00371CD3" w:rsidP="00371CD3">
            <w:pPr>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7B61695F" w14:textId="49880459" w:rsidR="00371CD3" w:rsidRPr="007F4426" w:rsidRDefault="00371CD3" w:rsidP="00371CD3">
            <w:pPr>
              <w:jc w:val="right"/>
              <w:rPr>
                <w:rFonts w:asciiTheme="minorHAnsi" w:hAnsiTheme="minorHAnsi" w:cstheme="minorHAnsi"/>
                <w:b/>
                <w:sz w:val="20"/>
                <w:szCs w:val="20"/>
              </w:rPr>
            </w:pPr>
            <w:r>
              <w:rPr>
                <w:rFonts w:asciiTheme="minorHAnsi" w:hAnsiTheme="minorHAnsi" w:cstheme="minorHAnsi"/>
                <w:b/>
                <w:sz w:val="20"/>
                <w:szCs w:val="20"/>
              </w:rPr>
              <w:t>8,938,526</w:t>
            </w:r>
          </w:p>
        </w:tc>
        <w:tc>
          <w:tcPr>
            <w:tcW w:w="287" w:type="dxa"/>
          </w:tcPr>
          <w:p w14:paraId="63145234" w14:textId="77777777" w:rsidR="00371CD3" w:rsidRPr="00BB3C18" w:rsidRDefault="00371CD3" w:rsidP="00371CD3">
            <w:pPr>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1DA275ED" w14:textId="001FF4E2" w:rsidR="00371CD3" w:rsidRPr="00D43854" w:rsidRDefault="00371CD3" w:rsidP="00371CD3">
            <w:pPr>
              <w:jc w:val="right"/>
              <w:rPr>
                <w:rFonts w:asciiTheme="minorHAnsi" w:hAnsiTheme="minorHAnsi" w:cstheme="minorHAnsi"/>
                <w:bCs/>
                <w:sz w:val="20"/>
                <w:szCs w:val="20"/>
              </w:rPr>
            </w:pPr>
            <w:r>
              <w:rPr>
                <w:rFonts w:asciiTheme="minorHAnsi" w:hAnsiTheme="minorHAnsi" w:cstheme="minorHAnsi"/>
                <w:bCs/>
                <w:sz w:val="20"/>
                <w:szCs w:val="20"/>
              </w:rPr>
              <w:t>8,330,469</w:t>
            </w:r>
          </w:p>
        </w:tc>
      </w:tr>
      <w:tr w:rsidR="00371CD3" w:rsidRPr="00BB3C18" w14:paraId="0312F331" w14:textId="77777777" w:rsidTr="00453004">
        <w:trPr>
          <w:trHeight w:val="70"/>
        </w:trPr>
        <w:tc>
          <w:tcPr>
            <w:tcW w:w="3629" w:type="dxa"/>
            <w:gridSpan w:val="3"/>
          </w:tcPr>
          <w:p w14:paraId="0312F326" w14:textId="77777777" w:rsidR="00371CD3" w:rsidRPr="00BB3C18" w:rsidRDefault="00371CD3" w:rsidP="00371CD3">
            <w:pPr>
              <w:rPr>
                <w:rFonts w:asciiTheme="minorHAnsi" w:hAnsiTheme="minorHAnsi" w:cstheme="minorHAnsi"/>
                <w:sz w:val="20"/>
                <w:szCs w:val="20"/>
              </w:rPr>
            </w:pPr>
          </w:p>
        </w:tc>
        <w:tc>
          <w:tcPr>
            <w:tcW w:w="236" w:type="dxa"/>
          </w:tcPr>
          <w:p w14:paraId="0312F327" w14:textId="77777777" w:rsidR="00371CD3" w:rsidRPr="00BB3C18" w:rsidRDefault="00371CD3" w:rsidP="00371CD3">
            <w:pPr>
              <w:jc w:val="right"/>
              <w:rPr>
                <w:rFonts w:asciiTheme="minorHAnsi" w:hAnsiTheme="minorHAnsi" w:cstheme="minorHAnsi"/>
                <w:sz w:val="20"/>
                <w:szCs w:val="20"/>
              </w:rPr>
            </w:pPr>
          </w:p>
        </w:tc>
        <w:tc>
          <w:tcPr>
            <w:tcW w:w="702" w:type="dxa"/>
          </w:tcPr>
          <w:p w14:paraId="0312F328" w14:textId="77777777" w:rsidR="00371CD3" w:rsidRPr="00BB3C18" w:rsidRDefault="00371CD3" w:rsidP="00371CD3">
            <w:pPr>
              <w:jc w:val="right"/>
              <w:rPr>
                <w:rFonts w:asciiTheme="minorHAnsi" w:hAnsiTheme="minorHAnsi" w:cstheme="minorHAnsi"/>
                <w:sz w:val="20"/>
                <w:szCs w:val="20"/>
              </w:rPr>
            </w:pPr>
          </w:p>
        </w:tc>
        <w:tc>
          <w:tcPr>
            <w:tcW w:w="249" w:type="dxa"/>
          </w:tcPr>
          <w:p w14:paraId="0312F329" w14:textId="77777777" w:rsidR="00371CD3" w:rsidRPr="00BB3C18" w:rsidRDefault="00371CD3" w:rsidP="00371CD3">
            <w:pPr>
              <w:jc w:val="right"/>
              <w:rPr>
                <w:rFonts w:asciiTheme="minorHAnsi" w:hAnsiTheme="minorHAnsi" w:cstheme="minorHAnsi"/>
                <w:sz w:val="20"/>
                <w:szCs w:val="20"/>
              </w:rPr>
            </w:pPr>
          </w:p>
        </w:tc>
        <w:tc>
          <w:tcPr>
            <w:tcW w:w="1202" w:type="dxa"/>
          </w:tcPr>
          <w:p w14:paraId="0312F32A" w14:textId="77777777" w:rsidR="00371CD3" w:rsidRPr="00BB3C18" w:rsidRDefault="00371CD3" w:rsidP="00371CD3">
            <w:pPr>
              <w:jc w:val="center"/>
              <w:rPr>
                <w:rFonts w:asciiTheme="minorHAnsi" w:hAnsiTheme="minorHAnsi" w:cstheme="minorHAnsi"/>
                <w:b/>
                <w:sz w:val="20"/>
                <w:szCs w:val="20"/>
              </w:rPr>
            </w:pPr>
          </w:p>
        </w:tc>
        <w:tc>
          <w:tcPr>
            <w:tcW w:w="236" w:type="dxa"/>
          </w:tcPr>
          <w:p w14:paraId="0312F32B" w14:textId="77777777" w:rsidR="00371CD3" w:rsidRPr="00BB3C18" w:rsidRDefault="00371CD3" w:rsidP="00371CD3">
            <w:pPr>
              <w:jc w:val="center"/>
              <w:rPr>
                <w:rFonts w:asciiTheme="minorHAnsi" w:hAnsiTheme="minorHAnsi" w:cstheme="minorHAnsi"/>
                <w:sz w:val="20"/>
                <w:szCs w:val="20"/>
              </w:rPr>
            </w:pPr>
          </w:p>
        </w:tc>
        <w:tc>
          <w:tcPr>
            <w:tcW w:w="1082" w:type="dxa"/>
          </w:tcPr>
          <w:p w14:paraId="0312F32C" w14:textId="77777777" w:rsidR="00371CD3" w:rsidRPr="00BB3C18" w:rsidRDefault="00371CD3" w:rsidP="00371CD3">
            <w:pPr>
              <w:jc w:val="center"/>
              <w:rPr>
                <w:rFonts w:asciiTheme="minorHAnsi" w:hAnsiTheme="minorHAnsi" w:cstheme="minorHAnsi"/>
                <w:sz w:val="20"/>
                <w:szCs w:val="20"/>
              </w:rPr>
            </w:pPr>
          </w:p>
        </w:tc>
        <w:tc>
          <w:tcPr>
            <w:tcW w:w="283" w:type="dxa"/>
          </w:tcPr>
          <w:p w14:paraId="0312F32D" w14:textId="77777777" w:rsidR="00371CD3" w:rsidRPr="00BB3C18" w:rsidRDefault="00371CD3" w:rsidP="00371CD3">
            <w:pPr>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0312F32E" w14:textId="77777777" w:rsidR="00371CD3" w:rsidRPr="007F4426" w:rsidRDefault="00371CD3" w:rsidP="00371CD3">
            <w:pPr>
              <w:jc w:val="right"/>
              <w:rPr>
                <w:rFonts w:asciiTheme="minorHAnsi" w:hAnsiTheme="minorHAnsi" w:cstheme="minorHAnsi"/>
                <w:b/>
                <w:sz w:val="20"/>
                <w:szCs w:val="20"/>
              </w:rPr>
            </w:pPr>
          </w:p>
        </w:tc>
        <w:tc>
          <w:tcPr>
            <w:tcW w:w="287" w:type="dxa"/>
          </w:tcPr>
          <w:p w14:paraId="0312F32F" w14:textId="77777777" w:rsidR="00371CD3" w:rsidRPr="00BB3C18" w:rsidRDefault="00371CD3" w:rsidP="00371CD3">
            <w:pPr>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0312F330" w14:textId="77777777" w:rsidR="00371CD3" w:rsidRPr="00D43854" w:rsidRDefault="00371CD3" w:rsidP="00371CD3">
            <w:pPr>
              <w:jc w:val="right"/>
              <w:rPr>
                <w:rFonts w:asciiTheme="minorHAnsi" w:hAnsiTheme="minorHAnsi" w:cstheme="minorHAnsi"/>
                <w:bCs/>
                <w:sz w:val="20"/>
                <w:szCs w:val="20"/>
              </w:rPr>
            </w:pPr>
          </w:p>
        </w:tc>
      </w:tr>
      <w:tr w:rsidR="00371CD3" w:rsidRPr="00BB3C18" w14:paraId="0312F33D" w14:textId="77777777" w:rsidTr="00453004">
        <w:tc>
          <w:tcPr>
            <w:tcW w:w="3629" w:type="dxa"/>
            <w:gridSpan w:val="3"/>
          </w:tcPr>
          <w:p w14:paraId="0312F332" w14:textId="6872E7D7" w:rsidR="00CB78D3" w:rsidRPr="00BB3C18" w:rsidRDefault="00371CD3" w:rsidP="00371CD3">
            <w:pPr>
              <w:rPr>
                <w:rFonts w:asciiTheme="minorHAnsi" w:hAnsiTheme="minorHAnsi" w:cstheme="minorHAnsi"/>
                <w:b/>
                <w:sz w:val="20"/>
                <w:szCs w:val="20"/>
              </w:rPr>
            </w:pPr>
            <w:r w:rsidRPr="00BB3C18">
              <w:rPr>
                <w:rFonts w:asciiTheme="minorHAnsi" w:hAnsiTheme="minorHAnsi" w:cstheme="minorHAnsi"/>
                <w:b/>
                <w:sz w:val="20"/>
                <w:szCs w:val="20"/>
              </w:rPr>
              <w:t>Total equity and liabilities</w:t>
            </w:r>
          </w:p>
        </w:tc>
        <w:tc>
          <w:tcPr>
            <w:tcW w:w="236" w:type="dxa"/>
          </w:tcPr>
          <w:p w14:paraId="0312F333" w14:textId="77777777" w:rsidR="00371CD3" w:rsidRPr="00BB3C18" w:rsidRDefault="00371CD3" w:rsidP="00371CD3">
            <w:pPr>
              <w:jc w:val="right"/>
              <w:rPr>
                <w:rFonts w:asciiTheme="minorHAnsi" w:hAnsiTheme="minorHAnsi" w:cstheme="minorHAnsi"/>
                <w:sz w:val="20"/>
                <w:szCs w:val="20"/>
              </w:rPr>
            </w:pPr>
          </w:p>
        </w:tc>
        <w:tc>
          <w:tcPr>
            <w:tcW w:w="702" w:type="dxa"/>
          </w:tcPr>
          <w:p w14:paraId="0312F334" w14:textId="77777777" w:rsidR="00371CD3" w:rsidRPr="00BB3C18" w:rsidRDefault="00371CD3" w:rsidP="00371CD3">
            <w:pPr>
              <w:jc w:val="right"/>
              <w:rPr>
                <w:rFonts w:asciiTheme="minorHAnsi" w:hAnsiTheme="minorHAnsi" w:cstheme="minorHAnsi"/>
                <w:sz w:val="20"/>
                <w:szCs w:val="20"/>
              </w:rPr>
            </w:pPr>
          </w:p>
        </w:tc>
        <w:tc>
          <w:tcPr>
            <w:tcW w:w="249" w:type="dxa"/>
          </w:tcPr>
          <w:p w14:paraId="0312F335" w14:textId="77777777" w:rsidR="00371CD3" w:rsidRPr="00BB3C18" w:rsidRDefault="00371CD3" w:rsidP="00371CD3">
            <w:pPr>
              <w:jc w:val="right"/>
              <w:rPr>
                <w:rFonts w:asciiTheme="minorHAnsi" w:hAnsiTheme="minorHAnsi" w:cstheme="minorHAnsi"/>
                <w:sz w:val="20"/>
                <w:szCs w:val="20"/>
              </w:rPr>
            </w:pPr>
          </w:p>
        </w:tc>
        <w:tc>
          <w:tcPr>
            <w:tcW w:w="1202" w:type="dxa"/>
          </w:tcPr>
          <w:p w14:paraId="0312F336" w14:textId="77777777" w:rsidR="00371CD3" w:rsidRPr="00BB3C18" w:rsidRDefault="00371CD3" w:rsidP="00371CD3">
            <w:pPr>
              <w:jc w:val="center"/>
              <w:rPr>
                <w:rFonts w:asciiTheme="minorHAnsi" w:hAnsiTheme="minorHAnsi" w:cstheme="minorHAnsi"/>
                <w:b/>
                <w:sz w:val="20"/>
                <w:szCs w:val="20"/>
              </w:rPr>
            </w:pPr>
          </w:p>
        </w:tc>
        <w:tc>
          <w:tcPr>
            <w:tcW w:w="236" w:type="dxa"/>
          </w:tcPr>
          <w:p w14:paraId="0312F337" w14:textId="77777777" w:rsidR="00371CD3" w:rsidRPr="00BB3C18" w:rsidRDefault="00371CD3" w:rsidP="00371CD3">
            <w:pPr>
              <w:jc w:val="center"/>
              <w:rPr>
                <w:rFonts w:asciiTheme="minorHAnsi" w:hAnsiTheme="minorHAnsi" w:cstheme="minorHAnsi"/>
                <w:sz w:val="20"/>
                <w:szCs w:val="20"/>
              </w:rPr>
            </w:pPr>
          </w:p>
        </w:tc>
        <w:tc>
          <w:tcPr>
            <w:tcW w:w="1082" w:type="dxa"/>
            <w:tcBorders>
              <w:bottom w:val="nil"/>
            </w:tcBorders>
          </w:tcPr>
          <w:p w14:paraId="0312F338" w14:textId="77777777" w:rsidR="00371CD3" w:rsidRPr="00BB3C18" w:rsidRDefault="00371CD3" w:rsidP="00371CD3">
            <w:pPr>
              <w:jc w:val="center"/>
              <w:rPr>
                <w:rFonts w:asciiTheme="minorHAnsi" w:hAnsiTheme="minorHAnsi" w:cstheme="minorHAnsi"/>
                <w:sz w:val="20"/>
                <w:szCs w:val="20"/>
              </w:rPr>
            </w:pPr>
          </w:p>
        </w:tc>
        <w:tc>
          <w:tcPr>
            <w:tcW w:w="283" w:type="dxa"/>
          </w:tcPr>
          <w:p w14:paraId="0312F339" w14:textId="77777777" w:rsidR="00371CD3" w:rsidRPr="00BB3C18" w:rsidRDefault="00371CD3" w:rsidP="00371CD3">
            <w:pPr>
              <w:jc w:val="right"/>
              <w:rPr>
                <w:rFonts w:asciiTheme="minorHAnsi" w:hAnsiTheme="minorHAnsi" w:cstheme="minorHAnsi"/>
                <w:sz w:val="20"/>
                <w:szCs w:val="20"/>
              </w:rPr>
            </w:pPr>
          </w:p>
        </w:tc>
        <w:tc>
          <w:tcPr>
            <w:tcW w:w="1275" w:type="dxa"/>
            <w:tcBorders>
              <w:top w:val="single" w:sz="4" w:space="0" w:color="auto"/>
              <w:bottom w:val="double" w:sz="4" w:space="0" w:color="auto"/>
            </w:tcBorders>
          </w:tcPr>
          <w:p w14:paraId="0312F33A" w14:textId="0A8FC095" w:rsidR="00371CD3" w:rsidRPr="007F4426" w:rsidRDefault="001A257F" w:rsidP="00371CD3">
            <w:pPr>
              <w:jc w:val="right"/>
              <w:rPr>
                <w:rFonts w:asciiTheme="minorHAnsi" w:hAnsiTheme="minorHAnsi" w:cstheme="minorHAnsi"/>
                <w:b/>
                <w:sz w:val="20"/>
                <w:szCs w:val="20"/>
              </w:rPr>
            </w:pPr>
            <w:r>
              <w:rPr>
                <w:rFonts w:asciiTheme="minorHAnsi" w:hAnsiTheme="minorHAnsi" w:cstheme="minorHAnsi"/>
                <w:b/>
                <w:sz w:val="20"/>
                <w:szCs w:val="20"/>
              </w:rPr>
              <w:t>6</w:t>
            </w:r>
          </w:p>
        </w:tc>
        <w:tc>
          <w:tcPr>
            <w:tcW w:w="287" w:type="dxa"/>
          </w:tcPr>
          <w:p w14:paraId="0312F33B" w14:textId="77777777" w:rsidR="00371CD3" w:rsidRPr="00BB3C18" w:rsidRDefault="00371CD3" w:rsidP="00371CD3">
            <w:pPr>
              <w:jc w:val="right"/>
              <w:rPr>
                <w:rFonts w:asciiTheme="minorHAnsi" w:hAnsiTheme="minorHAnsi" w:cstheme="minorHAnsi"/>
                <w:b/>
                <w:sz w:val="20"/>
                <w:szCs w:val="20"/>
              </w:rPr>
            </w:pPr>
          </w:p>
        </w:tc>
        <w:tc>
          <w:tcPr>
            <w:tcW w:w="1275" w:type="dxa"/>
            <w:tcBorders>
              <w:top w:val="single" w:sz="4" w:space="0" w:color="auto"/>
              <w:bottom w:val="double" w:sz="4" w:space="0" w:color="auto"/>
            </w:tcBorders>
          </w:tcPr>
          <w:p w14:paraId="0312F33C" w14:textId="2089438C" w:rsidR="00371CD3" w:rsidRPr="00D43854" w:rsidRDefault="00371CD3" w:rsidP="00371CD3">
            <w:pPr>
              <w:jc w:val="right"/>
              <w:rPr>
                <w:rFonts w:asciiTheme="minorHAnsi" w:hAnsiTheme="minorHAnsi" w:cstheme="minorHAnsi"/>
                <w:bCs/>
                <w:sz w:val="20"/>
                <w:szCs w:val="20"/>
              </w:rPr>
            </w:pPr>
            <w:r>
              <w:rPr>
                <w:rFonts w:asciiTheme="minorHAnsi" w:hAnsiTheme="minorHAnsi" w:cstheme="minorHAnsi"/>
                <w:bCs/>
                <w:sz w:val="20"/>
                <w:szCs w:val="20"/>
              </w:rPr>
              <w:t>154,056</w:t>
            </w:r>
          </w:p>
        </w:tc>
      </w:tr>
    </w:tbl>
    <w:p w14:paraId="0312F33E" w14:textId="77777777" w:rsidR="005B7F66" w:rsidRPr="00BB3C18" w:rsidRDefault="005B7F66" w:rsidP="005F6429">
      <w:pPr>
        <w:rPr>
          <w:rFonts w:asciiTheme="minorHAnsi" w:hAnsiTheme="minorHAnsi" w:cstheme="minorHAnsi"/>
          <w:sz w:val="20"/>
          <w:szCs w:val="20"/>
        </w:rPr>
      </w:pPr>
    </w:p>
    <w:bookmarkEnd w:id="1"/>
    <w:p w14:paraId="6070212E" w14:textId="77777777" w:rsidR="00CB78D3" w:rsidRDefault="00CB78D3" w:rsidP="002E7523">
      <w:pPr>
        <w:spacing w:line="276" w:lineRule="auto"/>
        <w:jc w:val="both"/>
        <w:rPr>
          <w:rFonts w:asciiTheme="minorHAnsi" w:hAnsiTheme="minorHAnsi" w:cstheme="minorHAnsi"/>
          <w:sz w:val="20"/>
          <w:szCs w:val="20"/>
        </w:rPr>
      </w:pPr>
    </w:p>
    <w:p w14:paraId="0312F33F" w14:textId="772454A7" w:rsidR="005B7F66" w:rsidRDefault="005B7F66" w:rsidP="002E7523">
      <w:pPr>
        <w:spacing w:line="276" w:lineRule="auto"/>
        <w:jc w:val="both"/>
        <w:rPr>
          <w:rFonts w:asciiTheme="minorHAnsi" w:hAnsiTheme="minorHAnsi" w:cstheme="minorHAnsi"/>
          <w:sz w:val="20"/>
          <w:szCs w:val="20"/>
        </w:rPr>
      </w:pPr>
      <w:r w:rsidRPr="00BB3C18">
        <w:rPr>
          <w:rFonts w:asciiTheme="minorHAnsi" w:hAnsiTheme="minorHAnsi" w:cstheme="minorHAnsi"/>
          <w:sz w:val="20"/>
          <w:szCs w:val="20"/>
        </w:rPr>
        <w:t xml:space="preserve">The financial statements of </w:t>
      </w:r>
      <w:r w:rsidR="0092119B" w:rsidRPr="00BB3C18">
        <w:rPr>
          <w:rFonts w:asciiTheme="minorHAnsi" w:hAnsiTheme="minorHAnsi" w:cstheme="minorHAnsi"/>
          <w:sz w:val="20"/>
          <w:szCs w:val="20"/>
        </w:rPr>
        <w:t>Iconic Labs</w:t>
      </w:r>
      <w:r w:rsidR="005161B2" w:rsidRPr="00BB3C18">
        <w:rPr>
          <w:rFonts w:asciiTheme="minorHAnsi" w:hAnsiTheme="minorHAnsi" w:cstheme="minorHAnsi"/>
          <w:sz w:val="20"/>
          <w:szCs w:val="20"/>
        </w:rPr>
        <w:t xml:space="preserve"> </w:t>
      </w:r>
      <w:r w:rsidR="0092119B" w:rsidRPr="00BB3C18">
        <w:rPr>
          <w:rFonts w:asciiTheme="minorHAnsi" w:hAnsiTheme="minorHAnsi" w:cstheme="minorHAnsi"/>
          <w:sz w:val="20"/>
          <w:szCs w:val="20"/>
        </w:rPr>
        <w:t>plc</w:t>
      </w:r>
      <w:r w:rsidR="00306E0E" w:rsidRPr="00BB3C18">
        <w:rPr>
          <w:rFonts w:asciiTheme="minorHAnsi" w:hAnsiTheme="minorHAnsi" w:cstheme="minorHAnsi"/>
          <w:sz w:val="20"/>
          <w:szCs w:val="20"/>
        </w:rPr>
        <w:t xml:space="preserve"> </w:t>
      </w:r>
      <w:r w:rsidRPr="00BB3C18">
        <w:rPr>
          <w:rFonts w:asciiTheme="minorHAnsi" w:hAnsiTheme="minorHAnsi" w:cstheme="minorHAnsi"/>
          <w:sz w:val="20"/>
          <w:szCs w:val="20"/>
        </w:rPr>
        <w:t xml:space="preserve">were approved by the Board and authorised for issue </w:t>
      </w:r>
      <w:r w:rsidRPr="007B6961">
        <w:rPr>
          <w:rFonts w:asciiTheme="minorHAnsi" w:hAnsiTheme="minorHAnsi" w:cstheme="minorHAnsi"/>
          <w:sz w:val="20"/>
          <w:szCs w:val="20"/>
        </w:rPr>
        <w:t>on</w:t>
      </w:r>
      <w:r w:rsidR="004C40BA">
        <w:rPr>
          <w:rFonts w:asciiTheme="minorHAnsi" w:hAnsiTheme="minorHAnsi" w:cstheme="minorHAnsi"/>
          <w:sz w:val="20"/>
          <w:szCs w:val="20"/>
        </w:rPr>
        <w:t xml:space="preserve"> 27 December 2022.  </w:t>
      </w:r>
      <w:r w:rsidRPr="00BB3C18">
        <w:rPr>
          <w:rFonts w:asciiTheme="minorHAnsi" w:hAnsiTheme="minorHAnsi" w:cstheme="minorHAnsi"/>
          <w:sz w:val="20"/>
          <w:szCs w:val="20"/>
        </w:rPr>
        <w:t>They were signed on its behalf by:</w:t>
      </w:r>
    </w:p>
    <w:p w14:paraId="47D076DD" w14:textId="236CE137" w:rsidR="004C40BA" w:rsidRDefault="004C40BA" w:rsidP="002E7523">
      <w:pPr>
        <w:spacing w:line="276" w:lineRule="auto"/>
        <w:jc w:val="both"/>
        <w:rPr>
          <w:rFonts w:asciiTheme="minorHAnsi" w:hAnsiTheme="minorHAnsi" w:cstheme="minorHAnsi"/>
          <w:sz w:val="20"/>
          <w:szCs w:val="20"/>
        </w:rPr>
      </w:pPr>
    </w:p>
    <w:p w14:paraId="2308C829" w14:textId="1B3C5EDC" w:rsidR="004C40BA" w:rsidRDefault="004C40BA" w:rsidP="002E7523">
      <w:pPr>
        <w:spacing w:line="276" w:lineRule="auto"/>
        <w:jc w:val="both"/>
        <w:rPr>
          <w:rFonts w:asciiTheme="minorHAnsi" w:hAnsiTheme="minorHAnsi" w:cstheme="minorHAnsi"/>
          <w:sz w:val="20"/>
          <w:szCs w:val="20"/>
        </w:rPr>
      </w:pPr>
    </w:p>
    <w:p w14:paraId="760FE82C" w14:textId="4CFE6322" w:rsidR="004C40BA" w:rsidRPr="00BB3C18" w:rsidRDefault="004C40BA" w:rsidP="002E7523">
      <w:pPr>
        <w:spacing w:line="276" w:lineRule="auto"/>
        <w:jc w:val="both"/>
        <w:rPr>
          <w:rFonts w:asciiTheme="minorHAnsi" w:hAnsiTheme="minorHAnsi" w:cstheme="minorHAnsi"/>
          <w:sz w:val="20"/>
          <w:szCs w:val="20"/>
        </w:rPr>
      </w:pPr>
    </w:p>
    <w:p w14:paraId="0312F340" w14:textId="1347E009" w:rsidR="005B7F66" w:rsidRPr="00BB3C18" w:rsidRDefault="005B7F66" w:rsidP="005F6429">
      <w:pPr>
        <w:rPr>
          <w:rFonts w:asciiTheme="minorHAnsi" w:hAnsiTheme="minorHAnsi" w:cstheme="minorHAnsi"/>
          <w:sz w:val="20"/>
          <w:szCs w:val="20"/>
        </w:rPr>
      </w:pPr>
    </w:p>
    <w:p w14:paraId="743DBB4E" w14:textId="1852F636" w:rsidR="00BD096E" w:rsidRPr="00BB3C18" w:rsidRDefault="00BD096E" w:rsidP="005F6429">
      <w:pPr>
        <w:rPr>
          <w:rFonts w:asciiTheme="minorHAnsi" w:hAnsiTheme="minorHAnsi" w:cstheme="minorHAnsi"/>
          <w:sz w:val="20"/>
          <w:szCs w:val="20"/>
        </w:rPr>
      </w:pPr>
    </w:p>
    <w:p w14:paraId="0312F341" w14:textId="77777777" w:rsidR="005B7F66" w:rsidRPr="00BB3C18" w:rsidRDefault="005B7F66" w:rsidP="005F6429">
      <w:pPr>
        <w:rPr>
          <w:rFonts w:asciiTheme="minorHAnsi" w:hAnsiTheme="minorHAnsi" w:cstheme="minorHAnsi"/>
          <w:sz w:val="20"/>
          <w:szCs w:val="20"/>
        </w:rPr>
      </w:pPr>
    </w:p>
    <w:p w14:paraId="0312F342" w14:textId="0FCC5D35" w:rsidR="005B7F66" w:rsidRPr="00BB3C18" w:rsidRDefault="002F1271" w:rsidP="005F6429">
      <w:pPr>
        <w:rPr>
          <w:rFonts w:asciiTheme="minorHAnsi" w:hAnsiTheme="minorHAnsi" w:cstheme="minorHAnsi"/>
          <w:sz w:val="20"/>
          <w:szCs w:val="20"/>
        </w:rPr>
      </w:pPr>
      <w:r w:rsidRPr="00BB3C18">
        <w:rPr>
          <w:rFonts w:asciiTheme="minorHAnsi" w:hAnsiTheme="minorHAnsi" w:cstheme="minorHAnsi"/>
          <w:sz w:val="20"/>
          <w:szCs w:val="20"/>
        </w:rPr>
        <w:t>………………………………………</w:t>
      </w:r>
    </w:p>
    <w:p w14:paraId="2E2080B0" w14:textId="7F52816E" w:rsidR="002F1271" w:rsidRPr="00DE50E4" w:rsidRDefault="00984FE0" w:rsidP="005F6429">
      <w:pPr>
        <w:rPr>
          <w:rFonts w:asciiTheme="minorHAnsi" w:hAnsiTheme="minorHAnsi" w:cstheme="minorHAnsi"/>
          <w:b/>
          <w:bCs/>
          <w:sz w:val="20"/>
          <w:szCs w:val="20"/>
        </w:rPr>
      </w:pPr>
      <w:r w:rsidRPr="00DE50E4">
        <w:rPr>
          <w:rFonts w:asciiTheme="minorHAnsi" w:hAnsiTheme="minorHAnsi" w:cstheme="minorHAnsi"/>
          <w:b/>
          <w:bCs/>
          <w:sz w:val="20"/>
          <w:szCs w:val="20"/>
        </w:rPr>
        <w:t>B</w:t>
      </w:r>
      <w:r w:rsidR="004C40BA">
        <w:rPr>
          <w:rFonts w:asciiTheme="minorHAnsi" w:hAnsiTheme="minorHAnsi" w:cstheme="minorHAnsi"/>
          <w:b/>
          <w:bCs/>
          <w:sz w:val="20"/>
          <w:szCs w:val="20"/>
        </w:rPr>
        <w:t>rad</w:t>
      </w:r>
      <w:r w:rsidRPr="00DE50E4">
        <w:rPr>
          <w:rFonts w:asciiTheme="minorHAnsi" w:hAnsiTheme="minorHAnsi" w:cstheme="minorHAnsi"/>
          <w:b/>
          <w:bCs/>
          <w:sz w:val="20"/>
          <w:szCs w:val="20"/>
        </w:rPr>
        <w:t xml:space="preserve"> Taylor </w:t>
      </w:r>
    </w:p>
    <w:p w14:paraId="0312F347" w14:textId="7AD6E966" w:rsidR="00E817B5" w:rsidRPr="00BB3C18" w:rsidRDefault="005B7F66" w:rsidP="005F6429">
      <w:pPr>
        <w:rPr>
          <w:rFonts w:asciiTheme="minorHAnsi" w:hAnsiTheme="minorHAnsi" w:cstheme="minorHAnsi"/>
        </w:rPr>
      </w:pPr>
      <w:r w:rsidRPr="00BB3C18">
        <w:rPr>
          <w:rFonts w:asciiTheme="minorHAnsi" w:hAnsiTheme="minorHAnsi" w:cstheme="minorHAnsi"/>
          <w:sz w:val="20"/>
          <w:szCs w:val="20"/>
        </w:rPr>
        <w:t>Director</w:t>
      </w:r>
    </w:p>
    <w:p w14:paraId="0312F348" w14:textId="77777777" w:rsidR="00E817B5" w:rsidRPr="00BB3C18" w:rsidRDefault="00E817B5" w:rsidP="005F6429">
      <w:pPr>
        <w:rPr>
          <w:rFonts w:asciiTheme="minorHAnsi" w:hAnsiTheme="minorHAnsi" w:cstheme="minorHAnsi"/>
          <w:b/>
          <w:color w:val="FF0000"/>
        </w:rPr>
        <w:sectPr w:rsidR="00E817B5" w:rsidRPr="00BB3C18" w:rsidSect="00DB7416">
          <w:headerReference w:type="even" r:id="rId58"/>
          <w:headerReference w:type="default" r:id="rId59"/>
          <w:headerReference w:type="first" r:id="rId60"/>
          <w:pgSz w:w="11906" w:h="16838"/>
          <w:pgMar w:top="720" w:right="720" w:bottom="720" w:left="720" w:header="708" w:footer="708" w:gutter="0"/>
          <w:cols w:space="708"/>
          <w:docGrid w:linePitch="360"/>
        </w:sectPr>
      </w:pPr>
    </w:p>
    <w:tbl>
      <w:tblPr>
        <w:tblW w:w="10490" w:type="dxa"/>
        <w:tblLayout w:type="fixed"/>
        <w:tblLook w:val="00A0" w:firstRow="1" w:lastRow="0" w:firstColumn="1" w:lastColumn="0" w:noHBand="0" w:noVBand="0"/>
      </w:tblPr>
      <w:tblGrid>
        <w:gridCol w:w="5245"/>
        <w:gridCol w:w="1418"/>
        <w:gridCol w:w="1275"/>
        <w:gridCol w:w="1276"/>
        <w:gridCol w:w="1276"/>
      </w:tblGrid>
      <w:tr w:rsidR="008B0C2A" w:rsidRPr="00BB3C18" w14:paraId="0312F359" w14:textId="77777777" w:rsidTr="008B0C2A">
        <w:tc>
          <w:tcPr>
            <w:tcW w:w="5245" w:type="dxa"/>
          </w:tcPr>
          <w:p w14:paraId="0312F34C" w14:textId="77777777" w:rsidR="008B0C2A" w:rsidRPr="00BB3C18" w:rsidRDefault="008B0C2A" w:rsidP="00FB687E">
            <w:pPr>
              <w:jc w:val="right"/>
              <w:rPr>
                <w:rFonts w:asciiTheme="minorHAnsi" w:hAnsiTheme="minorHAnsi" w:cstheme="minorHAnsi"/>
                <w:sz w:val="18"/>
                <w:szCs w:val="18"/>
              </w:rPr>
            </w:pPr>
          </w:p>
        </w:tc>
        <w:tc>
          <w:tcPr>
            <w:tcW w:w="1418" w:type="dxa"/>
          </w:tcPr>
          <w:p w14:paraId="39C7E5A0" w14:textId="77777777" w:rsidR="008B0C2A" w:rsidRPr="00BB3C18" w:rsidRDefault="008B0C2A" w:rsidP="00FB687E">
            <w:pPr>
              <w:jc w:val="right"/>
              <w:rPr>
                <w:rFonts w:asciiTheme="minorHAnsi" w:hAnsiTheme="minorHAnsi" w:cstheme="minorHAnsi"/>
                <w:b/>
                <w:sz w:val="18"/>
                <w:szCs w:val="18"/>
              </w:rPr>
            </w:pPr>
          </w:p>
          <w:p w14:paraId="39086A83" w14:textId="77777777" w:rsidR="008B0C2A" w:rsidRPr="00BB3C18" w:rsidRDefault="008B0C2A" w:rsidP="00FB687E">
            <w:pPr>
              <w:jc w:val="right"/>
              <w:rPr>
                <w:rFonts w:asciiTheme="minorHAnsi" w:hAnsiTheme="minorHAnsi" w:cstheme="minorHAnsi"/>
                <w:b/>
                <w:sz w:val="18"/>
                <w:szCs w:val="18"/>
              </w:rPr>
            </w:pPr>
          </w:p>
          <w:p w14:paraId="0312F34E" w14:textId="44C0F1C8" w:rsidR="008B0C2A" w:rsidRPr="00BB3C18" w:rsidRDefault="008B0C2A" w:rsidP="00FB687E">
            <w:pPr>
              <w:jc w:val="right"/>
              <w:rPr>
                <w:rFonts w:asciiTheme="minorHAnsi" w:hAnsiTheme="minorHAnsi" w:cstheme="minorHAnsi"/>
                <w:b/>
                <w:sz w:val="18"/>
                <w:szCs w:val="18"/>
              </w:rPr>
            </w:pPr>
            <w:r w:rsidRPr="00BB3C18">
              <w:rPr>
                <w:rFonts w:asciiTheme="minorHAnsi" w:hAnsiTheme="minorHAnsi" w:cstheme="minorHAnsi"/>
                <w:b/>
                <w:sz w:val="18"/>
                <w:szCs w:val="18"/>
              </w:rPr>
              <w:t>Share</w:t>
            </w:r>
            <w:r w:rsidRPr="00BB3C18">
              <w:rPr>
                <w:rFonts w:asciiTheme="minorHAnsi" w:hAnsiTheme="minorHAnsi" w:cstheme="minorHAnsi"/>
                <w:b/>
                <w:sz w:val="18"/>
                <w:szCs w:val="18"/>
              </w:rPr>
              <w:br/>
              <w:t>capital</w:t>
            </w:r>
            <w:r w:rsidRPr="00BB3C18">
              <w:rPr>
                <w:rFonts w:asciiTheme="minorHAnsi" w:hAnsiTheme="minorHAnsi" w:cstheme="minorHAnsi"/>
                <w:b/>
                <w:sz w:val="18"/>
                <w:szCs w:val="18"/>
              </w:rPr>
              <w:br/>
              <w:t>£</w:t>
            </w:r>
          </w:p>
        </w:tc>
        <w:tc>
          <w:tcPr>
            <w:tcW w:w="1275" w:type="dxa"/>
          </w:tcPr>
          <w:p w14:paraId="59181884" w14:textId="77777777" w:rsidR="008B0C2A" w:rsidRPr="00BB3C18" w:rsidRDefault="008B0C2A" w:rsidP="00FB687E">
            <w:pPr>
              <w:jc w:val="right"/>
              <w:rPr>
                <w:rFonts w:asciiTheme="minorHAnsi" w:hAnsiTheme="minorHAnsi" w:cstheme="minorHAnsi"/>
                <w:b/>
                <w:sz w:val="18"/>
                <w:szCs w:val="18"/>
              </w:rPr>
            </w:pPr>
          </w:p>
          <w:p w14:paraId="7452099F" w14:textId="77777777" w:rsidR="008B0C2A" w:rsidRPr="00BB3C18" w:rsidRDefault="008B0C2A" w:rsidP="00FB687E">
            <w:pPr>
              <w:jc w:val="right"/>
              <w:rPr>
                <w:rFonts w:asciiTheme="minorHAnsi" w:hAnsiTheme="minorHAnsi" w:cstheme="minorHAnsi"/>
                <w:b/>
                <w:sz w:val="18"/>
                <w:szCs w:val="18"/>
              </w:rPr>
            </w:pPr>
          </w:p>
          <w:p w14:paraId="0312F350" w14:textId="0C715EE4" w:rsidR="008B0C2A" w:rsidRPr="00BB3C18" w:rsidRDefault="008B0C2A" w:rsidP="00FB687E">
            <w:pPr>
              <w:jc w:val="right"/>
              <w:rPr>
                <w:rFonts w:asciiTheme="minorHAnsi" w:hAnsiTheme="minorHAnsi" w:cstheme="minorHAnsi"/>
                <w:b/>
                <w:sz w:val="18"/>
                <w:szCs w:val="18"/>
              </w:rPr>
            </w:pPr>
            <w:r w:rsidRPr="00BB3C18">
              <w:rPr>
                <w:rFonts w:asciiTheme="minorHAnsi" w:hAnsiTheme="minorHAnsi" w:cstheme="minorHAnsi"/>
                <w:b/>
                <w:sz w:val="18"/>
                <w:szCs w:val="18"/>
              </w:rPr>
              <w:t>Share premium</w:t>
            </w:r>
            <w:r w:rsidRPr="00BB3C18">
              <w:rPr>
                <w:rFonts w:asciiTheme="minorHAnsi" w:hAnsiTheme="minorHAnsi" w:cstheme="minorHAnsi"/>
                <w:b/>
                <w:sz w:val="18"/>
                <w:szCs w:val="18"/>
              </w:rPr>
              <w:br/>
              <w:t>£</w:t>
            </w:r>
          </w:p>
        </w:tc>
        <w:tc>
          <w:tcPr>
            <w:tcW w:w="1276" w:type="dxa"/>
          </w:tcPr>
          <w:p w14:paraId="344A8E02" w14:textId="77777777" w:rsidR="008B0C2A" w:rsidRPr="00BB3C18" w:rsidRDefault="008B0C2A" w:rsidP="00FB687E">
            <w:pPr>
              <w:jc w:val="right"/>
              <w:rPr>
                <w:rFonts w:asciiTheme="minorHAnsi" w:hAnsiTheme="minorHAnsi" w:cstheme="minorHAnsi"/>
                <w:b/>
                <w:sz w:val="18"/>
                <w:szCs w:val="18"/>
              </w:rPr>
            </w:pPr>
          </w:p>
          <w:p w14:paraId="6E7F71C0" w14:textId="77777777" w:rsidR="008B0C2A" w:rsidRPr="00BB3C18" w:rsidRDefault="008B0C2A" w:rsidP="00FB687E">
            <w:pPr>
              <w:jc w:val="right"/>
              <w:rPr>
                <w:rFonts w:asciiTheme="minorHAnsi" w:hAnsiTheme="minorHAnsi" w:cstheme="minorHAnsi"/>
                <w:b/>
                <w:sz w:val="18"/>
                <w:szCs w:val="18"/>
              </w:rPr>
            </w:pPr>
          </w:p>
          <w:p w14:paraId="6A236536" w14:textId="2B36C063" w:rsidR="008B0C2A" w:rsidRPr="00BB3C18" w:rsidRDefault="008B0C2A" w:rsidP="00FB687E">
            <w:pPr>
              <w:jc w:val="right"/>
              <w:rPr>
                <w:rFonts w:asciiTheme="minorHAnsi" w:hAnsiTheme="minorHAnsi" w:cstheme="minorHAnsi"/>
                <w:b/>
                <w:sz w:val="18"/>
                <w:szCs w:val="18"/>
              </w:rPr>
            </w:pPr>
            <w:r w:rsidRPr="00BB3C18">
              <w:rPr>
                <w:rFonts w:asciiTheme="minorHAnsi" w:hAnsiTheme="minorHAnsi" w:cstheme="minorHAnsi"/>
                <w:b/>
                <w:sz w:val="18"/>
                <w:szCs w:val="18"/>
              </w:rPr>
              <w:t xml:space="preserve">Retained deficit </w:t>
            </w:r>
          </w:p>
          <w:p w14:paraId="79419AA2" w14:textId="4EAD51AE" w:rsidR="008B0C2A" w:rsidRPr="00BB3C18" w:rsidRDefault="008B0C2A" w:rsidP="00FB687E">
            <w:pPr>
              <w:jc w:val="right"/>
              <w:rPr>
                <w:rFonts w:asciiTheme="minorHAnsi" w:hAnsiTheme="minorHAnsi" w:cstheme="minorHAnsi"/>
                <w:b/>
                <w:sz w:val="18"/>
                <w:szCs w:val="18"/>
              </w:rPr>
            </w:pPr>
            <w:r w:rsidRPr="00BB3C18">
              <w:rPr>
                <w:rFonts w:asciiTheme="minorHAnsi" w:hAnsiTheme="minorHAnsi" w:cstheme="minorHAnsi"/>
                <w:b/>
                <w:sz w:val="18"/>
                <w:szCs w:val="18"/>
              </w:rPr>
              <w:t>£</w:t>
            </w:r>
          </w:p>
        </w:tc>
        <w:tc>
          <w:tcPr>
            <w:tcW w:w="1276" w:type="dxa"/>
          </w:tcPr>
          <w:p w14:paraId="0312F357" w14:textId="2A3BC026" w:rsidR="008B0C2A" w:rsidRPr="00BB3C18" w:rsidRDefault="008B0C2A" w:rsidP="00FB687E">
            <w:pPr>
              <w:jc w:val="right"/>
              <w:rPr>
                <w:rFonts w:asciiTheme="minorHAnsi" w:hAnsiTheme="minorHAnsi" w:cstheme="minorHAnsi"/>
                <w:b/>
                <w:sz w:val="18"/>
                <w:szCs w:val="18"/>
              </w:rPr>
            </w:pPr>
          </w:p>
          <w:p w14:paraId="51472CC6" w14:textId="328D7FE6" w:rsidR="008B0C2A" w:rsidRPr="00BB3C18" w:rsidRDefault="008B0C2A" w:rsidP="00FB687E">
            <w:pPr>
              <w:jc w:val="right"/>
              <w:rPr>
                <w:rFonts w:asciiTheme="minorHAnsi" w:hAnsiTheme="minorHAnsi" w:cstheme="minorHAnsi"/>
                <w:b/>
                <w:sz w:val="18"/>
                <w:szCs w:val="18"/>
              </w:rPr>
            </w:pPr>
          </w:p>
          <w:p w14:paraId="6F7E9F70" w14:textId="77777777" w:rsidR="008B0C2A" w:rsidRPr="00BB3C18" w:rsidRDefault="008B0C2A" w:rsidP="00FB687E">
            <w:pPr>
              <w:jc w:val="right"/>
              <w:rPr>
                <w:rFonts w:asciiTheme="minorHAnsi" w:hAnsiTheme="minorHAnsi" w:cstheme="minorHAnsi"/>
                <w:b/>
                <w:sz w:val="18"/>
                <w:szCs w:val="18"/>
              </w:rPr>
            </w:pPr>
            <w:r w:rsidRPr="00BB3C18">
              <w:rPr>
                <w:rFonts w:asciiTheme="minorHAnsi" w:hAnsiTheme="minorHAnsi" w:cstheme="minorHAnsi"/>
                <w:b/>
                <w:sz w:val="18"/>
                <w:szCs w:val="18"/>
              </w:rPr>
              <w:t>Total</w:t>
            </w:r>
          </w:p>
          <w:p w14:paraId="0312F358" w14:textId="0335B87C" w:rsidR="008B0C2A" w:rsidRPr="00BB3C18" w:rsidRDefault="008B0C2A" w:rsidP="00FB687E">
            <w:pPr>
              <w:jc w:val="right"/>
              <w:rPr>
                <w:rFonts w:asciiTheme="minorHAnsi" w:hAnsiTheme="minorHAnsi" w:cstheme="minorHAnsi"/>
                <w:b/>
                <w:sz w:val="18"/>
                <w:szCs w:val="18"/>
              </w:rPr>
            </w:pPr>
            <w:r w:rsidRPr="00BB3C18">
              <w:rPr>
                <w:rFonts w:asciiTheme="minorHAnsi" w:hAnsiTheme="minorHAnsi" w:cstheme="minorHAnsi"/>
                <w:b/>
                <w:sz w:val="18"/>
                <w:szCs w:val="18"/>
              </w:rPr>
              <w:t>Equity</w:t>
            </w:r>
            <w:r w:rsidRPr="00BB3C18">
              <w:rPr>
                <w:rFonts w:asciiTheme="minorHAnsi" w:hAnsiTheme="minorHAnsi" w:cstheme="minorHAnsi"/>
                <w:b/>
                <w:sz w:val="18"/>
                <w:szCs w:val="18"/>
              </w:rPr>
              <w:br/>
              <w:t>£</w:t>
            </w:r>
          </w:p>
        </w:tc>
      </w:tr>
      <w:tr w:rsidR="008B0C2A" w:rsidRPr="00BB3C18" w14:paraId="0312F361" w14:textId="77777777" w:rsidTr="008B0C2A">
        <w:tc>
          <w:tcPr>
            <w:tcW w:w="5245" w:type="dxa"/>
          </w:tcPr>
          <w:p w14:paraId="0312F35A" w14:textId="77777777" w:rsidR="008B0C2A" w:rsidRPr="00BB3C18" w:rsidRDefault="008B0C2A" w:rsidP="00FB687E">
            <w:pPr>
              <w:rPr>
                <w:rFonts w:asciiTheme="minorHAnsi" w:hAnsiTheme="minorHAnsi" w:cstheme="minorHAnsi"/>
                <w:sz w:val="18"/>
                <w:szCs w:val="18"/>
              </w:rPr>
            </w:pPr>
          </w:p>
        </w:tc>
        <w:tc>
          <w:tcPr>
            <w:tcW w:w="1418" w:type="dxa"/>
          </w:tcPr>
          <w:p w14:paraId="0312F35B" w14:textId="77777777" w:rsidR="008B0C2A" w:rsidRPr="00BB3C18" w:rsidRDefault="008B0C2A" w:rsidP="00FB687E">
            <w:pPr>
              <w:jc w:val="right"/>
              <w:rPr>
                <w:rFonts w:asciiTheme="minorHAnsi" w:hAnsiTheme="minorHAnsi" w:cstheme="minorHAnsi"/>
                <w:sz w:val="18"/>
                <w:szCs w:val="18"/>
              </w:rPr>
            </w:pPr>
          </w:p>
        </w:tc>
        <w:tc>
          <w:tcPr>
            <w:tcW w:w="1275" w:type="dxa"/>
          </w:tcPr>
          <w:p w14:paraId="0312F35C" w14:textId="77777777" w:rsidR="008B0C2A" w:rsidRPr="00BB3C18" w:rsidRDefault="008B0C2A" w:rsidP="00FB687E">
            <w:pPr>
              <w:jc w:val="right"/>
              <w:rPr>
                <w:rFonts w:asciiTheme="minorHAnsi" w:hAnsiTheme="minorHAnsi" w:cstheme="minorHAnsi"/>
                <w:sz w:val="18"/>
                <w:szCs w:val="18"/>
              </w:rPr>
            </w:pPr>
          </w:p>
        </w:tc>
        <w:tc>
          <w:tcPr>
            <w:tcW w:w="1276" w:type="dxa"/>
          </w:tcPr>
          <w:p w14:paraId="067D80AF" w14:textId="77777777" w:rsidR="008B0C2A" w:rsidRPr="00BB3C18" w:rsidRDefault="008B0C2A" w:rsidP="00FB687E">
            <w:pPr>
              <w:jc w:val="right"/>
              <w:rPr>
                <w:rFonts w:asciiTheme="minorHAnsi" w:hAnsiTheme="minorHAnsi" w:cstheme="minorHAnsi"/>
                <w:sz w:val="18"/>
                <w:szCs w:val="18"/>
              </w:rPr>
            </w:pPr>
          </w:p>
        </w:tc>
        <w:tc>
          <w:tcPr>
            <w:tcW w:w="1276" w:type="dxa"/>
          </w:tcPr>
          <w:p w14:paraId="0312F360" w14:textId="64D62605" w:rsidR="008B0C2A" w:rsidRPr="00BB3C18" w:rsidRDefault="008B0C2A" w:rsidP="00FB687E">
            <w:pPr>
              <w:jc w:val="right"/>
              <w:rPr>
                <w:rFonts w:asciiTheme="minorHAnsi" w:hAnsiTheme="minorHAnsi" w:cstheme="minorHAnsi"/>
                <w:sz w:val="18"/>
                <w:szCs w:val="18"/>
              </w:rPr>
            </w:pPr>
          </w:p>
        </w:tc>
      </w:tr>
      <w:tr w:rsidR="008B0C2A" w:rsidRPr="00BB3C18" w14:paraId="0312F369" w14:textId="77777777" w:rsidTr="008B0C2A">
        <w:tc>
          <w:tcPr>
            <w:tcW w:w="5245" w:type="dxa"/>
          </w:tcPr>
          <w:p w14:paraId="0312F362" w14:textId="39B3ECCB" w:rsidR="008B0C2A" w:rsidRPr="00BB3C18" w:rsidRDefault="008B0C2A" w:rsidP="0066129D">
            <w:pPr>
              <w:rPr>
                <w:rFonts w:asciiTheme="minorHAnsi" w:hAnsiTheme="minorHAnsi" w:cstheme="minorHAnsi"/>
                <w:sz w:val="18"/>
                <w:szCs w:val="18"/>
              </w:rPr>
            </w:pPr>
            <w:r w:rsidRPr="00BB3C18">
              <w:rPr>
                <w:rFonts w:asciiTheme="minorHAnsi" w:hAnsiTheme="minorHAnsi" w:cstheme="minorHAnsi"/>
                <w:sz w:val="18"/>
                <w:szCs w:val="18"/>
              </w:rPr>
              <w:t>Balance at 3</w:t>
            </w:r>
            <w:r>
              <w:rPr>
                <w:rFonts w:asciiTheme="minorHAnsi" w:hAnsiTheme="minorHAnsi" w:cstheme="minorHAnsi"/>
                <w:sz w:val="18"/>
                <w:szCs w:val="18"/>
              </w:rPr>
              <w:t>0</w:t>
            </w:r>
            <w:r w:rsidRPr="00BB3C18">
              <w:rPr>
                <w:rFonts w:asciiTheme="minorHAnsi" w:hAnsiTheme="minorHAnsi" w:cstheme="minorHAnsi"/>
                <w:sz w:val="18"/>
                <w:szCs w:val="18"/>
              </w:rPr>
              <w:t xml:space="preserve"> </w:t>
            </w:r>
            <w:r>
              <w:rPr>
                <w:rFonts w:asciiTheme="minorHAnsi" w:hAnsiTheme="minorHAnsi" w:cstheme="minorHAnsi"/>
                <w:sz w:val="18"/>
                <w:szCs w:val="18"/>
              </w:rPr>
              <w:t>June</w:t>
            </w:r>
            <w:r w:rsidRPr="00BB3C18">
              <w:rPr>
                <w:rFonts w:asciiTheme="minorHAnsi" w:hAnsiTheme="minorHAnsi" w:cstheme="minorHAnsi"/>
                <w:sz w:val="18"/>
                <w:szCs w:val="18"/>
              </w:rPr>
              <w:t xml:space="preserve"> 20</w:t>
            </w:r>
            <w:r w:rsidR="00DB5CD0">
              <w:rPr>
                <w:rFonts w:asciiTheme="minorHAnsi" w:hAnsiTheme="minorHAnsi" w:cstheme="minorHAnsi"/>
                <w:sz w:val="18"/>
                <w:szCs w:val="18"/>
              </w:rPr>
              <w:t>20</w:t>
            </w:r>
          </w:p>
        </w:tc>
        <w:tc>
          <w:tcPr>
            <w:tcW w:w="1418" w:type="dxa"/>
            <w:tcBorders>
              <w:bottom w:val="single" w:sz="4" w:space="0" w:color="auto"/>
            </w:tcBorders>
          </w:tcPr>
          <w:p w14:paraId="0312F363" w14:textId="5E6A704D" w:rsidR="008B0C2A" w:rsidRPr="00BB3C18" w:rsidRDefault="00DB5CD0" w:rsidP="0066129D">
            <w:pPr>
              <w:jc w:val="right"/>
              <w:rPr>
                <w:rFonts w:asciiTheme="minorHAnsi" w:hAnsiTheme="minorHAnsi" w:cstheme="minorHAnsi"/>
                <w:sz w:val="18"/>
                <w:szCs w:val="18"/>
              </w:rPr>
            </w:pPr>
            <w:r>
              <w:rPr>
                <w:rFonts w:asciiTheme="minorHAnsi" w:hAnsiTheme="minorHAnsi" w:cstheme="minorHAnsi"/>
                <w:sz w:val="18"/>
                <w:szCs w:val="18"/>
              </w:rPr>
              <w:t>4,138,936</w:t>
            </w:r>
          </w:p>
        </w:tc>
        <w:tc>
          <w:tcPr>
            <w:tcW w:w="1275" w:type="dxa"/>
            <w:tcBorders>
              <w:bottom w:val="single" w:sz="4" w:space="0" w:color="auto"/>
            </w:tcBorders>
          </w:tcPr>
          <w:p w14:paraId="0312F364" w14:textId="1ADB357B" w:rsidR="008B0C2A" w:rsidRPr="00BB3C18" w:rsidRDefault="008B0C2A" w:rsidP="0066129D">
            <w:pPr>
              <w:jc w:val="right"/>
              <w:rPr>
                <w:rFonts w:asciiTheme="minorHAnsi" w:hAnsiTheme="minorHAnsi" w:cstheme="minorHAnsi"/>
                <w:sz w:val="18"/>
                <w:szCs w:val="18"/>
              </w:rPr>
            </w:pPr>
            <w:r>
              <w:rPr>
                <w:rFonts w:asciiTheme="minorHAnsi" w:hAnsiTheme="minorHAnsi" w:cstheme="minorHAnsi"/>
                <w:sz w:val="18"/>
                <w:szCs w:val="18"/>
              </w:rPr>
              <w:t>5,</w:t>
            </w:r>
            <w:r w:rsidR="00DB5CD0">
              <w:rPr>
                <w:rFonts w:asciiTheme="minorHAnsi" w:hAnsiTheme="minorHAnsi" w:cstheme="minorHAnsi"/>
                <w:sz w:val="18"/>
                <w:szCs w:val="18"/>
              </w:rPr>
              <w:t>578,789</w:t>
            </w:r>
          </w:p>
        </w:tc>
        <w:tc>
          <w:tcPr>
            <w:tcW w:w="1276" w:type="dxa"/>
            <w:tcBorders>
              <w:bottom w:val="single" w:sz="4" w:space="0" w:color="auto"/>
            </w:tcBorders>
          </w:tcPr>
          <w:p w14:paraId="02081F44" w14:textId="1F3074B6" w:rsidR="008B0C2A" w:rsidRPr="00BB3C18" w:rsidDel="00327471" w:rsidRDefault="008B0C2A" w:rsidP="0066129D">
            <w:pPr>
              <w:jc w:val="right"/>
              <w:rPr>
                <w:rFonts w:asciiTheme="minorHAnsi" w:hAnsiTheme="minorHAnsi" w:cstheme="minorHAnsi"/>
                <w:sz w:val="18"/>
                <w:szCs w:val="18"/>
              </w:rPr>
            </w:pPr>
            <w:r w:rsidRPr="00BB3C18">
              <w:rPr>
                <w:rFonts w:asciiTheme="minorHAnsi" w:hAnsiTheme="minorHAnsi" w:cstheme="minorHAnsi"/>
                <w:sz w:val="18"/>
                <w:szCs w:val="18"/>
              </w:rPr>
              <w:t>(</w:t>
            </w:r>
            <w:r w:rsidR="00DB5CD0">
              <w:rPr>
                <w:rFonts w:asciiTheme="minorHAnsi" w:hAnsiTheme="minorHAnsi" w:cstheme="minorHAnsi"/>
                <w:sz w:val="18"/>
                <w:szCs w:val="18"/>
              </w:rPr>
              <w:t>12,830,391</w:t>
            </w:r>
            <w:r w:rsidRPr="00BB3C18">
              <w:rPr>
                <w:rFonts w:asciiTheme="minorHAnsi" w:hAnsiTheme="minorHAnsi" w:cstheme="minorHAnsi"/>
                <w:sz w:val="18"/>
                <w:szCs w:val="18"/>
              </w:rPr>
              <w:t>)</w:t>
            </w:r>
          </w:p>
        </w:tc>
        <w:tc>
          <w:tcPr>
            <w:tcW w:w="1276" w:type="dxa"/>
            <w:tcBorders>
              <w:bottom w:val="single" w:sz="4" w:space="0" w:color="auto"/>
            </w:tcBorders>
          </w:tcPr>
          <w:p w14:paraId="0312F368" w14:textId="4D1A878C" w:rsidR="008B0C2A" w:rsidRPr="00BB3C18" w:rsidRDefault="008B0C2A" w:rsidP="0066129D">
            <w:pPr>
              <w:jc w:val="right"/>
              <w:rPr>
                <w:rFonts w:asciiTheme="minorHAnsi" w:hAnsiTheme="minorHAnsi" w:cstheme="minorHAnsi"/>
                <w:sz w:val="18"/>
                <w:szCs w:val="18"/>
              </w:rPr>
            </w:pPr>
            <w:r w:rsidRPr="00BB3C18">
              <w:rPr>
                <w:rFonts w:asciiTheme="minorHAnsi" w:hAnsiTheme="minorHAnsi" w:cstheme="minorHAnsi"/>
                <w:sz w:val="18"/>
                <w:szCs w:val="18"/>
              </w:rPr>
              <w:t>(</w:t>
            </w:r>
            <w:r w:rsidR="00DB5CD0">
              <w:rPr>
                <w:rFonts w:asciiTheme="minorHAnsi" w:hAnsiTheme="minorHAnsi" w:cstheme="minorHAnsi"/>
                <w:sz w:val="18"/>
                <w:szCs w:val="18"/>
              </w:rPr>
              <w:t>3,112,666)</w:t>
            </w:r>
          </w:p>
        </w:tc>
      </w:tr>
      <w:tr w:rsidR="008B0C2A" w:rsidRPr="00BB3C18" w14:paraId="0312F371" w14:textId="77777777" w:rsidTr="008B0C2A">
        <w:tc>
          <w:tcPr>
            <w:tcW w:w="5245" w:type="dxa"/>
          </w:tcPr>
          <w:p w14:paraId="0312F36A" w14:textId="77777777" w:rsidR="008B0C2A" w:rsidRPr="00BB3C18" w:rsidRDefault="008B0C2A" w:rsidP="00FB687E">
            <w:pPr>
              <w:rPr>
                <w:rFonts w:asciiTheme="minorHAnsi" w:hAnsiTheme="minorHAnsi" w:cstheme="minorHAnsi"/>
                <w:sz w:val="18"/>
                <w:szCs w:val="18"/>
              </w:rPr>
            </w:pPr>
          </w:p>
        </w:tc>
        <w:tc>
          <w:tcPr>
            <w:tcW w:w="1418" w:type="dxa"/>
            <w:tcBorders>
              <w:top w:val="single" w:sz="4" w:space="0" w:color="auto"/>
            </w:tcBorders>
          </w:tcPr>
          <w:p w14:paraId="0312F36B" w14:textId="77777777" w:rsidR="008B0C2A" w:rsidRPr="00BB3C18" w:rsidRDefault="008B0C2A" w:rsidP="00FB687E">
            <w:pPr>
              <w:jc w:val="right"/>
              <w:rPr>
                <w:rFonts w:asciiTheme="minorHAnsi" w:hAnsiTheme="minorHAnsi" w:cstheme="minorHAnsi"/>
                <w:sz w:val="18"/>
                <w:szCs w:val="18"/>
              </w:rPr>
            </w:pPr>
          </w:p>
        </w:tc>
        <w:tc>
          <w:tcPr>
            <w:tcW w:w="1275" w:type="dxa"/>
            <w:tcBorders>
              <w:top w:val="single" w:sz="4" w:space="0" w:color="auto"/>
            </w:tcBorders>
          </w:tcPr>
          <w:p w14:paraId="0312F36C" w14:textId="77777777" w:rsidR="008B0C2A" w:rsidRPr="00BB3C18" w:rsidRDefault="008B0C2A" w:rsidP="00FB687E">
            <w:pPr>
              <w:jc w:val="right"/>
              <w:rPr>
                <w:rFonts w:asciiTheme="minorHAnsi" w:hAnsiTheme="minorHAnsi" w:cstheme="minorHAnsi"/>
                <w:sz w:val="18"/>
                <w:szCs w:val="18"/>
              </w:rPr>
            </w:pPr>
          </w:p>
        </w:tc>
        <w:tc>
          <w:tcPr>
            <w:tcW w:w="1276" w:type="dxa"/>
            <w:tcBorders>
              <w:top w:val="single" w:sz="4" w:space="0" w:color="auto"/>
            </w:tcBorders>
          </w:tcPr>
          <w:p w14:paraId="1043841B" w14:textId="77777777" w:rsidR="008B0C2A" w:rsidRPr="00BB3C18" w:rsidRDefault="008B0C2A" w:rsidP="00FB687E">
            <w:pPr>
              <w:jc w:val="right"/>
              <w:rPr>
                <w:rFonts w:asciiTheme="minorHAnsi" w:hAnsiTheme="minorHAnsi" w:cstheme="minorHAnsi"/>
                <w:sz w:val="18"/>
                <w:szCs w:val="18"/>
              </w:rPr>
            </w:pPr>
          </w:p>
        </w:tc>
        <w:tc>
          <w:tcPr>
            <w:tcW w:w="1276" w:type="dxa"/>
            <w:tcBorders>
              <w:top w:val="single" w:sz="4" w:space="0" w:color="auto"/>
            </w:tcBorders>
          </w:tcPr>
          <w:p w14:paraId="0312F370" w14:textId="0CA4259C" w:rsidR="008B0C2A" w:rsidRPr="00BB3C18" w:rsidRDefault="008B0C2A" w:rsidP="00FB687E">
            <w:pPr>
              <w:jc w:val="right"/>
              <w:rPr>
                <w:rFonts w:asciiTheme="minorHAnsi" w:hAnsiTheme="minorHAnsi" w:cstheme="minorHAnsi"/>
                <w:sz w:val="18"/>
                <w:szCs w:val="18"/>
              </w:rPr>
            </w:pPr>
          </w:p>
        </w:tc>
      </w:tr>
      <w:tr w:rsidR="008B0C2A" w:rsidRPr="00BB3C18" w14:paraId="0312F379" w14:textId="77777777" w:rsidTr="008B0C2A">
        <w:tc>
          <w:tcPr>
            <w:tcW w:w="5245" w:type="dxa"/>
          </w:tcPr>
          <w:p w14:paraId="0312F372" w14:textId="3E52A350" w:rsidR="008B0C2A" w:rsidRPr="00BB3C18" w:rsidRDefault="008B0C2A" w:rsidP="0066129D">
            <w:pPr>
              <w:spacing w:line="276" w:lineRule="auto"/>
              <w:rPr>
                <w:rFonts w:asciiTheme="minorHAnsi" w:hAnsiTheme="minorHAnsi" w:cstheme="minorHAnsi"/>
                <w:sz w:val="18"/>
                <w:szCs w:val="18"/>
              </w:rPr>
            </w:pPr>
            <w:r w:rsidRPr="00BB3C18">
              <w:rPr>
                <w:rFonts w:asciiTheme="minorHAnsi" w:hAnsiTheme="minorHAnsi" w:cstheme="minorHAnsi"/>
                <w:sz w:val="18"/>
                <w:szCs w:val="18"/>
              </w:rPr>
              <w:t xml:space="preserve">Loss for the </w:t>
            </w:r>
            <w:r w:rsidR="00E03AC7">
              <w:rPr>
                <w:rFonts w:asciiTheme="minorHAnsi" w:hAnsiTheme="minorHAnsi" w:cstheme="minorHAnsi"/>
                <w:sz w:val="18"/>
                <w:szCs w:val="18"/>
              </w:rPr>
              <w:t xml:space="preserve">year </w:t>
            </w:r>
          </w:p>
        </w:tc>
        <w:tc>
          <w:tcPr>
            <w:tcW w:w="1418" w:type="dxa"/>
          </w:tcPr>
          <w:p w14:paraId="0312F373" w14:textId="2A7F89C4" w:rsidR="008B0C2A" w:rsidRPr="00BB3C18" w:rsidRDefault="008B0C2A" w:rsidP="0066129D">
            <w:pPr>
              <w:spacing w:line="276" w:lineRule="auto"/>
              <w:jc w:val="right"/>
              <w:rPr>
                <w:rFonts w:asciiTheme="minorHAnsi" w:hAnsiTheme="minorHAnsi" w:cstheme="minorHAnsi"/>
                <w:sz w:val="18"/>
                <w:szCs w:val="18"/>
              </w:rPr>
            </w:pPr>
            <w:r w:rsidRPr="00BB3C18">
              <w:rPr>
                <w:rFonts w:asciiTheme="minorHAnsi" w:hAnsiTheme="minorHAnsi" w:cstheme="minorHAnsi"/>
                <w:sz w:val="18"/>
                <w:szCs w:val="18"/>
              </w:rPr>
              <w:t>-</w:t>
            </w:r>
          </w:p>
        </w:tc>
        <w:tc>
          <w:tcPr>
            <w:tcW w:w="1275" w:type="dxa"/>
          </w:tcPr>
          <w:p w14:paraId="0312F374" w14:textId="79D4F858" w:rsidR="008B0C2A" w:rsidRPr="00BB3C18" w:rsidRDefault="008B0C2A" w:rsidP="0066129D">
            <w:pPr>
              <w:jc w:val="right"/>
              <w:rPr>
                <w:rFonts w:asciiTheme="minorHAnsi" w:hAnsiTheme="minorHAnsi" w:cstheme="minorHAnsi"/>
                <w:sz w:val="18"/>
                <w:szCs w:val="18"/>
              </w:rPr>
            </w:pPr>
            <w:r w:rsidRPr="00BB3C18">
              <w:rPr>
                <w:rFonts w:asciiTheme="minorHAnsi" w:hAnsiTheme="minorHAnsi" w:cstheme="minorHAnsi"/>
                <w:sz w:val="18"/>
                <w:szCs w:val="18"/>
              </w:rPr>
              <w:t>-</w:t>
            </w:r>
          </w:p>
        </w:tc>
        <w:tc>
          <w:tcPr>
            <w:tcW w:w="1276" w:type="dxa"/>
          </w:tcPr>
          <w:p w14:paraId="05177791" w14:textId="12E6F62C" w:rsidR="008B0C2A" w:rsidRPr="00BB3C18" w:rsidDel="00327471" w:rsidRDefault="008B0C2A" w:rsidP="0066129D">
            <w:pPr>
              <w:jc w:val="right"/>
              <w:rPr>
                <w:rFonts w:asciiTheme="minorHAnsi" w:hAnsiTheme="minorHAnsi" w:cstheme="minorHAnsi"/>
                <w:sz w:val="18"/>
                <w:szCs w:val="18"/>
              </w:rPr>
            </w:pPr>
            <w:r>
              <w:rPr>
                <w:rFonts w:asciiTheme="minorHAnsi" w:hAnsiTheme="minorHAnsi" w:cstheme="minorHAnsi"/>
                <w:sz w:val="18"/>
                <w:szCs w:val="18"/>
              </w:rPr>
              <w:t>(</w:t>
            </w:r>
            <w:r w:rsidR="00DB5CD0">
              <w:rPr>
                <w:rFonts w:asciiTheme="minorHAnsi" w:hAnsiTheme="minorHAnsi" w:cstheme="minorHAnsi"/>
                <w:sz w:val="18"/>
                <w:szCs w:val="18"/>
              </w:rPr>
              <w:t>7,69</w:t>
            </w:r>
            <w:r w:rsidR="00E03AC7">
              <w:rPr>
                <w:rFonts w:asciiTheme="minorHAnsi" w:hAnsiTheme="minorHAnsi" w:cstheme="minorHAnsi"/>
                <w:sz w:val="18"/>
                <w:szCs w:val="18"/>
              </w:rPr>
              <w:t>7</w:t>
            </w:r>
            <w:r w:rsidR="00DB5CD0">
              <w:rPr>
                <w:rFonts w:asciiTheme="minorHAnsi" w:hAnsiTheme="minorHAnsi" w:cstheme="minorHAnsi"/>
                <w:sz w:val="18"/>
                <w:szCs w:val="18"/>
              </w:rPr>
              <w:t>,</w:t>
            </w:r>
            <w:r w:rsidR="00E03AC7">
              <w:rPr>
                <w:rFonts w:asciiTheme="minorHAnsi" w:hAnsiTheme="minorHAnsi" w:cstheme="minorHAnsi"/>
                <w:sz w:val="18"/>
                <w:szCs w:val="18"/>
              </w:rPr>
              <w:t>30</w:t>
            </w:r>
            <w:r w:rsidR="00EA2DFD">
              <w:rPr>
                <w:rFonts w:asciiTheme="minorHAnsi" w:hAnsiTheme="minorHAnsi" w:cstheme="minorHAnsi"/>
                <w:sz w:val="18"/>
                <w:szCs w:val="18"/>
              </w:rPr>
              <w:t>6</w:t>
            </w:r>
            <w:r>
              <w:rPr>
                <w:rFonts w:asciiTheme="minorHAnsi" w:hAnsiTheme="minorHAnsi" w:cstheme="minorHAnsi"/>
                <w:sz w:val="18"/>
                <w:szCs w:val="18"/>
              </w:rPr>
              <w:t>)</w:t>
            </w:r>
          </w:p>
        </w:tc>
        <w:tc>
          <w:tcPr>
            <w:tcW w:w="1276" w:type="dxa"/>
          </w:tcPr>
          <w:p w14:paraId="0312F378" w14:textId="361D842D" w:rsidR="008B0C2A" w:rsidRPr="00BB3C18" w:rsidRDefault="008B0C2A" w:rsidP="0066129D">
            <w:pPr>
              <w:jc w:val="right"/>
              <w:rPr>
                <w:rFonts w:asciiTheme="minorHAnsi" w:hAnsiTheme="minorHAnsi" w:cstheme="minorHAnsi"/>
                <w:sz w:val="18"/>
                <w:szCs w:val="18"/>
              </w:rPr>
            </w:pPr>
            <w:r>
              <w:rPr>
                <w:rFonts w:asciiTheme="minorHAnsi" w:hAnsiTheme="minorHAnsi" w:cstheme="minorHAnsi"/>
                <w:sz w:val="18"/>
                <w:szCs w:val="18"/>
              </w:rPr>
              <w:t>(</w:t>
            </w:r>
            <w:r w:rsidR="00DB5CD0">
              <w:rPr>
                <w:rFonts w:asciiTheme="minorHAnsi" w:hAnsiTheme="minorHAnsi" w:cstheme="minorHAnsi"/>
                <w:sz w:val="18"/>
                <w:szCs w:val="18"/>
              </w:rPr>
              <w:t>7,6</w:t>
            </w:r>
            <w:r w:rsidR="00E03AC7">
              <w:rPr>
                <w:rFonts w:asciiTheme="minorHAnsi" w:hAnsiTheme="minorHAnsi" w:cstheme="minorHAnsi"/>
                <w:sz w:val="18"/>
                <w:szCs w:val="18"/>
              </w:rPr>
              <w:t>97,30</w:t>
            </w:r>
            <w:r w:rsidR="00EA2DFD">
              <w:rPr>
                <w:rFonts w:asciiTheme="minorHAnsi" w:hAnsiTheme="minorHAnsi" w:cstheme="minorHAnsi"/>
                <w:sz w:val="18"/>
                <w:szCs w:val="18"/>
              </w:rPr>
              <w:t>6</w:t>
            </w:r>
            <w:r>
              <w:rPr>
                <w:rFonts w:asciiTheme="minorHAnsi" w:hAnsiTheme="minorHAnsi" w:cstheme="minorHAnsi"/>
                <w:sz w:val="18"/>
                <w:szCs w:val="18"/>
              </w:rPr>
              <w:t>)</w:t>
            </w:r>
          </w:p>
        </w:tc>
      </w:tr>
      <w:tr w:rsidR="008B0C2A" w:rsidRPr="00BB3C18" w14:paraId="70AA6380" w14:textId="77777777" w:rsidTr="008B0C2A">
        <w:tc>
          <w:tcPr>
            <w:tcW w:w="5245" w:type="dxa"/>
            <w:tcBorders>
              <w:right w:val="single" w:sz="4" w:space="0" w:color="auto"/>
            </w:tcBorders>
          </w:tcPr>
          <w:p w14:paraId="310C2CC1" w14:textId="703EF19D" w:rsidR="008B0C2A" w:rsidRPr="00BB3C18" w:rsidRDefault="008B0C2A" w:rsidP="00FB687E">
            <w:pPr>
              <w:spacing w:line="276" w:lineRule="auto"/>
              <w:rPr>
                <w:rFonts w:asciiTheme="minorHAnsi" w:hAnsiTheme="minorHAnsi" w:cstheme="minorHAnsi"/>
                <w:sz w:val="18"/>
                <w:szCs w:val="18"/>
              </w:rPr>
            </w:pPr>
            <w:r w:rsidRPr="00BB3C18">
              <w:rPr>
                <w:rFonts w:asciiTheme="minorHAnsi" w:hAnsiTheme="minorHAnsi" w:cstheme="minorHAnsi"/>
                <w:sz w:val="18"/>
                <w:szCs w:val="18"/>
              </w:rPr>
              <w:t xml:space="preserve">Total comprehensive loss for the </w:t>
            </w:r>
            <w:r w:rsidR="00E03AC7">
              <w:rPr>
                <w:rFonts w:asciiTheme="minorHAnsi" w:hAnsiTheme="minorHAnsi" w:cstheme="minorHAnsi"/>
                <w:sz w:val="18"/>
                <w:szCs w:val="18"/>
              </w:rPr>
              <w:t>year</w:t>
            </w:r>
          </w:p>
        </w:tc>
        <w:tc>
          <w:tcPr>
            <w:tcW w:w="1418" w:type="dxa"/>
            <w:tcBorders>
              <w:top w:val="single" w:sz="4" w:space="0" w:color="auto"/>
              <w:left w:val="single" w:sz="4" w:space="0" w:color="auto"/>
              <w:bottom w:val="single" w:sz="4" w:space="0" w:color="auto"/>
            </w:tcBorders>
          </w:tcPr>
          <w:p w14:paraId="4912FF06" w14:textId="77777777" w:rsidR="008B0C2A" w:rsidRPr="00BB3C18" w:rsidRDefault="008B0C2A" w:rsidP="00FB687E">
            <w:pPr>
              <w:spacing w:line="276" w:lineRule="auto"/>
              <w:jc w:val="right"/>
              <w:rPr>
                <w:rFonts w:asciiTheme="minorHAnsi" w:hAnsiTheme="minorHAnsi" w:cstheme="minorHAnsi"/>
                <w:sz w:val="18"/>
                <w:szCs w:val="18"/>
              </w:rPr>
            </w:pPr>
          </w:p>
          <w:p w14:paraId="3B1DB092" w14:textId="72372853" w:rsidR="008B0C2A" w:rsidRPr="00BB3C18" w:rsidDel="00327471" w:rsidRDefault="008B0C2A" w:rsidP="00FB687E">
            <w:pPr>
              <w:spacing w:line="276" w:lineRule="auto"/>
              <w:jc w:val="right"/>
              <w:rPr>
                <w:rFonts w:asciiTheme="minorHAnsi" w:hAnsiTheme="minorHAnsi" w:cstheme="minorHAnsi"/>
                <w:sz w:val="18"/>
                <w:szCs w:val="18"/>
              </w:rPr>
            </w:pPr>
            <w:r w:rsidRPr="00BB3C18">
              <w:rPr>
                <w:rFonts w:asciiTheme="minorHAnsi" w:hAnsiTheme="minorHAnsi" w:cstheme="minorHAnsi"/>
                <w:sz w:val="18"/>
                <w:szCs w:val="18"/>
              </w:rPr>
              <w:t>-</w:t>
            </w:r>
          </w:p>
        </w:tc>
        <w:tc>
          <w:tcPr>
            <w:tcW w:w="1275" w:type="dxa"/>
            <w:tcBorders>
              <w:top w:val="single" w:sz="4" w:space="0" w:color="auto"/>
              <w:bottom w:val="single" w:sz="4" w:space="0" w:color="auto"/>
            </w:tcBorders>
          </w:tcPr>
          <w:p w14:paraId="20748B98" w14:textId="77777777" w:rsidR="008B0C2A" w:rsidRPr="00BB3C18" w:rsidRDefault="008B0C2A" w:rsidP="00FB687E">
            <w:pPr>
              <w:jc w:val="right"/>
              <w:rPr>
                <w:rFonts w:asciiTheme="minorHAnsi" w:hAnsiTheme="minorHAnsi" w:cstheme="minorHAnsi"/>
                <w:sz w:val="18"/>
                <w:szCs w:val="18"/>
              </w:rPr>
            </w:pPr>
          </w:p>
          <w:p w14:paraId="7D0B9D50" w14:textId="321C0F93" w:rsidR="008B0C2A" w:rsidRPr="00BB3C18" w:rsidDel="00327471" w:rsidRDefault="008B0C2A" w:rsidP="00FB687E">
            <w:pPr>
              <w:jc w:val="right"/>
              <w:rPr>
                <w:rFonts w:asciiTheme="minorHAnsi" w:hAnsiTheme="minorHAnsi" w:cstheme="minorHAnsi"/>
                <w:sz w:val="18"/>
                <w:szCs w:val="18"/>
              </w:rPr>
            </w:pPr>
            <w:r w:rsidRPr="00BB3C18">
              <w:rPr>
                <w:rFonts w:asciiTheme="minorHAnsi" w:hAnsiTheme="minorHAnsi" w:cstheme="minorHAnsi"/>
                <w:sz w:val="18"/>
                <w:szCs w:val="18"/>
              </w:rPr>
              <w:t>-</w:t>
            </w:r>
          </w:p>
        </w:tc>
        <w:tc>
          <w:tcPr>
            <w:tcW w:w="1276" w:type="dxa"/>
            <w:tcBorders>
              <w:top w:val="single" w:sz="4" w:space="0" w:color="auto"/>
              <w:bottom w:val="single" w:sz="4" w:space="0" w:color="auto"/>
            </w:tcBorders>
          </w:tcPr>
          <w:p w14:paraId="34A177E0" w14:textId="77777777" w:rsidR="008B0C2A" w:rsidRPr="00BB3C18" w:rsidRDefault="008B0C2A" w:rsidP="00FB687E">
            <w:pPr>
              <w:jc w:val="right"/>
              <w:rPr>
                <w:rFonts w:asciiTheme="minorHAnsi" w:hAnsiTheme="minorHAnsi" w:cstheme="minorHAnsi"/>
                <w:sz w:val="18"/>
                <w:szCs w:val="18"/>
              </w:rPr>
            </w:pPr>
          </w:p>
          <w:p w14:paraId="0BC97B7F" w14:textId="1F54ED1C" w:rsidR="008B0C2A" w:rsidRPr="00BB3C18" w:rsidDel="00327471" w:rsidRDefault="008B0C2A" w:rsidP="00FB687E">
            <w:pPr>
              <w:jc w:val="right"/>
              <w:rPr>
                <w:rFonts w:asciiTheme="minorHAnsi" w:hAnsiTheme="minorHAnsi" w:cstheme="minorHAnsi"/>
                <w:sz w:val="18"/>
                <w:szCs w:val="18"/>
              </w:rPr>
            </w:pPr>
            <w:r w:rsidRPr="00BB3C18">
              <w:rPr>
                <w:rFonts w:asciiTheme="minorHAnsi" w:hAnsiTheme="minorHAnsi" w:cstheme="minorHAnsi"/>
                <w:sz w:val="18"/>
                <w:szCs w:val="18"/>
              </w:rPr>
              <w:t>(</w:t>
            </w:r>
            <w:r w:rsidR="00DB5CD0">
              <w:rPr>
                <w:rFonts w:asciiTheme="minorHAnsi" w:hAnsiTheme="minorHAnsi" w:cstheme="minorHAnsi"/>
                <w:sz w:val="18"/>
                <w:szCs w:val="18"/>
              </w:rPr>
              <w:t>7,69</w:t>
            </w:r>
            <w:r w:rsidR="00E03AC7">
              <w:rPr>
                <w:rFonts w:asciiTheme="minorHAnsi" w:hAnsiTheme="minorHAnsi" w:cstheme="minorHAnsi"/>
                <w:sz w:val="18"/>
                <w:szCs w:val="18"/>
              </w:rPr>
              <w:t>7,30</w:t>
            </w:r>
            <w:r w:rsidR="00EA2DFD">
              <w:rPr>
                <w:rFonts w:asciiTheme="minorHAnsi" w:hAnsiTheme="minorHAnsi" w:cstheme="minorHAnsi"/>
                <w:sz w:val="18"/>
                <w:szCs w:val="18"/>
              </w:rPr>
              <w:t>6</w:t>
            </w:r>
            <w:r w:rsidRPr="00BB3C18">
              <w:rPr>
                <w:rFonts w:asciiTheme="minorHAnsi" w:hAnsiTheme="minorHAnsi" w:cstheme="minorHAnsi"/>
                <w:sz w:val="18"/>
                <w:szCs w:val="18"/>
              </w:rPr>
              <w:t>)</w:t>
            </w:r>
          </w:p>
        </w:tc>
        <w:tc>
          <w:tcPr>
            <w:tcW w:w="1276" w:type="dxa"/>
            <w:tcBorders>
              <w:top w:val="single" w:sz="4" w:space="0" w:color="auto"/>
              <w:bottom w:val="single" w:sz="4" w:space="0" w:color="auto"/>
              <w:right w:val="single" w:sz="4" w:space="0" w:color="auto"/>
            </w:tcBorders>
          </w:tcPr>
          <w:p w14:paraId="39C4FC36" w14:textId="77777777" w:rsidR="008B0C2A" w:rsidRPr="00BB3C18" w:rsidRDefault="008B0C2A" w:rsidP="00FB687E">
            <w:pPr>
              <w:jc w:val="right"/>
              <w:rPr>
                <w:rFonts w:asciiTheme="minorHAnsi" w:hAnsiTheme="minorHAnsi" w:cstheme="minorHAnsi"/>
                <w:sz w:val="18"/>
                <w:szCs w:val="18"/>
              </w:rPr>
            </w:pPr>
          </w:p>
          <w:p w14:paraId="4B936584" w14:textId="19358F39" w:rsidR="008B0C2A" w:rsidRPr="00BB3C18" w:rsidDel="00327471" w:rsidRDefault="008B0C2A" w:rsidP="00FB687E">
            <w:pPr>
              <w:jc w:val="right"/>
              <w:rPr>
                <w:rFonts w:asciiTheme="minorHAnsi" w:hAnsiTheme="minorHAnsi" w:cstheme="minorHAnsi"/>
                <w:sz w:val="18"/>
                <w:szCs w:val="18"/>
              </w:rPr>
            </w:pPr>
            <w:r w:rsidRPr="00BB3C18">
              <w:rPr>
                <w:rFonts w:asciiTheme="minorHAnsi" w:hAnsiTheme="minorHAnsi" w:cstheme="minorHAnsi"/>
                <w:sz w:val="18"/>
                <w:szCs w:val="18"/>
              </w:rPr>
              <w:t>(</w:t>
            </w:r>
            <w:r w:rsidR="00DB5CD0">
              <w:rPr>
                <w:rFonts w:asciiTheme="minorHAnsi" w:hAnsiTheme="minorHAnsi" w:cstheme="minorHAnsi"/>
                <w:sz w:val="18"/>
                <w:szCs w:val="18"/>
              </w:rPr>
              <w:t>7,69</w:t>
            </w:r>
            <w:r w:rsidR="00E03AC7">
              <w:rPr>
                <w:rFonts w:asciiTheme="minorHAnsi" w:hAnsiTheme="minorHAnsi" w:cstheme="minorHAnsi"/>
                <w:sz w:val="18"/>
                <w:szCs w:val="18"/>
              </w:rPr>
              <w:t>7,30</w:t>
            </w:r>
            <w:r w:rsidR="00EA2DFD">
              <w:rPr>
                <w:rFonts w:asciiTheme="minorHAnsi" w:hAnsiTheme="minorHAnsi" w:cstheme="minorHAnsi"/>
                <w:sz w:val="18"/>
                <w:szCs w:val="18"/>
              </w:rPr>
              <w:t>6</w:t>
            </w:r>
            <w:r w:rsidRPr="00BB3C18">
              <w:rPr>
                <w:rFonts w:asciiTheme="minorHAnsi" w:hAnsiTheme="minorHAnsi" w:cstheme="minorHAnsi"/>
                <w:sz w:val="18"/>
                <w:szCs w:val="18"/>
              </w:rPr>
              <w:t>)</w:t>
            </w:r>
          </w:p>
        </w:tc>
      </w:tr>
      <w:tr w:rsidR="008B0C2A" w:rsidRPr="00BB3C18" w14:paraId="0312F381" w14:textId="77777777" w:rsidTr="008B0C2A">
        <w:tc>
          <w:tcPr>
            <w:tcW w:w="5245" w:type="dxa"/>
          </w:tcPr>
          <w:p w14:paraId="0312F37A" w14:textId="76827118" w:rsidR="008B0C2A" w:rsidRPr="00BB3C18" w:rsidRDefault="008B0C2A" w:rsidP="00FB687E">
            <w:pPr>
              <w:spacing w:line="276" w:lineRule="auto"/>
              <w:rPr>
                <w:rFonts w:asciiTheme="minorHAnsi" w:hAnsiTheme="minorHAnsi" w:cstheme="minorHAnsi"/>
                <w:sz w:val="18"/>
                <w:szCs w:val="18"/>
              </w:rPr>
            </w:pPr>
            <w:r w:rsidRPr="00BB3C18">
              <w:rPr>
                <w:rFonts w:asciiTheme="minorHAnsi" w:hAnsiTheme="minorHAnsi" w:cstheme="minorHAnsi"/>
                <w:sz w:val="18"/>
                <w:szCs w:val="18"/>
              </w:rPr>
              <w:t>Transactions with owners:</w:t>
            </w:r>
          </w:p>
        </w:tc>
        <w:tc>
          <w:tcPr>
            <w:tcW w:w="1418" w:type="dxa"/>
            <w:tcBorders>
              <w:top w:val="single" w:sz="4" w:space="0" w:color="auto"/>
            </w:tcBorders>
          </w:tcPr>
          <w:p w14:paraId="0312F37B" w14:textId="267C4D80" w:rsidR="008B0C2A" w:rsidRPr="00BB3C18" w:rsidRDefault="008B0C2A" w:rsidP="00FB687E">
            <w:pPr>
              <w:spacing w:line="276" w:lineRule="auto"/>
              <w:jc w:val="right"/>
              <w:rPr>
                <w:rFonts w:asciiTheme="minorHAnsi" w:hAnsiTheme="minorHAnsi" w:cstheme="minorHAnsi"/>
                <w:sz w:val="18"/>
                <w:szCs w:val="18"/>
              </w:rPr>
            </w:pPr>
          </w:p>
        </w:tc>
        <w:tc>
          <w:tcPr>
            <w:tcW w:w="1275" w:type="dxa"/>
            <w:tcBorders>
              <w:top w:val="single" w:sz="4" w:space="0" w:color="auto"/>
            </w:tcBorders>
          </w:tcPr>
          <w:p w14:paraId="0312F37C" w14:textId="09B5E039" w:rsidR="008B0C2A" w:rsidRPr="00BB3C18" w:rsidRDefault="008B0C2A" w:rsidP="00FB687E">
            <w:pPr>
              <w:jc w:val="right"/>
              <w:rPr>
                <w:rFonts w:asciiTheme="minorHAnsi" w:hAnsiTheme="minorHAnsi" w:cstheme="minorHAnsi"/>
                <w:sz w:val="18"/>
                <w:szCs w:val="18"/>
              </w:rPr>
            </w:pPr>
          </w:p>
        </w:tc>
        <w:tc>
          <w:tcPr>
            <w:tcW w:w="1276" w:type="dxa"/>
            <w:tcBorders>
              <w:top w:val="single" w:sz="4" w:space="0" w:color="auto"/>
            </w:tcBorders>
          </w:tcPr>
          <w:p w14:paraId="62A3456F" w14:textId="77777777" w:rsidR="008B0C2A" w:rsidRPr="00BB3C18" w:rsidDel="00327471" w:rsidRDefault="008B0C2A" w:rsidP="00FB687E">
            <w:pPr>
              <w:jc w:val="right"/>
              <w:rPr>
                <w:rFonts w:asciiTheme="minorHAnsi" w:hAnsiTheme="minorHAnsi" w:cstheme="minorHAnsi"/>
                <w:sz w:val="18"/>
                <w:szCs w:val="18"/>
              </w:rPr>
            </w:pPr>
          </w:p>
        </w:tc>
        <w:tc>
          <w:tcPr>
            <w:tcW w:w="1276" w:type="dxa"/>
            <w:tcBorders>
              <w:top w:val="single" w:sz="4" w:space="0" w:color="auto"/>
            </w:tcBorders>
          </w:tcPr>
          <w:p w14:paraId="0312F380" w14:textId="55218EA1" w:rsidR="008B0C2A" w:rsidRPr="00BB3C18" w:rsidRDefault="008B0C2A" w:rsidP="00FB687E">
            <w:pPr>
              <w:jc w:val="right"/>
              <w:rPr>
                <w:rFonts w:asciiTheme="minorHAnsi" w:hAnsiTheme="minorHAnsi" w:cstheme="minorHAnsi"/>
                <w:sz w:val="18"/>
                <w:szCs w:val="18"/>
              </w:rPr>
            </w:pPr>
          </w:p>
        </w:tc>
      </w:tr>
      <w:tr w:rsidR="008B0C2A" w:rsidRPr="00BB3C18" w14:paraId="321619BB" w14:textId="77777777" w:rsidTr="008B0C2A">
        <w:tc>
          <w:tcPr>
            <w:tcW w:w="5245" w:type="dxa"/>
          </w:tcPr>
          <w:p w14:paraId="7E63E644" w14:textId="02E42AB4" w:rsidR="008B0C2A" w:rsidRPr="00BB3C18" w:rsidRDefault="008B0C2A" w:rsidP="0066129D">
            <w:pPr>
              <w:spacing w:line="276" w:lineRule="auto"/>
              <w:rPr>
                <w:rFonts w:asciiTheme="minorHAnsi" w:hAnsiTheme="minorHAnsi" w:cstheme="minorHAnsi"/>
                <w:sz w:val="18"/>
                <w:szCs w:val="18"/>
              </w:rPr>
            </w:pPr>
          </w:p>
        </w:tc>
        <w:tc>
          <w:tcPr>
            <w:tcW w:w="1418" w:type="dxa"/>
          </w:tcPr>
          <w:p w14:paraId="5985B610" w14:textId="6AD83132" w:rsidR="008B0C2A" w:rsidRPr="00BB3C18" w:rsidRDefault="008B0C2A" w:rsidP="0066129D">
            <w:pPr>
              <w:spacing w:line="276" w:lineRule="auto"/>
              <w:jc w:val="right"/>
              <w:rPr>
                <w:rFonts w:asciiTheme="minorHAnsi" w:hAnsiTheme="minorHAnsi" w:cstheme="minorHAnsi"/>
                <w:sz w:val="18"/>
                <w:szCs w:val="18"/>
              </w:rPr>
            </w:pPr>
          </w:p>
        </w:tc>
        <w:tc>
          <w:tcPr>
            <w:tcW w:w="1275" w:type="dxa"/>
          </w:tcPr>
          <w:p w14:paraId="79A66B49" w14:textId="762454DA" w:rsidR="008B0C2A" w:rsidRPr="00BB3C18" w:rsidRDefault="008B0C2A" w:rsidP="0066129D">
            <w:pPr>
              <w:jc w:val="right"/>
              <w:rPr>
                <w:rFonts w:asciiTheme="minorHAnsi" w:hAnsiTheme="minorHAnsi" w:cstheme="minorHAnsi"/>
                <w:sz w:val="18"/>
                <w:szCs w:val="18"/>
              </w:rPr>
            </w:pPr>
          </w:p>
        </w:tc>
        <w:tc>
          <w:tcPr>
            <w:tcW w:w="1276" w:type="dxa"/>
          </w:tcPr>
          <w:p w14:paraId="4EBA7A41" w14:textId="7ECF6A0C" w:rsidR="008B0C2A" w:rsidRPr="00BB3C18" w:rsidDel="00327471" w:rsidRDefault="008B0C2A" w:rsidP="0066129D">
            <w:pPr>
              <w:jc w:val="right"/>
              <w:rPr>
                <w:rFonts w:asciiTheme="minorHAnsi" w:hAnsiTheme="minorHAnsi" w:cstheme="minorHAnsi"/>
                <w:sz w:val="18"/>
                <w:szCs w:val="18"/>
              </w:rPr>
            </w:pPr>
          </w:p>
        </w:tc>
        <w:tc>
          <w:tcPr>
            <w:tcW w:w="1276" w:type="dxa"/>
          </w:tcPr>
          <w:p w14:paraId="478E1DB2" w14:textId="6D7363FA" w:rsidR="008B0C2A" w:rsidRPr="00BB3C18" w:rsidRDefault="008B0C2A" w:rsidP="0066129D">
            <w:pPr>
              <w:jc w:val="right"/>
              <w:rPr>
                <w:rFonts w:asciiTheme="minorHAnsi" w:hAnsiTheme="minorHAnsi" w:cstheme="minorHAnsi"/>
                <w:sz w:val="18"/>
                <w:szCs w:val="18"/>
              </w:rPr>
            </w:pPr>
          </w:p>
        </w:tc>
      </w:tr>
      <w:tr w:rsidR="008B0C2A" w:rsidRPr="00BB3C18" w14:paraId="103EF985" w14:textId="77777777" w:rsidTr="008B0C2A">
        <w:tc>
          <w:tcPr>
            <w:tcW w:w="5245" w:type="dxa"/>
          </w:tcPr>
          <w:p w14:paraId="080109AE" w14:textId="77777777" w:rsidR="008B0C2A" w:rsidRDefault="008B0C2A" w:rsidP="0066129D">
            <w:pPr>
              <w:spacing w:line="276" w:lineRule="auto"/>
              <w:rPr>
                <w:rFonts w:asciiTheme="minorHAnsi" w:hAnsiTheme="minorHAnsi" w:cstheme="minorHAnsi"/>
                <w:sz w:val="18"/>
                <w:szCs w:val="18"/>
              </w:rPr>
            </w:pPr>
            <w:r w:rsidRPr="00BB3C18">
              <w:rPr>
                <w:rFonts w:asciiTheme="minorHAnsi" w:hAnsiTheme="minorHAnsi" w:cstheme="minorHAnsi"/>
                <w:sz w:val="18"/>
                <w:szCs w:val="18"/>
              </w:rPr>
              <w:t>Issue of shares</w:t>
            </w:r>
          </w:p>
          <w:p w14:paraId="25D90D7F" w14:textId="0AB93723" w:rsidR="00301448" w:rsidRPr="00BB3C18" w:rsidRDefault="00301448" w:rsidP="0066129D">
            <w:pPr>
              <w:spacing w:line="276" w:lineRule="auto"/>
              <w:rPr>
                <w:rFonts w:asciiTheme="minorHAnsi" w:hAnsiTheme="minorHAnsi" w:cstheme="minorHAnsi"/>
                <w:sz w:val="18"/>
                <w:szCs w:val="18"/>
              </w:rPr>
            </w:pPr>
            <w:r>
              <w:rPr>
                <w:rFonts w:asciiTheme="minorHAnsi" w:hAnsiTheme="minorHAnsi" w:cstheme="minorHAnsi"/>
                <w:sz w:val="18"/>
                <w:szCs w:val="18"/>
              </w:rPr>
              <w:t>Cost of placings</w:t>
            </w:r>
          </w:p>
        </w:tc>
        <w:tc>
          <w:tcPr>
            <w:tcW w:w="1418" w:type="dxa"/>
          </w:tcPr>
          <w:p w14:paraId="4E3B6F13" w14:textId="77777777" w:rsidR="008B0C2A" w:rsidRDefault="00DB5CD0" w:rsidP="0066129D">
            <w:pPr>
              <w:spacing w:line="276" w:lineRule="auto"/>
              <w:jc w:val="right"/>
              <w:rPr>
                <w:rFonts w:asciiTheme="minorHAnsi" w:hAnsiTheme="minorHAnsi" w:cstheme="minorHAnsi"/>
                <w:sz w:val="18"/>
                <w:szCs w:val="18"/>
              </w:rPr>
            </w:pPr>
            <w:r>
              <w:rPr>
                <w:rFonts w:asciiTheme="minorHAnsi" w:hAnsiTheme="minorHAnsi" w:cstheme="minorHAnsi"/>
                <w:sz w:val="18"/>
                <w:szCs w:val="18"/>
              </w:rPr>
              <w:t>311,</w:t>
            </w:r>
            <w:r w:rsidR="00E03AC7">
              <w:rPr>
                <w:rFonts w:asciiTheme="minorHAnsi" w:hAnsiTheme="minorHAnsi" w:cstheme="minorHAnsi"/>
                <w:sz w:val="18"/>
                <w:szCs w:val="18"/>
              </w:rPr>
              <w:t>5</w:t>
            </w:r>
            <w:r>
              <w:rPr>
                <w:rFonts w:asciiTheme="minorHAnsi" w:hAnsiTheme="minorHAnsi" w:cstheme="minorHAnsi"/>
                <w:sz w:val="18"/>
                <w:szCs w:val="18"/>
              </w:rPr>
              <w:t>70</w:t>
            </w:r>
          </w:p>
          <w:p w14:paraId="12E792A9" w14:textId="622E23F8" w:rsidR="00301448" w:rsidRPr="00301448" w:rsidRDefault="00301448" w:rsidP="00301448">
            <w:pPr>
              <w:tabs>
                <w:tab w:val="left" w:pos="1125"/>
              </w:tabs>
              <w:rPr>
                <w:rFonts w:asciiTheme="minorHAnsi" w:hAnsiTheme="minorHAnsi" w:cstheme="minorHAnsi"/>
                <w:sz w:val="18"/>
                <w:szCs w:val="18"/>
              </w:rPr>
            </w:pPr>
            <w:r>
              <w:rPr>
                <w:rFonts w:asciiTheme="minorHAnsi" w:hAnsiTheme="minorHAnsi" w:cstheme="minorHAnsi"/>
                <w:sz w:val="18"/>
                <w:szCs w:val="18"/>
              </w:rPr>
              <w:tab/>
              <w:t>-</w:t>
            </w:r>
          </w:p>
        </w:tc>
        <w:tc>
          <w:tcPr>
            <w:tcW w:w="1275" w:type="dxa"/>
          </w:tcPr>
          <w:p w14:paraId="30D4BB56" w14:textId="31B99F0D" w:rsidR="008B0C2A" w:rsidRDefault="00DB5CD0" w:rsidP="0066129D">
            <w:pPr>
              <w:jc w:val="right"/>
              <w:rPr>
                <w:rFonts w:asciiTheme="minorHAnsi" w:hAnsiTheme="minorHAnsi" w:cstheme="minorHAnsi"/>
                <w:sz w:val="18"/>
                <w:szCs w:val="18"/>
              </w:rPr>
            </w:pPr>
            <w:r>
              <w:rPr>
                <w:rFonts w:asciiTheme="minorHAnsi" w:hAnsiTheme="minorHAnsi" w:cstheme="minorHAnsi"/>
                <w:sz w:val="18"/>
                <w:szCs w:val="18"/>
              </w:rPr>
              <w:t>2,</w:t>
            </w:r>
            <w:r w:rsidR="00E845B6">
              <w:rPr>
                <w:rFonts w:asciiTheme="minorHAnsi" w:hAnsiTheme="minorHAnsi" w:cstheme="minorHAnsi"/>
                <w:sz w:val="18"/>
                <w:szCs w:val="18"/>
              </w:rPr>
              <w:t>406</w:t>
            </w:r>
            <w:r>
              <w:rPr>
                <w:rFonts w:asciiTheme="minorHAnsi" w:hAnsiTheme="minorHAnsi" w:cstheme="minorHAnsi"/>
                <w:sz w:val="18"/>
                <w:szCs w:val="18"/>
              </w:rPr>
              <w:t>,</w:t>
            </w:r>
            <w:r w:rsidR="00E845B6">
              <w:rPr>
                <w:rFonts w:asciiTheme="minorHAnsi" w:hAnsiTheme="minorHAnsi" w:cstheme="minorHAnsi"/>
                <w:sz w:val="18"/>
                <w:szCs w:val="18"/>
              </w:rPr>
              <w:t>223</w:t>
            </w:r>
          </w:p>
          <w:p w14:paraId="58F228D9" w14:textId="6681CE7D" w:rsidR="00301448" w:rsidRPr="00301448" w:rsidRDefault="00301448" w:rsidP="00301448">
            <w:pPr>
              <w:tabs>
                <w:tab w:val="left" w:pos="915"/>
              </w:tabs>
              <w:rPr>
                <w:rFonts w:asciiTheme="minorHAnsi" w:hAnsiTheme="minorHAnsi" w:cstheme="minorHAnsi"/>
                <w:sz w:val="18"/>
                <w:szCs w:val="18"/>
              </w:rPr>
            </w:pPr>
            <w:r>
              <w:rPr>
                <w:rFonts w:asciiTheme="minorHAnsi" w:hAnsiTheme="minorHAnsi" w:cstheme="minorHAnsi"/>
                <w:sz w:val="18"/>
                <w:szCs w:val="18"/>
              </w:rPr>
              <w:t xml:space="preserve">           (84,234)</w:t>
            </w:r>
          </w:p>
        </w:tc>
        <w:tc>
          <w:tcPr>
            <w:tcW w:w="1276" w:type="dxa"/>
          </w:tcPr>
          <w:p w14:paraId="026A5EE6" w14:textId="4222F370" w:rsidR="008B0C2A" w:rsidRDefault="00301448" w:rsidP="00301448">
            <w:pPr>
              <w:jc w:val="center"/>
              <w:rPr>
                <w:rFonts w:asciiTheme="minorHAnsi" w:hAnsiTheme="minorHAnsi" w:cstheme="minorHAnsi"/>
                <w:sz w:val="18"/>
                <w:szCs w:val="18"/>
              </w:rPr>
            </w:pPr>
            <w:r>
              <w:rPr>
                <w:rFonts w:asciiTheme="minorHAnsi" w:hAnsiTheme="minorHAnsi" w:cstheme="minorHAnsi"/>
                <w:sz w:val="18"/>
                <w:szCs w:val="18"/>
              </w:rPr>
              <w:t xml:space="preserve">                       </w:t>
            </w:r>
            <w:r w:rsidR="008B0C2A" w:rsidRPr="00144BDC">
              <w:rPr>
                <w:rFonts w:asciiTheme="minorHAnsi" w:hAnsiTheme="minorHAnsi" w:cstheme="minorHAnsi"/>
                <w:sz w:val="18"/>
                <w:szCs w:val="18"/>
              </w:rPr>
              <w:t>-</w:t>
            </w:r>
          </w:p>
          <w:p w14:paraId="4F38D8D0" w14:textId="54FF45C1" w:rsidR="00301448" w:rsidRPr="00301448" w:rsidDel="00327471" w:rsidRDefault="00301448" w:rsidP="00301448">
            <w:pPr>
              <w:tabs>
                <w:tab w:val="left" w:pos="975"/>
              </w:tabs>
              <w:rPr>
                <w:rFonts w:asciiTheme="minorHAnsi" w:hAnsiTheme="minorHAnsi" w:cstheme="minorHAnsi"/>
                <w:sz w:val="18"/>
                <w:szCs w:val="18"/>
              </w:rPr>
            </w:pPr>
            <w:r>
              <w:rPr>
                <w:rFonts w:asciiTheme="minorHAnsi" w:hAnsiTheme="minorHAnsi" w:cstheme="minorHAnsi"/>
                <w:sz w:val="18"/>
                <w:szCs w:val="18"/>
              </w:rPr>
              <w:tab/>
              <w:t>-</w:t>
            </w:r>
          </w:p>
        </w:tc>
        <w:tc>
          <w:tcPr>
            <w:tcW w:w="1276" w:type="dxa"/>
          </w:tcPr>
          <w:p w14:paraId="64BFBB15" w14:textId="131412F9" w:rsidR="008B0C2A" w:rsidRDefault="00301448" w:rsidP="00301448">
            <w:pPr>
              <w:jc w:val="center"/>
              <w:rPr>
                <w:rFonts w:asciiTheme="minorHAnsi" w:hAnsiTheme="minorHAnsi" w:cstheme="minorHAnsi"/>
                <w:sz w:val="18"/>
                <w:szCs w:val="18"/>
              </w:rPr>
            </w:pPr>
            <w:r>
              <w:rPr>
                <w:rFonts w:asciiTheme="minorHAnsi" w:hAnsiTheme="minorHAnsi" w:cstheme="minorHAnsi"/>
                <w:sz w:val="18"/>
                <w:szCs w:val="18"/>
              </w:rPr>
              <w:t xml:space="preserve">      </w:t>
            </w:r>
            <w:r w:rsidR="00DB5CD0">
              <w:rPr>
                <w:rFonts w:asciiTheme="minorHAnsi" w:hAnsiTheme="minorHAnsi" w:cstheme="minorHAnsi"/>
                <w:sz w:val="18"/>
                <w:szCs w:val="18"/>
              </w:rPr>
              <w:t>2,</w:t>
            </w:r>
            <w:r w:rsidR="00E845B6">
              <w:rPr>
                <w:rFonts w:asciiTheme="minorHAnsi" w:hAnsiTheme="minorHAnsi" w:cstheme="minorHAnsi"/>
                <w:sz w:val="18"/>
                <w:szCs w:val="18"/>
              </w:rPr>
              <w:t>717</w:t>
            </w:r>
            <w:r w:rsidR="00DB5CD0">
              <w:rPr>
                <w:rFonts w:asciiTheme="minorHAnsi" w:hAnsiTheme="minorHAnsi" w:cstheme="minorHAnsi"/>
                <w:sz w:val="18"/>
                <w:szCs w:val="18"/>
              </w:rPr>
              <w:t>,</w:t>
            </w:r>
            <w:r w:rsidR="00E845B6">
              <w:rPr>
                <w:rFonts w:asciiTheme="minorHAnsi" w:hAnsiTheme="minorHAnsi" w:cstheme="minorHAnsi"/>
                <w:sz w:val="18"/>
                <w:szCs w:val="18"/>
              </w:rPr>
              <w:t>793</w:t>
            </w:r>
          </w:p>
          <w:p w14:paraId="5F2B03D5" w14:textId="262FC8E9" w:rsidR="00301448" w:rsidRPr="00301448" w:rsidRDefault="00301448" w:rsidP="00301448">
            <w:pPr>
              <w:tabs>
                <w:tab w:val="left" w:pos="720"/>
              </w:tabs>
              <w:rPr>
                <w:rFonts w:asciiTheme="minorHAnsi" w:hAnsiTheme="minorHAnsi" w:cstheme="minorHAnsi"/>
                <w:sz w:val="18"/>
                <w:szCs w:val="18"/>
              </w:rPr>
            </w:pPr>
            <w:r>
              <w:rPr>
                <w:rFonts w:asciiTheme="minorHAnsi" w:hAnsiTheme="minorHAnsi" w:cstheme="minorHAnsi"/>
                <w:sz w:val="18"/>
                <w:szCs w:val="18"/>
              </w:rPr>
              <w:t xml:space="preserve">        </w:t>
            </w:r>
            <w:r w:rsidR="00E845B6">
              <w:rPr>
                <w:rFonts w:asciiTheme="minorHAnsi" w:hAnsiTheme="minorHAnsi" w:cstheme="minorHAnsi"/>
                <w:sz w:val="18"/>
                <w:szCs w:val="18"/>
              </w:rPr>
              <w:t xml:space="preserve">  </w:t>
            </w:r>
            <w:r>
              <w:rPr>
                <w:rFonts w:asciiTheme="minorHAnsi" w:hAnsiTheme="minorHAnsi" w:cstheme="minorHAnsi"/>
                <w:sz w:val="18"/>
                <w:szCs w:val="18"/>
              </w:rPr>
              <w:t>(84,234)</w:t>
            </w:r>
          </w:p>
        </w:tc>
      </w:tr>
      <w:tr w:rsidR="008B0C2A" w:rsidRPr="00BB3C18" w14:paraId="0312F394" w14:textId="77777777" w:rsidTr="008B0C2A">
        <w:tc>
          <w:tcPr>
            <w:tcW w:w="5245" w:type="dxa"/>
            <w:tcBorders>
              <w:right w:val="single" w:sz="4" w:space="0" w:color="auto"/>
            </w:tcBorders>
          </w:tcPr>
          <w:p w14:paraId="498E40EB" w14:textId="2D18FE47" w:rsidR="008B0C2A" w:rsidRPr="00BB3C18" w:rsidRDefault="008B0C2A" w:rsidP="0066129D">
            <w:pPr>
              <w:spacing w:line="276" w:lineRule="auto"/>
              <w:rPr>
                <w:rFonts w:asciiTheme="minorHAnsi" w:hAnsiTheme="minorHAnsi" w:cstheme="minorHAnsi"/>
                <w:sz w:val="18"/>
                <w:szCs w:val="18"/>
              </w:rPr>
            </w:pPr>
            <w:r w:rsidRPr="00BB3C18">
              <w:rPr>
                <w:rFonts w:asciiTheme="minorHAnsi" w:hAnsiTheme="minorHAnsi" w:cstheme="minorHAnsi"/>
                <w:sz w:val="18"/>
                <w:szCs w:val="18"/>
              </w:rPr>
              <w:t>Total contribution by and distribution to owners</w:t>
            </w:r>
          </w:p>
        </w:tc>
        <w:tc>
          <w:tcPr>
            <w:tcW w:w="1418" w:type="dxa"/>
            <w:tcBorders>
              <w:top w:val="single" w:sz="4" w:space="0" w:color="auto"/>
              <w:left w:val="single" w:sz="4" w:space="0" w:color="auto"/>
              <w:bottom w:val="single" w:sz="4" w:space="0" w:color="auto"/>
            </w:tcBorders>
          </w:tcPr>
          <w:p w14:paraId="40F4E419" w14:textId="77777777" w:rsidR="008B0C2A" w:rsidRPr="00144BDC" w:rsidRDefault="008B0C2A" w:rsidP="00C96300">
            <w:pPr>
              <w:jc w:val="right"/>
              <w:rPr>
                <w:rFonts w:asciiTheme="minorHAnsi" w:hAnsiTheme="minorHAnsi" w:cstheme="minorHAnsi"/>
                <w:sz w:val="18"/>
                <w:szCs w:val="18"/>
              </w:rPr>
            </w:pPr>
          </w:p>
          <w:p w14:paraId="0312F389" w14:textId="2561BE8C" w:rsidR="008B0C2A" w:rsidRPr="00BB3C18" w:rsidRDefault="00F158B3" w:rsidP="0066129D">
            <w:pPr>
              <w:jc w:val="right"/>
              <w:rPr>
                <w:rFonts w:asciiTheme="minorHAnsi" w:hAnsiTheme="minorHAnsi" w:cstheme="minorHAnsi"/>
                <w:sz w:val="18"/>
                <w:szCs w:val="18"/>
              </w:rPr>
            </w:pPr>
            <w:r>
              <w:rPr>
                <w:rFonts w:asciiTheme="minorHAnsi" w:hAnsiTheme="minorHAnsi" w:cstheme="minorHAnsi"/>
                <w:sz w:val="18"/>
                <w:szCs w:val="18"/>
              </w:rPr>
              <w:t>311,</w:t>
            </w:r>
            <w:r w:rsidR="00E03AC7">
              <w:rPr>
                <w:rFonts w:asciiTheme="minorHAnsi" w:hAnsiTheme="minorHAnsi" w:cstheme="minorHAnsi"/>
                <w:sz w:val="18"/>
                <w:szCs w:val="18"/>
              </w:rPr>
              <w:t>5</w:t>
            </w:r>
            <w:r>
              <w:rPr>
                <w:rFonts w:asciiTheme="minorHAnsi" w:hAnsiTheme="minorHAnsi" w:cstheme="minorHAnsi"/>
                <w:sz w:val="18"/>
                <w:szCs w:val="18"/>
              </w:rPr>
              <w:t>70</w:t>
            </w:r>
          </w:p>
        </w:tc>
        <w:tc>
          <w:tcPr>
            <w:tcW w:w="1275" w:type="dxa"/>
            <w:tcBorders>
              <w:top w:val="single" w:sz="4" w:space="0" w:color="auto"/>
              <w:bottom w:val="single" w:sz="4" w:space="0" w:color="auto"/>
            </w:tcBorders>
          </w:tcPr>
          <w:p w14:paraId="362E7B5B" w14:textId="77777777" w:rsidR="008B0C2A" w:rsidRPr="00144BDC" w:rsidRDefault="008B0C2A" w:rsidP="0066129D">
            <w:pPr>
              <w:jc w:val="right"/>
              <w:rPr>
                <w:rFonts w:asciiTheme="minorHAnsi" w:hAnsiTheme="minorHAnsi" w:cstheme="minorHAnsi"/>
                <w:sz w:val="18"/>
                <w:szCs w:val="18"/>
              </w:rPr>
            </w:pPr>
          </w:p>
          <w:p w14:paraId="0312F38B" w14:textId="0BA10F87" w:rsidR="008B0C2A" w:rsidRPr="00BB3C18" w:rsidRDefault="00F158B3" w:rsidP="0066129D">
            <w:pPr>
              <w:jc w:val="right"/>
              <w:rPr>
                <w:rFonts w:asciiTheme="minorHAnsi" w:hAnsiTheme="minorHAnsi" w:cstheme="minorHAnsi"/>
                <w:sz w:val="18"/>
                <w:szCs w:val="18"/>
              </w:rPr>
            </w:pPr>
            <w:r>
              <w:rPr>
                <w:rFonts w:asciiTheme="minorHAnsi" w:hAnsiTheme="minorHAnsi" w:cstheme="minorHAnsi"/>
                <w:sz w:val="18"/>
                <w:szCs w:val="18"/>
              </w:rPr>
              <w:t>2,321,</w:t>
            </w:r>
            <w:r w:rsidR="00E845B6">
              <w:rPr>
                <w:rFonts w:asciiTheme="minorHAnsi" w:hAnsiTheme="minorHAnsi" w:cstheme="minorHAnsi"/>
                <w:sz w:val="18"/>
                <w:szCs w:val="18"/>
              </w:rPr>
              <w:t>9</w:t>
            </w:r>
            <w:r>
              <w:rPr>
                <w:rFonts w:asciiTheme="minorHAnsi" w:hAnsiTheme="minorHAnsi" w:cstheme="minorHAnsi"/>
                <w:sz w:val="18"/>
                <w:szCs w:val="18"/>
              </w:rPr>
              <w:t>89</w:t>
            </w:r>
          </w:p>
        </w:tc>
        <w:tc>
          <w:tcPr>
            <w:tcW w:w="1276" w:type="dxa"/>
            <w:tcBorders>
              <w:top w:val="single" w:sz="4" w:space="0" w:color="auto"/>
              <w:bottom w:val="single" w:sz="4" w:space="0" w:color="auto"/>
            </w:tcBorders>
          </w:tcPr>
          <w:p w14:paraId="0BB2EA99" w14:textId="77777777" w:rsidR="008B0C2A" w:rsidRPr="00144BDC" w:rsidRDefault="008B0C2A" w:rsidP="0066129D">
            <w:pPr>
              <w:jc w:val="right"/>
              <w:rPr>
                <w:rFonts w:asciiTheme="minorHAnsi" w:hAnsiTheme="minorHAnsi" w:cstheme="minorHAnsi"/>
                <w:sz w:val="18"/>
                <w:szCs w:val="18"/>
              </w:rPr>
            </w:pPr>
          </w:p>
          <w:p w14:paraId="55E06ADD" w14:textId="50038837" w:rsidR="008B0C2A" w:rsidRPr="00BB3C18" w:rsidDel="00327471" w:rsidRDefault="008B0C2A" w:rsidP="0066129D">
            <w:pPr>
              <w:jc w:val="right"/>
              <w:rPr>
                <w:rFonts w:asciiTheme="minorHAnsi" w:hAnsiTheme="minorHAnsi" w:cstheme="minorHAnsi"/>
                <w:sz w:val="18"/>
                <w:szCs w:val="18"/>
              </w:rPr>
            </w:pPr>
            <w:r w:rsidRPr="00144BDC">
              <w:rPr>
                <w:rFonts w:asciiTheme="minorHAnsi" w:hAnsiTheme="minorHAnsi" w:cstheme="minorHAnsi"/>
                <w:sz w:val="18"/>
                <w:szCs w:val="18"/>
              </w:rPr>
              <w:t>-</w:t>
            </w:r>
          </w:p>
        </w:tc>
        <w:tc>
          <w:tcPr>
            <w:tcW w:w="1276" w:type="dxa"/>
            <w:tcBorders>
              <w:top w:val="single" w:sz="4" w:space="0" w:color="auto"/>
              <w:bottom w:val="single" w:sz="4" w:space="0" w:color="auto"/>
              <w:right w:val="single" w:sz="4" w:space="0" w:color="auto"/>
            </w:tcBorders>
          </w:tcPr>
          <w:p w14:paraId="5DE8EA27" w14:textId="77777777" w:rsidR="008B0C2A" w:rsidRPr="00144BDC" w:rsidRDefault="008B0C2A" w:rsidP="0066129D">
            <w:pPr>
              <w:jc w:val="right"/>
              <w:rPr>
                <w:rFonts w:asciiTheme="minorHAnsi" w:hAnsiTheme="minorHAnsi" w:cstheme="minorHAnsi"/>
                <w:sz w:val="18"/>
                <w:szCs w:val="18"/>
              </w:rPr>
            </w:pPr>
          </w:p>
          <w:p w14:paraId="0312F393" w14:textId="11C835F4" w:rsidR="008B0C2A" w:rsidRPr="00BB3C18" w:rsidRDefault="00F158B3" w:rsidP="0066129D">
            <w:pPr>
              <w:jc w:val="right"/>
              <w:rPr>
                <w:rFonts w:asciiTheme="minorHAnsi" w:hAnsiTheme="minorHAnsi" w:cstheme="minorHAnsi"/>
                <w:sz w:val="18"/>
                <w:szCs w:val="18"/>
              </w:rPr>
            </w:pPr>
            <w:r>
              <w:rPr>
                <w:rFonts w:asciiTheme="minorHAnsi" w:hAnsiTheme="minorHAnsi" w:cstheme="minorHAnsi"/>
                <w:sz w:val="18"/>
                <w:szCs w:val="18"/>
              </w:rPr>
              <w:t>2,633,</w:t>
            </w:r>
            <w:r w:rsidR="00E845B6">
              <w:rPr>
                <w:rFonts w:asciiTheme="minorHAnsi" w:hAnsiTheme="minorHAnsi" w:cstheme="minorHAnsi"/>
                <w:sz w:val="18"/>
                <w:szCs w:val="18"/>
              </w:rPr>
              <w:t>5</w:t>
            </w:r>
            <w:r>
              <w:rPr>
                <w:rFonts w:asciiTheme="minorHAnsi" w:hAnsiTheme="minorHAnsi" w:cstheme="minorHAnsi"/>
                <w:sz w:val="18"/>
                <w:szCs w:val="18"/>
              </w:rPr>
              <w:t>59</w:t>
            </w:r>
          </w:p>
        </w:tc>
      </w:tr>
      <w:tr w:rsidR="008B0C2A" w:rsidRPr="00BB3C18" w14:paraId="0312F39B" w14:textId="77777777" w:rsidTr="008B0C2A">
        <w:tc>
          <w:tcPr>
            <w:tcW w:w="5245" w:type="dxa"/>
          </w:tcPr>
          <w:p w14:paraId="22B20260" w14:textId="77777777" w:rsidR="008B0C2A" w:rsidRPr="00BB3C18" w:rsidRDefault="008B0C2A" w:rsidP="00FB687E">
            <w:pPr>
              <w:spacing w:line="276" w:lineRule="auto"/>
              <w:rPr>
                <w:rFonts w:asciiTheme="minorHAnsi" w:hAnsiTheme="minorHAnsi" w:cstheme="minorHAnsi"/>
                <w:sz w:val="18"/>
                <w:szCs w:val="18"/>
              </w:rPr>
            </w:pPr>
          </w:p>
        </w:tc>
        <w:tc>
          <w:tcPr>
            <w:tcW w:w="1418" w:type="dxa"/>
            <w:tcBorders>
              <w:top w:val="single" w:sz="4" w:space="0" w:color="auto"/>
            </w:tcBorders>
          </w:tcPr>
          <w:p w14:paraId="0312F395" w14:textId="6DEFC6FE" w:rsidR="008B0C2A" w:rsidRPr="00BB3C18" w:rsidRDefault="008B0C2A" w:rsidP="00FB687E">
            <w:pPr>
              <w:spacing w:line="276" w:lineRule="auto"/>
              <w:rPr>
                <w:rFonts w:asciiTheme="minorHAnsi" w:hAnsiTheme="minorHAnsi" w:cstheme="minorHAnsi"/>
                <w:sz w:val="18"/>
                <w:szCs w:val="18"/>
              </w:rPr>
            </w:pPr>
          </w:p>
        </w:tc>
        <w:tc>
          <w:tcPr>
            <w:tcW w:w="1275" w:type="dxa"/>
            <w:tcBorders>
              <w:top w:val="single" w:sz="4" w:space="0" w:color="auto"/>
            </w:tcBorders>
          </w:tcPr>
          <w:p w14:paraId="0312F396" w14:textId="77777777" w:rsidR="008B0C2A" w:rsidRPr="00BB3C18" w:rsidRDefault="008B0C2A" w:rsidP="00FB687E">
            <w:pPr>
              <w:jc w:val="right"/>
              <w:rPr>
                <w:rFonts w:asciiTheme="minorHAnsi" w:hAnsiTheme="minorHAnsi" w:cstheme="minorHAnsi"/>
                <w:sz w:val="18"/>
                <w:szCs w:val="18"/>
              </w:rPr>
            </w:pPr>
          </w:p>
        </w:tc>
        <w:tc>
          <w:tcPr>
            <w:tcW w:w="1276" w:type="dxa"/>
            <w:tcBorders>
              <w:top w:val="single" w:sz="4" w:space="0" w:color="auto"/>
            </w:tcBorders>
          </w:tcPr>
          <w:p w14:paraId="02AD4566" w14:textId="77777777" w:rsidR="008B0C2A" w:rsidRPr="00BB3C18" w:rsidRDefault="008B0C2A" w:rsidP="00FB687E">
            <w:pPr>
              <w:jc w:val="right"/>
              <w:rPr>
                <w:rFonts w:asciiTheme="minorHAnsi" w:hAnsiTheme="minorHAnsi" w:cstheme="minorHAnsi"/>
                <w:sz w:val="18"/>
                <w:szCs w:val="18"/>
              </w:rPr>
            </w:pPr>
          </w:p>
        </w:tc>
        <w:tc>
          <w:tcPr>
            <w:tcW w:w="1276" w:type="dxa"/>
            <w:tcBorders>
              <w:top w:val="single" w:sz="4" w:space="0" w:color="auto"/>
            </w:tcBorders>
          </w:tcPr>
          <w:p w14:paraId="0312F39A" w14:textId="1D709267" w:rsidR="008B0C2A" w:rsidRPr="00BB3C18" w:rsidRDefault="008B0C2A" w:rsidP="00FB687E">
            <w:pPr>
              <w:jc w:val="right"/>
              <w:rPr>
                <w:rFonts w:asciiTheme="minorHAnsi" w:hAnsiTheme="minorHAnsi" w:cstheme="minorHAnsi"/>
                <w:sz w:val="18"/>
                <w:szCs w:val="18"/>
              </w:rPr>
            </w:pPr>
          </w:p>
        </w:tc>
      </w:tr>
      <w:tr w:rsidR="008B0C2A" w:rsidRPr="00955BD1" w14:paraId="0312F3A3" w14:textId="77777777" w:rsidTr="008B0C2A">
        <w:trPr>
          <w:trHeight w:val="215"/>
        </w:trPr>
        <w:tc>
          <w:tcPr>
            <w:tcW w:w="5245" w:type="dxa"/>
          </w:tcPr>
          <w:p w14:paraId="0312F39C" w14:textId="52775E12" w:rsidR="008B0C2A" w:rsidRPr="00955BD1" w:rsidRDefault="008B0C2A" w:rsidP="0066129D">
            <w:pPr>
              <w:spacing w:line="276" w:lineRule="auto"/>
              <w:rPr>
                <w:rFonts w:asciiTheme="minorHAnsi" w:hAnsiTheme="minorHAnsi" w:cstheme="minorHAnsi"/>
                <w:b/>
                <w:sz w:val="18"/>
                <w:szCs w:val="18"/>
              </w:rPr>
            </w:pPr>
            <w:r w:rsidRPr="00955BD1">
              <w:rPr>
                <w:rFonts w:asciiTheme="minorHAnsi" w:hAnsiTheme="minorHAnsi" w:cstheme="minorHAnsi"/>
                <w:b/>
                <w:sz w:val="18"/>
                <w:szCs w:val="18"/>
              </w:rPr>
              <w:t>Balance at 30 June 202</w:t>
            </w:r>
            <w:r w:rsidR="00DB5CD0" w:rsidRPr="00955BD1">
              <w:rPr>
                <w:rFonts w:asciiTheme="minorHAnsi" w:hAnsiTheme="minorHAnsi" w:cstheme="minorHAnsi"/>
                <w:b/>
                <w:sz w:val="18"/>
                <w:szCs w:val="18"/>
              </w:rPr>
              <w:t>1</w:t>
            </w:r>
          </w:p>
        </w:tc>
        <w:tc>
          <w:tcPr>
            <w:tcW w:w="1418" w:type="dxa"/>
            <w:tcBorders>
              <w:top w:val="single" w:sz="4" w:space="0" w:color="auto"/>
              <w:bottom w:val="single" w:sz="4" w:space="0" w:color="auto"/>
            </w:tcBorders>
          </w:tcPr>
          <w:p w14:paraId="0312F39D" w14:textId="3B8CF4A6" w:rsidR="008B0C2A" w:rsidRPr="00955BD1" w:rsidRDefault="008B0C2A" w:rsidP="0066129D">
            <w:pPr>
              <w:spacing w:line="276" w:lineRule="auto"/>
              <w:jc w:val="right"/>
              <w:rPr>
                <w:rFonts w:asciiTheme="minorHAnsi" w:hAnsiTheme="minorHAnsi" w:cstheme="minorHAnsi"/>
                <w:sz w:val="18"/>
                <w:szCs w:val="18"/>
              </w:rPr>
            </w:pPr>
            <w:r w:rsidRPr="00955BD1">
              <w:rPr>
                <w:rFonts w:asciiTheme="minorHAnsi" w:hAnsiTheme="minorHAnsi" w:cstheme="minorHAnsi"/>
                <w:sz w:val="18"/>
                <w:szCs w:val="18"/>
              </w:rPr>
              <w:t>4,</w:t>
            </w:r>
            <w:r w:rsidR="00F158B3" w:rsidRPr="00955BD1">
              <w:rPr>
                <w:rFonts w:asciiTheme="minorHAnsi" w:hAnsiTheme="minorHAnsi" w:cstheme="minorHAnsi"/>
                <w:sz w:val="18"/>
                <w:szCs w:val="18"/>
              </w:rPr>
              <w:t>450,</w:t>
            </w:r>
            <w:r w:rsidR="00E03AC7" w:rsidRPr="00955BD1">
              <w:rPr>
                <w:rFonts w:asciiTheme="minorHAnsi" w:hAnsiTheme="minorHAnsi" w:cstheme="minorHAnsi"/>
                <w:sz w:val="18"/>
                <w:szCs w:val="18"/>
              </w:rPr>
              <w:t>5</w:t>
            </w:r>
            <w:r w:rsidR="00F158B3" w:rsidRPr="00955BD1">
              <w:rPr>
                <w:rFonts w:asciiTheme="minorHAnsi" w:hAnsiTheme="minorHAnsi" w:cstheme="minorHAnsi"/>
                <w:sz w:val="18"/>
                <w:szCs w:val="18"/>
              </w:rPr>
              <w:t>06</w:t>
            </w:r>
          </w:p>
        </w:tc>
        <w:tc>
          <w:tcPr>
            <w:tcW w:w="1275" w:type="dxa"/>
            <w:tcBorders>
              <w:top w:val="single" w:sz="4" w:space="0" w:color="auto"/>
              <w:bottom w:val="single" w:sz="4" w:space="0" w:color="auto"/>
            </w:tcBorders>
          </w:tcPr>
          <w:p w14:paraId="0312F39E" w14:textId="166BC440" w:rsidR="008B0C2A" w:rsidRPr="00955BD1" w:rsidRDefault="00F158B3" w:rsidP="0066129D">
            <w:pPr>
              <w:jc w:val="right"/>
              <w:rPr>
                <w:rFonts w:asciiTheme="minorHAnsi" w:hAnsiTheme="minorHAnsi" w:cstheme="minorHAnsi"/>
                <w:sz w:val="18"/>
                <w:szCs w:val="18"/>
              </w:rPr>
            </w:pPr>
            <w:r w:rsidRPr="00955BD1">
              <w:rPr>
                <w:rFonts w:asciiTheme="minorHAnsi" w:hAnsiTheme="minorHAnsi" w:cstheme="minorHAnsi"/>
                <w:sz w:val="18"/>
                <w:szCs w:val="18"/>
              </w:rPr>
              <w:t>7,900,</w:t>
            </w:r>
            <w:r w:rsidR="00EA2DFD" w:rsidRPr="00955BD1">
              <w:rPr>
                <w:rFonts w:asciiTheme="minorHAnsi" w:hAnsiTheme="minorHAnsi" w:cstheme="minorHAnsi"/>
                <w:sz w:val="18"/>
                <w:szCs w:val="18"/>
              </w:rPr>
              <w:t>7</w:t>
            </w:r>
            <w:r w:rsidRPr="00955BD1">
              <w:rPr>
                <w:rFonts w:asciiTheme="minorHAnsi" w:hAnsiTheme="minorHAnsi" w:cstheme="minorHAnsi"/>
                <w:sz w:val="18"/>
                <w:szCs w:val="18"/>
              </w:rPr>
              <w:t>78</w:t>
            </w:r>
          </w:p>
        </w:tc>
        <w:tc>
          <w:tcPr>
            <w:tcW w:w="1276" w:type="dxa"/>
            <w:tcBorders>
              <w:top w:val="single" w:sz="4" w:space="0" w:color="auto"/>
              <w:bottom w:val="single" w:sz="4" w:space="0" w:color="auto"/>
            </w:tcBorders>
          </w:tcPr>
          <w:p w14:paraId="1DBE1FED" w14:textId="27AB35F3" w:rsidR="008B0C2A" w:rsidRPr="00955BD1" w:rsidDel="00327471" w:rsidRDefault="008B0C2A" w:rsidP="0066129D">
            <w:pPr>
              <w:jc w:val="right"/>
              <w:rPr>
                <w:rFonts w:asciiTheme="minorHAnsi" w:hAnsiTheme="minorHAnsi" w:cstheme="minorHAnsi"/>
                <w:sz w:val="18"/>
                <w:szCs w:val="18"/>
              </w:rPr>
            </w:pPr>
            <w:r w:rsidRPr="00955BD1">
              <w:rPr>
                <w:rFonts w:asciiTheme="minorHAnsi" w:hAnsiTheme="minorHAnsi" w:cstheme="minorHAnsi"/>
                <w:sz w:val="18"/>
                <w:szCs w:val="18"/>
              </w:rPr>
              <w:t>(</w:t>
            </w:r>
            <w:r w:rsidR="00F158B3" w:rsidRPr="00955BD1">
              <w:rPr>
                <w:rFonts w:asciiTheme="minorHAnsi" w:hAnsiTheme="minorHAnsi" w:cstheme="minorHAnsi"/>
                <w:sz w:val="18"/>
                <w:szCs w:val="18"/>
              </w:rPr>
              <w:t>20,5</w:t>
            </w:r>
            <w:r w:rsidR="00E03AC7" w:rsidRPr="00955BD1">
              <w:rPr>
                <w:rFonts w:asciiTheme="minorHAnsi" w:hAnsiTheme="minorHAnsi" w:cstheme="minorHAnsi"/>
                <w:sz w:val="18"/>
                <w:szCs w:val="18"/>
              </w:rPr>
              <w:t>27</w:t>
            </w:r>
            <w:r w:rsidR="00F158B3" w:rsidRPr="00955BD1">
              <w:rPr>
                <w:rFonts w:asciiTheme="minorHAnsi" w:hAnsiTheme="minorHAnsi" w:cstheme="minorHAnsi"/>
                <w:sz w:val="18"/>
                <w:szCs w:val="18"/>
              </w:rPr>
              <w:t>,</w:t>
            </w:r>
            <w:r w:rsidR="00E03AC7" w:rsidRPr="00955BD1">
              <w:rPr>
                <w:rFonts w:asciiTheme="minorHAnsi" w:hAnsiTheme="minorHAnsi" w:cstheme="minorHAnsi"/>
                <w:sz w:val="18"/>
                <w:szCs w:val="18"/>
              </w:rPr>
              <w:t>69</w:t>
            </w:r>
            <w:r w:rsidR="00EA2DFD" w:rsidRPr="00955BD1">
              <w:rPr>
                <w:rFonts w:asciiTheme="minorHAnsi" w:hAnsiTheme="minorHAnsi" w:cstheme="minorHAnsi"/>
                <w:sz w:val="18"/>
                <w:szCs w:val="18"/>
              </w:rPr>
              <w:t>7</w:t>
            </w:r>
            <w:r w:rsidRPr="00955BD1">
              <w:rPr>
                <w:rFonts w:asciiTheme="minorHAnsi" w:hAnsiTheme="minorHAnsi" w:cstheme="minorHAnsi"/>
                <w:sz w:val="18"/>
                <w:szCs w:val="18"/>
              </w:rPr>
              <w:t>)</w:t>
            </w:r>
          </w:p>
        </w:tc>
        <w:tc>
          <w:tcPr>
            <w:tcW w:w="1276" w:type="dxa"/>
            <w:tcBorders>
              <w:top w:val="single" w:sz="4" w:space="0" w:color="auto"/>
              <w:bottom w:val="single" w:sz="4" w:space="0" w:color="auto"/>
            </w:tcBorders>
          </w:tcPr>
          <w:p w14:paraId="0312F3A2" w14:textId="3B2F5A4D" w:rsidR="008B0C2A" w:rsidRPr="00955BD1" w:rsidRDefault="008B0C2A" w:rsidP="0066129D">
            <w:pPr>
              <w:jc w:val="right"/>
              <w:rPr>
                <w:rFonts w:asciiTheme="minorHAnsi" w:hAnsiTheme="minorHAnsi" w:cstheme="minorHAnsi"/>
                <w:sz w:val="18"/>
                <w:szCs w:val="18"/>
              </w:rPr>
            </w:pPr>
            <w:r w:rsidRPr="00955BD1">
              <w:rPr>
                <w:rFonts w:asciiTheme="minorHAnsi" w:hAnsiTheme="minorHAnsi" w:cstheme="minorHAnsi"/>
                <w:sz w:val="18"/>
                <w:szCs w:val="18"/>
              </w:rPr>
              <w:t>(</w:t>
            </w:r>
            <w:r w:rsidR="00F158B3" w:rsidRPr="00955BD1">
              <w:rPr>
                <w:rFonts w:asciiTheme="minorHAnsi" w:hAnsiTheme="minorHAnsi" w:cstheme="minorHAnsi"/>
                <w:sz w:val="18"/>
                <w:szCs w:val="18"/>
              </w:rPr>
              <w:t>8,17</w:t>
            </w:r>
            <w:r w:rsidR="00E03AC7" w:rsidRPr="00955BD1">
              <w:rPr>
                <w:rFonts w:asciiTheme="minorHAnsi" w:hAnsiTheme="minorHAnsi" w:cstheme="minorHAnsi"/>
                <w:sz w:val="18"/>
                <w:szCs w:val="18"/>
              </w:rPr>
              <w:t>6</w:t>
            </w:r>
            <w:r w:rsidR="00F158B3" w:rsidRPr="00955BD1">
              <w:rPr>
                <w:rFonts w:asciiTheme="minorHAnsi" w:hAnsiTheme="minorHAnsi" w:cstheme="minorHAnsi"/>
                <w:sz w:val="18"/>
                <w:szCs w:val="18"/>
              </w:rPr>
              <w:t>,</w:t>
            </w:r>
            <w:r w:rsidR="00EA2DFD" w:rsidRPr="00955BD1">
              <w:rPr>
                <w:rFonts w:asciiTheme="minorHAnsi" w:hAnsiTheme="minorHAnsi" w:cstheme="minorHAnsi"/>
                <w:sz w:val="18"/>
                <w:szCs w:val="18"/>
              </w:rPr>
              <w:t>413</w:t>
            </w:r>
            <w:r w:rsidRPr="00955BD1">
              <w:rPr>
                <w:rFonts w:asciiTheme="minorHAnsi" w:hAnsiTheme="minorHAnsi" w:cstheme="minorHAnsi"/>
                <w:sz w:val="18"/>
                <w:szCs w:val="18"/>
              </w:rPr>
              <w:t>)</w:t>
            </w:r>
          </w:p>
        </w:tc>
      </w:tr>
      <w:tr w:rsidR="00E03AC7" w:rsidRPr="00955BD1" w14:paraId="617BDD5B" w14:textId="77777777" w:rsidTr="003C6BB4">
        <w:trPr>
          <w:trHeight w:val="215"/>
        </w:trPr>
        <w:tc>
          <w:tcPr>
            <w:tcW w:w="5245" w:type="dxa"/>
          </w:tcPr>
          <w:p w14:paraId="6D231F60" w14:textId="77777777" w:rsidR="00E03AC7" w:rsidRPr="00955BD1" w:rsidRDefault="00E03AC7" w:rsidP="0066129D">
            <w:pPr>
              <w:spacing w:line="276" w:lineRule="auto"/>
              <w:rPr>
                <w:rFonts w:asciiTheme="minorHAnsi" w:hAnsiTheme="minorHAnsi" w:cstheme="minorHAnsi"/>
                <w:b/>
                <w:sz w:val="18"/>
                <w:szCs w:val="18"/>
              </w:rPr>
            </w:pPr>
          </w:p>
        </w:tc>
        <w:tc>
          <w:tcPr>
            <w:tcW w:w="1418" w:type="dxa"/>
            <w:tcBorders>
              <w:top w:val="single" w:sz="4" w:space="0" w:color="auto"/>
            </w:tcBorders>
          </w:tcPr>
          <w:p w14:paraId="7777A4A7" w14:textId="77777777" w:rsidR="00E03AC7" w:rsidRPr="00955BD1" w:rsidRDefault="00E03AC7" w:rsidP="0066129D">
            <w:pPr>
              <w:spacing w:line="276" w:lineRule="auto"/>
              <w:jc w:val="right"/>
              <w:rPr>
                <w:rFonts w:asciiTheme="minorHAnsi" w:hAnsiTheme="minorHAnsi" w:cstheme="minorHAnsi"/>
                <w:sz w:val="18"/>
                <w:szCs w:val="18"/>
              </w:rPr>
            </w:pPr>
          </w:p>
        </w:tc>
        <w:tc>
          <w:tcPr>
            <w:tcW w:w="1275" w:type="dxa"/>
            <w:tcBorders>
              <w:top w:val="single" w:sz="4" w:space="0" w:color="auto"/>
            </w:tcBorders>
          </w:tcPr>
          <w:p w14:paraId="43F49879" w14:textId="77777777" w:rsidR="00E03AC7" w:rsidRPr="00955BD1" w:rsidRDefault="00E03AC7" w:rsidP="0066129D">
            <w:pPr>
              <w:jc w:val="right"/>
              <w:rPr>
                <w:rFonts w:asciiTheme="minorHAnsi" w:hAnsiTheme="minorHAnsi" w:cstheme="minorHAnsi"/>
                <w:sz w:val="18"/>
                <w:szCs w:val="18"/>
              </w:rPr>
            </w:pPr>
          </w:p>
        </w:tc>
        <w:tc>
          <w:tcPr>
            <w:tcW w:w="1276" w:type="dxa"/>
            <w:tcBorders>
              <w:top w:val="single" w:sz="4" w:space="0" w:color="auto"/>
            </w:tcBorders>
          </w:tcPr>
          <w:p w14:paraId="198A32E6" w14:textId="77777777" w:rsidR="00E03AC7" w:rsidRPr="00955BD1" w:rsidRDefault="00E03AC7" w:rsidP="0066129D">
            <w:pPr>
              <w:jc w:val="right"/>
              <w:rPr>
                <w:rFonts w:asciiTheme="minorHAnsi" w:hAnsiTheme="minorHAnsi" w:cstheme="minorHAnsi"/>
                <w:sz w:val="18"/>
                <w:szCs w:val="18"/>
              </w:rPr>
            </w:pPr>
          </w:p>
        </w:tc>
        <w:tc>
          <w:tcPr>
            <w:tcW w:w="1276" w:type="dxa"/>
            <w:tcBorders>
              <w:top w:val="single" w:sz="4" w:space="0" w:color="auto"/>
            </w:tcBorders>
          </w:tcPr>
          <w:p w14:paraId="65CF6C55" w14:textId="77777777" w:rsidR="00E03AC7" w:rsidRPr="00955BD1" w:rsidRDefault="00E03AC7" w:rsidP="0066129D">
            <w:pPr>
              <w:jc w:val="right"/>
              <w:rPr>
                <w:rFonts w:asciiTheme="minorHAnsi" w:hAnsiTheme="minorHAnsi" w:cstheme="minorHAnsi"/>
                <w:sz w:val="18"/>
                <w:szCs w:val="18"/>
              </w:rPr>
            </w:pPr>
          </w:p>
        </w:tc>
      </w:tr>
      <w:tr w:rsidR="008B0C2A" w:rsidRPr="00955BD1" w14:paraId="0312F3C3" w14:textId="77777777" w:rsidTr="003C6BB4">
        <w:tc>
          <w:tcPr>
            <w:tcW w:w="5245" w:type="dxa"/>
          </w:tcPr>
          <w:p w14:paraId="0312F3A8" w14:textId="7D54A59A" w:rsidR="008B0C2A" w:rsidRPr="00955BD1" w:rsidRDefault="008B0C2A" w:rsidP="00FB687E">
            <w:pPr>
              <w:spacing w:line="276" w:lineRule="auto"/>
              <w:rPr>
                <w:rFonts w:asciiTheme="minorHAnsi" w:hAnsiTheme="minorHAnsi" w:cstheme="minorHAnsi"/>
                <w:b/>
                <w:sz w:val="18"/>
                <w:szCs w:val="18"/>
              </w:rPr>
            </w:pPr>
          </w:p>
        </w:tc>
        <w:tc>
          <w:tcPr>
            <w:tcW w:w="1418" w:type="dxa"/>
          </w:tcPr>
          <w:p w14:paraId="0312F3A9" w14:textId="7E3CCB6A" w:rsidR="008B0C2A" w:rsidRPr="00955BD1" w:rsidRDefault="008B0C2A" w:rsidP="00FB687E">
            <w:pPr>
              <w:spacing w:line="276" w:lineRule="auto"/>
              <w:jc w:val="right"/>
              <w:rPr>
                <w:rFonts w:asciiTheme="minorHAnsi" w:hAnsiTheme="minorHAnsi" w:cstheme="minorHAnsi"/>
                <w:sz w:val="18"/>
                <w:szCs w:val="18"/>
              </w:rPr>
            </w:pPr>
          </w:p>
        </w:tc>
        <w:tc>
          <w:tcPr>
            <w:tcW w:w="1275" w:type="dxa"/>
          </w:tcPr>
          <w:p w14:paraId="0312F3AE" w14:textId="768F9B11" w:rsidR="008B0C2A" w:rsidRPr="00955BD1" w:rsidRDefault="008B0C2A" w:rsidP="00FB687E">
            <w:pPr>
              <w:jc w:val="right"/>
              <w:rPr>
                <w:rFonts w:asciiTheme="minorHAnsi" w:hAnsiTheme="minorHAnsi" w:cstheme="minorHAnsi"/>
                <w:sz w:val="18"/>
                <w:szCs w:val="18"/>
              </w:rPr>
            </w:pPr>
          </w:p>
        </w:tc>
        <w:tc>
          <w:tcPr>
            <w:tcW w:w="1276" w:type="dxa"/>
          </w:tcPr>
          <w:p w14:paraId="7ECBAA9C" w14:textId="77777777" w:rsidR="008B0C2A" w:rsidRPr="00955BD1" w:rsidDel="00327471" w:rsidRDefault="008B0C2A" w:rsidP="00FB687E">
            <w:pPr>
              <w:jc w:val="right"/>
              <w:rPr>
                <w:rFonts w:asciiTheme="minorHAnsi" w:hAnsiTheme="minorHAnsi" w:cstheme="minorHAnsi"/>
                <w:sz w:val="18"/>
                <w:szCs w:val="18"/>
              </w:rPr>
            </w:pPr>
          </w:p>
        </w:tc>
        <w:tc>
          <w:tcPr>
            <w:tcW w:w="1276" w:type="dxa"/>
          </w:tcPr>
          <w:p w14:paraId="0312F3C2" w14:textId="2EB63CFA" w:rsidR="008B0C2A" w:rsidRPr="00955BD1" w:rsidRDefault="008B0C2A" w:rsidP="00FB687E">
            <w:pPr>
              <w:jc w:val="right"/>
              <w:rPr>
                <w:rFonts w:asciiTheme="minorHAnsi" w:hAnsiTheme="minorHAnsi" w:cstheme="minorHAnsi"/>
                <w:sz w:val="18"/>
                <w:szCs w:val="18"/>
              </w:rPr>
            </w:pPr>
          </w:p>
        </w:tc>
      </w:tr>
      <w:tr w:rsidR="008B0C2A" w:rsidRPr="00955BD1" w14:paraId="72B2FEE1" w14:textId="77777777" w:rsidTr="008B0C2A">
        <w:tc>
          <w:tcPr>
            <w:tcW w:w="5245" w:type="dxa"/>
          </w:tcPr>
          <w:p w14:paraId="7350DCE8" w14:textId="691A5976" w:rsidR="008B0C2A" w:rsidRPr="00955BD1" w:rsidRDefault="008B0C2A" w:rsidP="003009B8">
            <w:pPr>
              <w:tabs>
                <w:tab w:val="left" w:pos="1809"/>
              </w:tabs>
              <w:spacing w:line="276" w:lineRule="auto"/>
              <w:rPr>
                <w:rFonts w:asciiTheme="minorHAnsi" w:hAnsiTheme="minorHAnsi" w:cstheme="minorHAnsi"/>
                <w:sz w:val="18"/>
                <w:szCs w:val="18"/>
              </w:rPr>
            </w:pPr>
            <w:r w:rsidRPr="00955BD1">
              <w:rPr>
                <w:rFonts w:asciiTheme="minorHAnsi" w:hAnsiTheme="minorHAnsi" w:cstheme="minorHAnsi"/>
                <w:sz w:val="18"/>
                <w:szCs w:val="18"/>
              </w:rPr>
              <w:t>Loss for the year</w:t>
            </w:r>
          </w:p>
        </w:tc>
        <w:tc>
          <w:tcPr>
            <w:tcW w:w="1418" w:type="dxa"/>
          </w:tcPr>
          <w:p w14:paraId="0037A09A" w14:textId="5407197C" w:rsidR="008B0C2A" w:rsidRPr="00955BD1" w:rsidRDefault="008B0C2A" w:rsidP="003009B8">
            <w:pPr>
              <w:spacing w:line="276" w:lineRule="auto"/>
              <w:jc w:val="right"/>
              <w:rPr>
                <w:rFonts w:asciiTheme="minorHAnsi" w:hAnsiTheme="minorHAnsi" w:cstheme="minorHAnsi"/>
                <w:sz w:val="18"/>
                <w:szCs w:val="18"/>
              </w:rPr>
            </w:pPr>
            <w:r w:rsidRPr="00955BD1">
              <w:rPr>
                <w:rFonts w:asciiTheme="minorHAnsi" w:hAnsiTheme="minorHAnsi" w:cstheme="minorHAnsi"/>
                <w:sz w:val="18"/>
                <w:szCs w:val="18"/>
              </w:rPr>
              <w:t>-</w:t>
            </w:r>
          </w:p>
        </w:tc>
        <w:tc>
          <w:tcPr>
            <w:tcW w:w="1275" w:type="dxa"/>
          </w:tcPr>
          <w:p w14:paraId="7118F235" w14:textId="2F699F9C" w:rsidR="008B0C2A" w:rsidRPr="00955BD1" w:rsidRDefault="008B0C2A" w:rsidP="003009B8">
            <w:pPr>
              <w:jc w:val="right"/>
              <w:rPr>
                <w:rFonts w:asciiTheme="minorHAnsi" w:hAnsiTheme="minorHAnsi" w:cstheme="minorHAnsi"/>
                <w:sz w:val="18"/>
                <w:szCs w:val="18"/>
              </w:rPr>
            </w:pPr>
            <w:r w:rsidRPr="00955BD1">
              <w:rPr>
                <w:rFonts w:asciiTheme="minorHAnsi" w:hAnsiTheme="minorHAnsi" w:cstheme="minorHAnsi"/>
                <w:sz w:val="18"/>
                <w:szCs w:val="18"/>
              </w:rPr>
              <w:t>-</w:t>
            </w:r>
          </w:p>
        </w:tc>
        <w:tc>
          <w:tcPr>
            <w:tcW w:w="1276" w:type="dxa"/>
          </w:tcPr>
          <w:p w14:paraId="2D8E4204" w14:textId="16642B02" w:rsidR="008B0C2A" w:rsidRPr="00955BD1" w:rsidDel="00327471" w:rsidRDefault="005F793F" w:rsidP="003009B8">
            <w:pPr>
              <w:jc w:val="right"/>
              <w:rPr>
                <w:rFonts w:asciiTheme="minorHAnsi" w:hAnsiTheme="minorHAnsi" w:cstheme="minorHAnsi"/>
                <w:sz w:val="18"/>
                <w:szCs w:val="18"/>
              </w:rPr>
            </w:pPr>
            <w:r w:rsidRPr="00955BD1">
              <w:rPr>
                <w:rFonts w:asciiTheme="minorHAnsi" w:hAnsiTheme="minorHAnsi" w:cstheme="minorHAnsi"/>
                <w:sz w:val="18"/>
                <w:szCs w:val="18"/>
              </w:rPr>
              <w:t>(</w:t>
            </w:r>
            <w:r w:rsidR="00A507AD">
              <w:rPr>
                <w:rFonts w:asciiTheme="minorHAnsi" w:hAnsiTheme="minorHAnsi" w:cstheme="minorHAnsi"/>
                <w:sz w:val="18"/>
                <w:szCs w:val="18"/>
              </w:rPr>
              <w:t>762,</w:t>
            </w:r>
            <w:r w:rsidR="003C6BB4">
              <w:rPr>
                <w:rFonts w:asciiTheme="minorHAnsi" w:hAnsiTheme="minorHAnsi" w:cstheme="minorHAnsi"/>
                <w:sz w:val="18"/>
                <w:szCs w:val="18"/>
              </w:rPr>
              <w:t>107</w:t>
            </w:r>
            <w:r w:rsidRPr="00955BD1">
              <w:rPr>
                <w:rFonts w:asciiTheme="minorHAnsi" w:hAnsiTheme="minorHAnsi" w:cstheme="minorHAnsi"/>
                <w:sz w:val="18"/>
                <w:szCs w:val="18"/>
              </w:rPr>
              <w:t>)</w:t>
            </w:r>
          </w:p>
        </w:tc>
        <w:tc>
          <w:tcPr>
            <w:tcW w:w="1276" w:type="dxa"/>
          </w:tcPr>
          <w:p w14:paraId="45874D73" w14:textId="57CBC743" w:rsidR="008B0C2A" w:rsidRPr="00955BD1" w:rsidRDefault="00A507AD" w:rsidP="003009B8">
            <w:pPr>
              <w:jc w:val="right"/>
              <w:rPr>
                <w:rFonts w:asciiTheme="minorHAnsi" w:hAnsiTheme="minorHAnsi" w:cstheme="minorHAnsi"/>
                <w:sz w:val="18"/>
                <w:szCs w:val="18"/>
              </w:rPr>
            </w:pPr>
            <w:r w:rsidRPr="00955BD1">
              <w:rPr>
                <w:rFonts w:asciiTheme="minorHAnsi" w:hAnsiTheme="minorHAnsi" w:cstheme="minorHAnsi"/>
                <w:sz w:val="18"/>
                <w:szCs w:val="18"/>
              </w:rPr>
              <w:t>(</w:t>
            </w:r>
            <w:r>
              <w:rPr>
                <w:rFonts w:asciiTheme="minorHAnsi" w:hAnsiTheme="minorHAnsi" w:cstheme="minorHAnsi"/>
                <w:sz w:val="18"/>
                <w:szCs w:val="18"/>
              </w:rPr>
              <w:t>762,</w:t>
            </w:r>
            <w:r w:rsidR="003C6BB4">
              <w:rPr>
                <w:rFonts w:asciiTheme="minorHAnsi" w:hAnsiTheme="minorHAnsi" w:cstheme="minorHAnsi"/>
                <w:sz w:val="18"/>
                <w:szCs w:val="18"/>
              </w:rPr>
              <w:t>107</w:t>
            </w:r>
            <w:r w:rsidRPr="00955BD1">
              <w:rPr>
                <w:rFonts w:asciiTheme="minorHAnsi" w:hAnsiTheme="minorHAnsi" w:cstheme="minorHAnsi"/>
                <w:sz w:val="18"/>
                <w:szCs w:val="18"/>
              </w:rPr>
              <w:t>)</w:t>
            </w:r>
          </w:p>
        </w:tc>
      </w:tr>
      <w:tr w:rsidR="008B0C2A" w:rsidRPr="00955BD1" w14:paraId="456F1CA6" w14:textId="77777777" w:rsidTr="008B0C2A">
        <w:tc>
          <w:tcPr>
            <w:tcW w:w="5245" w:type="dxa"/>
            <w:tcBorders>
              <w:right w:val="single" w:sz="4" w:space="0" w:color="auto"/>
            </w:tcBorders>
          </w:tcPr>
          <w:p w14:paraId="56A5405A" w14:textId="528777E2" w:rsidR="008B0C2A" w:rsidRPr="00955BD1" w:rsidRDefault="008B0C2A" w:rsidP="003009B8">
            <w:pPr>
              <w:tabs>
                <w:tab w:val="left" w:pos="1809"/>
              </w:tabs>
              <w:spacing w:line="276" w:lineRule="auto"/>
              <w:rPr>
                <w:rFonts w:asciiTheme="minorHAnsi" w:hAnsiTheme="minorHAnsi" w:cstheme="minorHAnsi"/>
                <w:sz w:val="18"/>
                <w:szCs w:val="18"/>
              </w:rPr>
            </w:pPr>
            <w:r w:rsidRPr="00955BD1">
              <w:rPr>
                <w:rFonts w:asciiTheme="minorHAnsi" w:hAnsiTheme="minorHAnsi" w:cstheme="minorHAnsi"/>
                <w:sz w:val="18"/>
                <w:szCs w:val="18"/>
              </w:rPr>
              <w:t>Total comprehensive loss for the year</w:t>
            </w:r>
          </w:p>
        </w:tc>
        <w:tc>
          <w:tcPr>
            <w:tcW w:w="1418" w:type="dxa"/>
            <w:tcBorders>
              <w:top w:val="single" w:sz="4" w:space="0" w:color="auto"/>
              <w:left w:val="single" w:sz="4" w:space="0" w:color="auto"/>
              <w:bottom w:val="single" w:sz="4" w:space="0" w:color="auto"/>
            </w:tcBorders>
          </w:tcPr>
          <w:p w14:paraId="67EF1D80" w14:textId="77777777" w:rsidR="008B0C2A" w:rsidRPr="00955BD1" w:rsidRDefault="008B0C2A" w:rsidP="003009B8">
            <w:pPr>
              <w:spacing w:line="276" w:lineRule="auto"/>
              <w:jc w:val="right"/>
              <w:rPr>
                <w:rFonts w:asciiTheme="minorHAnsi" w:hAnsiTheme="minorHAnsi" w:cstheme="minorHAnsi"/>
                <w:sz w:val="18"/>
                <w:szCs w:val="18"/>
              </w:rPr>
            </w:pPr>
          </w:p>
          <w:p w14:paraId="1CA29590" w14:textId="5B4B9BE8" w:rsidR="008B0C2A" w:rsidRPr="00955BD1" w:rsidRDefault="008B0C2A" w:rsidP="003009B8">
            <w:pPr>
              <w:spacing w:line="276" w:lineRule="auto"/>
              <w:jc w:val="right"/>
              <w:rPr>
                <w:rFonts w:asciiTheme="minorHAnsi" w:hAnsiTheme="minorHAnsi" w:cstheme="minorHAnsi"/>
                <w:sz w:val="18"/>
                <w:szCs w:val="18"/>
              </w:rPr>
            </w:pPr>
            <w:r w:rsidRPr="00955BD1">
              <w:rPr>
                <w:rFonts w:asciiTheme="minorHAnsi" w:hAnsiTheme="minorHAnsi" w:cstheme="minorHAnsi"/>
                <w:sz w:val="18"/>
                <w:szCs w:val="18"/>
              </w:rPr>
              <w:t>-</w:t>
            </w:r>
          </w:p>
        </w:tc>
        <w:tc>
          <w:tcPr>
            <w:tcW w:w="1275" w:type="dxa"/>
            <w:tcBorders>
              <w:top w:val="single" w:sz="4" w:space="0" w:color="auto"/>
              <w:bottom w:val="single" w:sz="4" w:space="0" w:color="auto"/>
            </w:tcBorders>
          </w:tcPr>
          <w:p w14:paraId="7EA8ED0B" w14:textId="77777777" w:rsidR="008B0C2A" w:rsidRPr="00955BD1" w:rsidRDefault="008B0C2A" w:rsidP="003009B8">
            <w:pPr>
              <w:jc w:val="right"/>
              <w:rPr>
                <w:rFonts w:asciiTheme="minorHAnsi" w:hAnsiTheme="minorHAnsi" w:cstheme="minorHAnsi"/>
                <w:sz w:val="18"/>
                <w:szCs w:val="18"/>
              </w:rPr>
            </w:pPr>
          </w:p>
          <w:p w14:paraId="24507920" w14:textId="319AB010" w:rsidR="008B0C2A" w:rsidRPr="00955BD1" w:rsidRDefault="008B0C2A" w:rsidP="003009B8">
            <w:pPr>
              <w:jc w:val="right"/>
              <w:rPr>
                <w:rFonts w:asciiTheme="minorHAnsi" w:hAnsiTheme="minorHAnsi" w:cstheme="minorHAnsi"/>
                <w:sz w:val="18"/>
                <w:szCs w:val="18"/>
              </w:rPr>
            </w:pPr>
            <w:r w:rsidRPr="00955BD1">
              <w:rPr>
                <w:rFonts w:asciiTheme="minorHAnsi" w:hAnsiTheme="minorHAnsi" w:cstheme="minorHAnsi"/>
                <w:sz w:val="18"/>
                <w:szCs w:val="18"/>
              </w:rPr>
              <w:t>-</w:t>
            </w:r>
          </w:p>
        </w:tc>
        <w:tc>
          <w:tcPr>
            <w:tcW w:w="1276" w:type="dxa"/>
            <w:tcBorders>
              <w:top w:val="single" w:sz="4" w:space="0" w:color="auto"/>
              <w:bottom w:val="single" w:sz="4" w:space="0" w:color="auto"/>
            </w:tcBorders>
          </w:tcPr>
          <w:p w14:paraId="1A57BFCE" w14:textId="77777777" w:rsidR="00F158B3" w:rsidRPr="00955BD1" w:rsidRDefault="00F158B3" w:rsidP="003009B8">
            <w:pPr>
              <w:jc w:val="right"/>
              <w:rPr>
                <w:rFonts w:asciiTheme="minorHAnsi" w:hAnsiTheme="minorHAnsi" w:cstheme="minorHAnsi"/>
                <w:sz w:val="18"/>
                <w:szCs w:val="18"/>
              </w:rPr>
            </w:pPr>
          </w:p>
          <w:p w14:paraId="335A880E" w14:textId="7D88DB04" w:rsidR="008B0C2A" w:rsidRPr="00955BD1" w:rsidDel="00327471" w:rsidRDefault="00A507AD" w:rsidP="003009B8">
            <w:pPr>
              <w:jc w:val="right"/>
              <w:rPr>
                <w:rFonts w:asciiTheme="minorHAnsi" w:hAnsiTheme="minorHAnsi" w:cstheme="minorHAnsi"/>
                <w:sz w:val="18"/>
                <w:szCs w:val="18"/>
              </w:rPr>
            </w:pPr>
            <w:r>
              <w:rPr>
                <w:rFonts w:asciiTheme="minorHAnsi" w:hAnsiTheme="minorHAnsi" w:cstheme="minorHAnsi"/>
                <w:sz w:val="18"/>
                <w:szCs w:val="18"/>
              </w:rPr>
              <w:t>(762,</w:t>
            </w:r>
            <w:r w:rsidR="003C6BB4">
              <w:rPr>
                <w:rFonts w:asciiTheme="minorHAnsi" w:hAnsiTheme="minorHAnsi" w:cstheme="minorHAnsi"/>
                <w:sz w:val="18"/>
                <w:szCs w:val="18"/>
              </w:rPr>
              <w:t>107</w:t>
            </w:r>
            <w:r w:rsidR="005F793F" w:rsidRPr="00955BD1">
              <w:rPr>
                <w:rFonts w:asciiTheme="minorHAnsi" w:hAnsiTheme="minorHAnsi" w:cstheme="minorHAnsi"/>
                <w:sz w:val="18"/>
                <w:szCs w:val="18"/>
              </w:rPr>
              <w:t>)</w:t>
            </w:r>
          </w:p>
        </w:tc>
        <w:tc>
          <w:tcPr>
            <w:tcW w:w="1276" w:type="dxa"/>
            <w:tcBorders>
              <w:top w:val="single" w:sz="4" w:space="0" w:color="auto"/>
              <w:bottom w:val="single" w:sz="4" w:space="0" w:color="auto"/>
              <w:right w:val="single" w:sz="4" w:space="0" w:color="auto"/>
            </w:tcBorders>
          </w:tcPr>
          <w:p w14:paraId="6BDF5472" w14:textId="77777777" w:rsidR="00F158B3" w:rsidRPr="00955BD1" w:rsidRDefault="00F158B3" w:rsidP="003009B8">
            <w:pPr>
              <w:jc w:val="right"/>
              <w:rPr>
                <w:rFonts w:asciiTheme="minorHAnsi" w:hAnsiTheme="minorHAnsi" w:cstheme="minorHAnsi"/>
                <w:sz w:val="18"/>
                <w:szCs w:val="18"/>
              </w:rPr>
            </w:pPr>
          </w:p>
          <w:p w14:paraId="3322499F" w14:textId="5FDFC448" w:rsidR="008B0C2A" w:rsidRPr="00955BD1" w:rsidRDefault="002B5435" w:rsidP="003009B8">
            <w:pPr>
              <w:jc w:val="right"/>
              <w:rPr>
                <w:rFonts w:asciiTheme="minorHAnsi" w:hAnsiTheme="minorHAnsi" w:cstheme="minorHAnsi"/>
                <w:sz w:val="18"/>
                <w:szCs w:val="18"/>
              </w:rPr>
            </w:pPr>
            <w:r w:rsidRPr="00955BD1">
              <w:rPr>
                <w:rFonts w:asciiTheme="minorHAnsi" w:hAnsiTheme="minorHAnsi" w:cstheme="minorHAnsi"/>
                <w:sz w:val="18"/>
                <w:szCs w:val="18"/>
              </w:rPr>
              <w:t>(</w:t>
            </w:r>
            <w:r w:rsidR="00A507AD">
              <w:rPr>
                <w:rFonts w:asciiTheme="minorHAnsi" w:hAnsiTheme="minorHAnsi" w:cstheme="minorHAnsi"/>
                <w:sz w:val="18"/>
                <w:szCs w:val="18"/>
              </w:rPr>
              <w:t>762,</w:t>
            </w:r>
            <w:r w:rsidR="003C6BB4">
              <w:rPr>
                <w:rFonts w:asciiTheme="minorHAnsi" w:hAnsiTheme="minorHAnsi" w:cstheme="minorHAnsi"/>
                <w:sz w:val="18"/>
                <w:szCs w:val="18"/>
              </w:rPr>
              <w:t>107</w:t>
            </w:r>
            <w:r w:rsidRPr="00955BD1">
              <w:rPr>
                <w:rFonts w:asciiTheme="minorHAnsi" w:hAnsiTheme="minorHAnsi" w:cstheme="minorHAnsi"/>
                <w:sz w:val="18"/>
                <w:szCs w:val="18"/>
              </w:rPr>
              <w:t>)</w:t>
            </w:r>
          </w:p>
        </w:tc>
      </w:tr>
      <w:tr w:rsidR="008B0C2A" w:rsidRPr="00955BD1" w14:paraId="31AF1F60" w14:textId="77777777" w:rsidTr="003C6BB4">
        <w:tc>
          <w:tcPr>
            <w:tcW w:w="5245" w:type="dxa"/>
          </w:tcPr>
          <w:p w14:paraId="52AAD582" w14:textId="718CF9EB" w:rsidR="008B0C2A" w:rsidRPr="00955BD1" w:rsidRDefault="008B0C2A" w:rsidP="003009B8">
            <w:pPr>
              <w:tabs>
                <w:tab w:val="left" w:pos="1809"/>
              </w:tabs>
              <w:spacing w:line="276" w:lineRule="auto"/>
              <w:rPr>
                <w:rFonts w:asciiTheme="minorHAnsi" w:hAnsiTheme="minorHAnsi" w:cstheme="minorHAnsi"/>
                <w:sz w:val="18"/>
                <w:szCs w:val="18"/>
              </w:rPr>
            </w:pPr>
            <w:r w:rsidRPr="00955BD1">
              <w:rPr>
                <w:rFonts w:asciiTheme="minorHAnsi" w:hAnsiTheme="minorHAnsi" w:cstheme="minorHAnsi"/>
                <w:sz w:val="18"/>
                <w:szCs w:val="18"/>
              </w:rPr>
              <w:t>Transactions with owners:</w:t>
            </w:r>
          </w:p>
        </w:tc>
        <w:tc>
          <w:tcPr>
            <w:tcW w:w="1418" w:type="dxa"/>
            <w:tcBorders>
              <w:top w:val="single" w:sz="4" w:space="0" w:color="auto"/>
            </w:tcBorders>
          </w:tcPr>
          <w:p w14:paraId="7ECDC7D2" w14:textId="7824F2F0" w:rsidR="008B0C2A" w:rsidRPr="00955BD1" w:rsidRDefault="008B0C2A" w:rsidP="003009B8">
            <w:pPr>
              <w:spacing w:line="276" w:lineRule="auto"/>
              <w:jc w:val="right"/>
              <w:rPr>
                <w:rFonts w:asciiTheme="minorHAnsi" w:hAnsiTheme="minorHAnsi" w:cstheme="minorHAnsi"/>
                <w:sz w:val="18"/>
                <w:szCs w:val="18"/>
              </w:rPr>
            </w:pPr>
          </w:p>
        </w:tc>
        <w:tc>
          <w:tcPr>
            <w:tcW w:w="1275" w:type="dxa"/>
            <w:tcBorders>
              <w:top w:val="single" w:sz="4" w:space="0" w:color="auto"/>
            </w:tcBorders>
          </w:tcPr>
          <w:p w14:paraId="3777BD33" w14:textId="3C88E044" w:rsidR="008B0C2A" w:rsidRPr="00955BD1" w:rsidRDefault="008B0C2A" w:rsidP="003009B8">
            <w:pPr>
              <w:jc w:val="right"/>
              <w:rPr>
                <w:rFonts w:asciiTheme="minorHAnsi" w:hAnsiTheme="minorHAnsi" w:cstheme="minorHAnsi"/>
                <w:sz w:val="18"/>
                <w:szCs w:val="18"/>
              </w:rPr>
            </w:pPr>
          </w:p>
        </w:tc>
        <w:tc>
          <w:tcPr>
            <w:tcW w:w="1276" w:type="dxa"/>
            <w:tcBorders>
              <w:top w:val="single" w:sz="4" w:space="0" w:color="auto"/>
            </w:tcBorders>
          </w:tcPr>
          <w:p w14:paraId="6E083FD8" w14:textId="77777777" w:rsidR="008B0C2A" w:rsidRPr="00955BD1" w:rsidDel="00327471" w:rsidRDefault="008B0C2A" w:rsidP="003009B8">
            <w:pPr>
              <w:jc w:val="right"/>
              <w:rPr>
                <w:rFonts w:asciiTheme="minorHAnsi" w:hAnsiTheme="minorHAnsi" w:cstheme="minorHAnsi"/>
                <w:sz w:val="18"/>
                <w:szCs w:val="18"/>
              </w:rPr>
            </w:pPr>
          </w:p>
        </w:tc>
        <w:tc>
          <w:tcPr>
            <w:tcW w:w="1276" w:type="dxa"/>
            <w:tcBorders>
              <w:top w:val="single" w:sz="4" w:space="0" w:color="auto"/>
            </w:tcBorders>
          </w:tcPr>
          <w:p w14:paraId="4D863BC0" w14:textId="79D6EECD" w:rsidR="008B0C2A" w:rsidRPr="00955BD1" w:rsidRDefault="008B0C2A" w:rsidP="003009B8">
            <w:pPr>
              <w:jc w:val="right"/>
              <w:rPr>
                <w:rFonts w:asciiTheme="minorHAnsi" w:hAnsiTheme="minorHAnsi" w:cstheme="minorHAnsi"/>
                <w:sz w:val="18"/>
                <w:szCs w:val="18"/>
              </w:rPr>
            </w:pPr>
          </w:p>
        </w:tc>
      </w:tr>
      <w:tr w:rsidR="008B0C2A" w:rsidRPr="00955BD1" w14:paraId="7DB7C7D2" w14:textId="77777777" w:rsidTr="003C6BB4">
        <w:tc>
          <w:tcPr>
            <w:tcW w:w="5245" w:type="dxa"/>
          </w:tcPr>
          <w:p w14:paraId="455B820C" w14:textId="79CBF784" w:rsidR="005F793F" w:rsidRPr="00955BD1" w:rsidRDefault="005F793F" w:rsidP="001555CB">
            <w:pPr>
              <w:rPr>
                <w:rFonts w:asciiTheme="minorHAnsi" w:hAnsiTheme="minorHAnsi" w:cstheme="minorHAnsi"/>
                <w:b/>
                <w:sz w:val="18"/>
                <w:szCs w:val="18"/>
              </w:rPr>
            </w:pPr>
          </w:p>
        </w:tc>
        <w:tc>
          <w:tcPr>
            <w:tcW w:w="1418" w:type="dxa"/>
            <w:tcBorders>
              <w:bottom w:val="single" w:sz="4" w:space="0" w:color="auto"/>
            </w:tcBorders>
          </w:tcPr>
          <w:p w14:paraId="6298EF8F" w14:textId="47E72DA9" w:rsidR="008B0C2A" w:rsidRPr="00955BD1" w:rsidRDefault="008B0C2A" w:rsidP="001555CB">
            <w:pPr>
              <w:spacing w:line="276" w:lineRule="auto"/>
              <w:jc w:val="right"/>
              <w:rPr>
                <w:rFonts w:asciiTheme="minorHAnsi" w:hAnsiTheme="minorHAnsi" w:cstheme="minorHAnsi"/>
                <w:sz w:val="18"/>
                <w:szCs w:val="18"/>
              </w:rPr>
            </w:pPr>
          </w:p>
        </w:tc>
        <w:tc>
          <w:tcPr>
            <w:tcW w:w="1275" w:type="dxa"/>
            <w:tcBorders>
              <w:bottom w:val="single" w:sz="4" w:space="0" w:color="auto"/>
            </w:tcBorders>
          </w:tcPr>
          <w:p w14:paraId="202B1BB1" w14:textId="20326205" w:rsidR="008B0C2A" w:rsidRPr="00955BD1" w:rsidRDefault="008B0C2A" w:rsidP="001555CB">
            <w:pPr>
              <w:jc w:val="right"/>
              <w:rPr>
                <w:rFonts w:asciiTheme="minorHAnsi" w:hAnsiTheme="minorHAnsi" w:cstheme="minorHAnsi"/>
                <w:sz w:val="18"/>
                <w:szCs w:val="18"/>
              </w:rPr>
            </w:pPr>
          </w:p>
        </w:tc>
        <w:tc>
          <w:tcPr>
            <w:tcW w:w="1276" w:type="dxa"/>
            <w:tcBorders>
              <w:bottom w:val="single" w:sz="4" w:space="0" w:color="auto"/>
            </w:tcBorders>
          </w:tcPr>
          <w:p w14:paraId="39168C0A" w14:textId="69A95518" w:rsidR="008B0C2A" w:rsidRPr="00955BD1" w:rsidRDefault="008B0C2A" w:rsidP="001555CB">
            <w:pPr>
              <w:jc w:val="right"/>
              <w:rPr>
                <w:rFonts w:asciiTheme="minorHAnsi" w:hAnsiTheme="minorHAnsi" w:cstheme="minorHAnsi"/>
                <w:sz w:val="18"/>
                <w:szCs w:val="18"/>
              </w:rPr>
            </w:pPr>
          </w:p>
        </w:tc>
        <w:tc>
          <w:tcPr>
            <w:tcW w:w="1276" w:type="dxa"/>
            <w:tcBorders>
              <w:bottom w:val="single" w:sz="4" w:space="0" w:color="auto"/>
            </w:tcBorders>
          </w:tcPr>
          <w:p w14:paraId="31073CE4" w14:textId="34C44C21" w:rsidR="008B0C2A" w:rsidRPr="00955BD1" w:rsidRDefault="008B0C2A" w:rsidP="001555CB">
            <w:pPr>
              <w:jc w:val="right"/>
              <w:rPr>
                <w:rFonts w:asciiTheme="minorHAnsi" w:hAnsiTheme="minorHAnsi" w:cstheme="minorHAnsi"/>
                <w:sz w:val="18"/>
                <w:szCs w:val="18"/>
              </w:rPr>
            </w:pPr>
          </w:p>
        </w:tc>
      </w:tr>
      <w:tr w:rsidR="008B0C2A" w:rsidRPr="00BB3C18" w14:paraId="0312F3F5" w14:textId="77777777" w:rsidTr="003C6BB4">
        <w:tc>
          <w:tcPr>
            <w:tcW w:w="5245" w:type="dxa"/>
          </w:tcPr>
          <w:p w14:paraId="0312F3EE" w14:textId="126349A9" w:rsidR="008B0C2A" w:rsidRPr="00955BD1" w:rsidRDefault="008B0C2A" w:rsidP="001555CB">
            <w:pPr>
              <w:rPr>
                <w:rFonts w:asciiTheme="minorHAnsi" w:hAnsiTheme="minorHAnsi" w:cstheme="minorHAnsi"/>
                <w:b/>
                <w:sz w:val="18"/>
                <w:szCs w:val="18"/>
              </w:rPr>
            </w:pPr>
            <w:r w:rsidRPr="00955BD1">
              <w:rPr>
                <w:rFonts w:asciiTheme="minorHAnsi" w:hAnsiTheme="minorHAnsi" w:cstheme="minorHAnsi"/>
                <w:b/>
                <w:sz w:val="18"/>
                <w:szCs w:val="18"/>
              </w:rPr>
              <w:t>Balance at 30 June 202</w:t>
            </w:r>
            <w:r w:rsidR="00F158B3" w:rsidRPr="00955BD1">
              <w:rPr>
                <w:rFonts w:asciiTheme="minorHAnsi" w:hAnsiTheme="minorHAnsi" w:cstheme="minorHAnsi"/>
                <w:b/>
                <w:sz w:val="18"/>
                <w:szCs w:val="18"/>
              </w:rPr>
              <w:t>2</w:t>
            </w:r>
          </w:p>
        </w:tc>
        <w:tc>
          <w:tcPr>
            <w:tcW w:w="1418" w:type="dxa"/>
            <w:tcBorders>
              <w:top w:val="single" w:sz="4" w:space="0" w:color="auto"/>
              <w:bottom w:val="double" w:sz="4" w:space="0" w:color="auto"/>
            </w:tcBorders>
          </w:tcPr>
          <w:p w14:paraId="0312F3EF" w14:textId="57D60C87" w:rsidR="008B0C2A" w:rsidRPr="00955BD1" w:rsidRDefault="002B5435" w:rsidP="001555CB">
            <w:pPr>
              <w:spacing w:line="276" w:lineRule="auto"/>
              <w:jc w:val="right"/>
              <w:rPr>
                <w:rFonts w:asciiTheme="minorHAnsi" w:hAnsiTheme="minorHAnsi" w:cstheme="minorHAnsi"/>
                <w:sz w:val="18"/>
                <w:szCs w:val="18"/>
              </w:rPr>
            </w:pPr>
            <w:r w:rsidRPr="00955BD1">
              <w:rPr>
                <w:rFonts w:asciiTheme="minorHAnsi" w:hAnsiTheme="minorHAnsi" w:cstheme="minorHAnsi"/>
                <w:sz w:val="18"/>
                <w:szCs w:val="18"/>
              </w:rPr>
              <w:t>4,450,</w:t>
            </w:r>
            <w:r w:rsidR="00836E4A" w:rsidRPr="00955BD1">
              <w:rPr>
                <w:rFonts w:asciiTheme="minorHAnsi" w:hAnsiTheme="minorHAnsi" w:cstheme="minorHAnsi"/>
                <w:sz w:val="18"/>
                <w:szCs w:val="18"/>
              </w:rPr>
              <w:t>5</w:t>
            </w:r>
            <w:r w:rsidRPr="00955BD1">
              <w:rPr>
                <w:rFonts w:asciiTheme="minorHAnsi" w:hAnsiTheme="minorHAnsi" w:cstheme="minorHAnsi"/>
                <w:sz w:val="18"/>
                <w:szCs w:val="18"/>
              </w:rPr>
              <w:t>06</w:t>
            </w:r>
          </w:p>
        </w:tc>
        <w:tc>
          <w:tcPr>
            <w:tcW w:w="1275" w:type="dxa"/>
            <w:tcBorders>
              <w:top w:val="single" w:sz="4" w:space="0" w:color="auto"/>
              <w:bottom w:val="double" w:sz="4" w:space="0" w:color="auto"/>
            </w:tcBorders>
          </w:tcPr>
          <w:p w14:paraId="0312F3F0" w14:textId="16EEA478" w:rsidR="008B0C2A" w:rsidRPr="00955BD1" w:rsidRDefault="002B5435" w:rsidP="001555CB">
            <w:pPr>
              <w:jc w:val="right"/>
              <w:rPr>
                <w:rFonts w:asciiTheme="minorHAnsi" w:hAnsiTheme="minorHAnsi" w:cstheme="minorHAnsi"/>
                <w:sz w:val="18"/>
                <w:szCs w:val="18"/>
              </w:rPr>
            </w:pPr>
            <w:r w:rsidRPr="00955BD1">
              <w:rPr>
                <w:rFonts w:asciiTheme="minorHAnsi" w:hAnsiTheme="minorHAnsi" w:cstheme="minorHAnsi"/>
                <w:sz w:val="18"/>
                <w:szCs w:val="18"/>
              </w:rPr>
              <w:t>7,900,</w:t>
            </w:r>
            <w:r w:rsidR="00520738">
              <w:rPr>
                <w:rFonts w:asciiTheme="minorHAnsi" w:hAnsiTheme="minorHAnsi" w:cstheme="minorHAnsi"/>
                <w:sz w:val="18"/>
                <w:szCs w:val="18"/>
              </w:rPr>
              <w:t>7</w:t>
            </w:r>
            <w:r w:rsidRPr="00955BD1">
              <w:rPr>
                <w:rFonts w:asciiTheme="minorHAnsi" w:hAnsiTheme="minorHAnsi" w:cstheme="minorHAnsi"/>
                <w:sz w:val="18"/>
                <w:szCs w:val="18"/>
              </w:rPr>
              <w:t>78</w:t>
            </w:r>
          </w:p>
        </w:tc>
        <w:tc>
          <w:tcPr>
            <w:tcW w:w="1276" w:type="dxa"/>
            <w:tcBorders>
              <w:top w:val="single" w:sz="4" w:space="0" w:color="auto"/>
              <w:bottom w:val="double" w:sz="4" w:space="0" w:color="auto"/>
            </w:tcBorders>
          </w:tcPr>
          <w:p w14:paraId="70AF0319" w14:textId="7E714B25" w:rsidR="008B0C2A" w:rsidRPr="00955BD1" w:rsidDel="00327471" w:rsidRDefault="002B5435" w:rsidP="001555CB">
            <w:pPr>
              <w:jc w:val="right"/>
              <w:rPr>
                <w:rFonts w:asciiTheme="minorHAnsi" w:hAnsiTheme="minorHAnsi" w:cstheme="minorHAnsi"/>
                <w:sz w:val="18"/>
                <w:szCs w:val="18"/>
              </w:rPr>
            </w:pPr>
            <w:r w:rsidRPr="00955BD1">
              <w:rPr>
                <w:rFonts w:asciiTheme="minorHAnsi" w:hAnsiTheme="minorHAnsi" w:cstheme="minorHAnsi"/>
                <w:sz w:val="18"/>
                <w:szCs w:val="18"/>
              </w:rPr>
              <w:t>(21,</w:t>
            </w:r>
            <w:r w:rsidR="000B463B">
              <w:rPr>
                <w:rFonts w:asciiTheme="minorHAnsi" w:hAnsiTheme="minorHAnsi" w:cstheme="minorHAnsi"/>
                <w:sz w:val="18"/>
                <w:szCs w:val="18"/>
              </w:rPr>
              <w:t>289</w:t>
            </w:r>
            <w:r w:rsidRPr="00955BD1">
              <w:rPr>
                <w:rFonts w:asciiTheme="minorHAnsi" w:hAnsiTheme="minorHAnsi" w:cstheme="minorHAnsi"/>
                <w:sz w:val="18"/>
                <w:szCs w:val="18"/>
              </w:rPr>
              <w:t>,</w:t>
            </w:r>
            <w:r w:rsidR="003C6BB4">
              <w:rPr>
                <w:rFonts w:asciiTheme="minorHAnsi" w:hAnsiTheme="minorHAnsi" w:cstheme="minorHAnsi"/>
                <w:sz w:val="18"/>
                <w:szCs w:val="18"/>
              </w:rPr>
              <w:t>804</w:t>
            </w:r>
            <w:r w:rsidRPr="00955BD1">
              <w:rPr>
                <w:rFonts w:asciiTheme="minorHAnsi" w:hAnsiTheme="minorHAnsi" w:cstheme="minorHAnsi"/>
                <w:sz w:val="18"/>
                <w:szCs w:val="18"/>
              </w:rPr>
              <w:t>)</w:t>
            </w:r>
          </w:p>
        </w:tc>
        <w:tc>
          <w:tcPr>
            <w:tcW w:w="1276" w:type="dxa"/>
            <w:tcBorders>
              <w:top w:val="single" w:sz="4" w:space="0" w:color="auto"/>
              <w:bottom w:val="double" w:sz="4" w:space="0" w:color="auto"/>
            </w:tcBorders>
          </w:tcPr>
          <w:p w14:paraId="0312F3F4" w14:textId="2FB3306D" w:rsidR="008B0C2A" w:rsidRPr="00955BD1" w:rsidRDefault="002B5435" w:rsidP="001555CB">
            <w:pPr>
              <w:jc w:val="right"/>
              <w:rPr>
                <w:rFonts w:asciiTheme="minorHAnsi" w:hAnsiTheme="minorHAnsi" w:cstheme="minorHAnsi"/>
                <w:sz w:val="18"/>
                <w:szCs w:val="18"/>
              </w:rPr>
            </w:pPr>
            <w:r w:rsidRPr="00955BD1">
              <w:rPr>
                <w:rFonts w:asciiTheme="minorHAnsi" w:hAnsiTheme="minorHAnsi" w:cstheme="minorHAnsi"/>
                <w:sz w:val="18"/>
                <w:szCs w:val="18"/>
              </w:rPr>
              <w:t>(</w:t>
            </w:r>
            <w:r w:rsidR="000B463B">
              <w:rPr>
                <w:rFonts w:asciiTheme="minorHAnsi" w:hAnsiTheme="minorHAnsi" w:cstheme="minorHAnsi"/>
                <w:sz w:val="18"/>
                <w:szCs w:val="18"/>
              </w:rPr>
              <w:t>8,938,</w:t>
            </w:r>
            <w:r w:rsidR="003C6BB4">
              <w:rPr>
                <w:rFonts w:asciiTheme="minorHAnsi" w:hAnsiTheme="minorHAnsi" w:cstheme="minorHAnsi"/>
                <w:sz w:val="18"/>
                <w:szCs w:val="18"/>
              </w:rPr>
              <w:t>520</w:t>
            </w:r>
            <w:r w:rsidR="000B463B">
              <w:rPr>
                <w:rFonts w:asciiTheme="minorHAnsi" w:hAnsiTheme="minorHAnsi" w:cstheme="minorHAnsi"/>
                <w:sz w:val="18"/>
                <w:szCs w:val="18"/>
              </w:rPr>
              <w:t>)</w:t>
            </w:r>
          </w:p>
        </w:tc>
      </w:tr>
    </w:tbl>
    <w:p w14:paraId="0312F3F6" w14:textId="1DA94A85" w:rsidR="005B7F66" w:rsidRDefault="005B7F66" w:rsidP="001F29BA">
      <w:pPr>
        <w:jc w:val="right"/>
        <w:rPr>
          <w:rFonts w:asciiTheme="minorHAnsi" w:hAnsiTheme="minorHAnsi" w:cstheme="minorHAnsi"/>
          <w:b/>
          <w:sz w:val="20"/>
          <w:szCs w:val="20"/>
        </w:rPr>
      </w:pPr>
    </w:p>
    <w:p w14:paraId="029C88AB" w14:textId="4A33AC03" w:rsidR="00BB3D8E" w:rsidRDefault="00BB3D8E" w:rsidP="001F29BA">
      <w:pPr>
        <w:jc w:val="right"/>
        <w:rPr>
          <w:rFonts w:asciiTheme="minorHAnsi" w:hAnsiTheme="minorHAnsi" w:cstheme="minorHAnsi"/>
          <w:b/>
          <w:sz w:val="20"/>
          <w:szCs w:val="20"/>
        </w:rPr>
      </w:pPr>
    </w:p>
    <w:p w14:paraId="5E69CDC7" w14:textId="77777777" w:rsidR="00E3408B" w:rsidRDefault="00E3408B" w:rsidP="001F29BA">
      <w:pPr>
        <w:jc w:val="right"/>
        <w:rPr>
          <w:rFonts w:asciiTheme="minorHAnsi" w:hAnsiTheme="minorHAnsi" w:cstheme="minorHAnsi"/>
          <w:b/>
          <w:sz w:val="20"/>
          <w:szCs w:val="20"/>
        </w:rPr>
        <w:sectPr w:rsidR="00E3408B" w:rsidSect="00714B1B">
          <w:headerReference w:type="even" r:id="rId61"/>
          <w:headerReference w:type="default" r:id="rId62"/>
          <w:headerReference w:type="first" r:id="rId63"/>
          <w:pgSz w:w="11906" w:h="16838"/>
          <w:pgMar w:top="720" w:right="720" w:bottom="720" w:left="720" w:header="708" w:footer="708" w:gutter="0"/>
          <w:cols w:space="708"/>
          <w:docGrid w:linePitch="360"/>
        </w:sectPr>
      </w:pPr>
    </w:p>
    <w:p w14:paraId="3B5AC928" w14:textId="24E3DAC0" w:rsidR="00BB3D8E" w:rsidRDefault="00BB3D8E" w:rsidP="001F29BA">
      <w:pPr>
        <w:jc w:val="right"/>
        <w:rPr>
          <w:rFonts w:asciiTheme="minorHAnsi" w:hAnsiTheme="minorHAnsi" w:cstheme="minorHAnsi"/>
          <w:b/>
          <w:sz w:val="20"/>
          <w:szCs w:val="20"/>
        </w:rPr>
      </w:pPr>
    </w:p>
    <w:p w14:paraId="544BBBB6" w14:textId="786D054A" w:rsidR="00BB3D8E" w:rsidRDefault="00BB3D8E" w:rsidP="001F29BA">
      <w:pPr>
        <w:jc w:val="right"/>
        <w:rPr>
          <w:rFonts w:asciiTheme="minorHAnsi" w:hAnsiTheme="minorHAnsi" w:cstheme="minorHAnsi"/>
          <w:b/>
          <w:sz w:val="20"/>
          <w:szCs w:val="20"/>
        </w:rPr>
      </w:pPr>
    </w:p>
    <w:p w14:paraId="0970CF5D" w14:textId="47CFD06B" w:rsidR="00BB3D8E" w:rsidRDefault="00BB3D8E" w:rsidP="001F29BA">
      <w:pPr>
        <w:jc w:val="right"/>
        <w:rPr>
          <w:rFonts w:asciiTheme="minorHAnsi" w:hAnsiTheme="minorHAnsi" w:cstheme="minorHAnsi"/>
          <w:b/>
          <w:sz w:val="20"/>
          <w:szCs w:val="20"/>
        </w:rPr>
      </w:pPr>
    </w:p>
    <w:p w14:paraId="0A7B641A" w14:textId="3ABBFB02" w:rsidR="00BB3D8E" w:rsidRDefault="00BB3D8E" w:rsidP="001F29BA">
      <w:pPr>
        <w:jc w:val="right"/>
        <w:rPr>
          <w:rFonts w:asciiTheme="minorHAnsi" w:hAnsiTheme="minorHAnsi" w:cstheme="minorHAnsi"/>
          <w:b/>
          <w:sz w:val="20"/>
          <w:szCs w:val="20"/>
        </w:rPr>
      </w:pPr>
    </w:p>
    <w:p w14:paraId="58995317" w14:textId="0D15919E" w:rsidR="00BB3D8E" w:rsidRDefault="00BB3D8E" w:rsidP="001F29BA">
      <w:pPr>
        <w:jc w:val="right"/>
        <w:rPr>
          <w:rFonts w:asciiTheme="minorHAnsi" w:hAnsiTheme="minorHAnsi" w:cstheme="minorHAnsi"/>
          <w:b/>
          <w:sz w:val="20"/>
          <w:szCs w:val="20"/>
        </w:rPr>
      </w:pPr>
    </w:p>
    <w:p w14:paraId="0F802255" w14:textId="41B1D8BE" w:rsidR="00BB3D8E" w:rsidRDefault="00BB3D8E" w:rsidP="001F29BA">
      <w:pPr>
        <w:jc w:val="right"/>
        <w:rPr>
          <w:rFonts w:asciiTheme="minorHAnsi" w:hAnsiTheme="minorHAnsi" w:cstheme="minorHAnsi"/>
          <w:b/>
          <w:sz w:val="20"/>
          <w:szCs w:val="20"/>
        </w:rPr>
      </w:pPr>
    </w:p>
    <w:p w14:paraId="5ED4BDE6" w14:textId="22860855" w:rsidR="00BB3D8E" w:rsidRDefault="00BB3D8E" w:rsidP="001F29BA">
      <w:pPr>
        <w:jc w:val="right"/>
        <w:rPr>
          <w:rFonts w:asciiTheme="minorHAnsi" w:hAnsiTheme="minorHAnsi" w:cstheme="minorHAnsi"/>
          <w:b/>
          <w:sz w:val="20"/>
          <w:szCs w:val="20"/>
        </w:rPr>
      </w:pPr>
    </w:p>
    <w:p w14:paraId="0AFA6E50" w14:textId="4466A6D7" w:rsidR="00BB3D8E" w:rsidRDefault="00BB3D8E" w:rsidP="001F29BA">
      <w:pPr>
        <w:jc w:val="right"/>
        <w:rPr>
          <w:rFonts w:asciiTheme="minorHAnsi" w:hAnsiTheme="minorHAnsi" w:cstheme="minorHAnsi"/>
          <w:b/>
          <w:sz w:val="20"/>
          <w:szCs w:val="20"/>
        </w:rPr>
      </w:pPr>
    </w:p>
    <w:p w14:paraId="311B4D4A" w14:textId="7F70D8C9" w:rsidR="00BB3D8E" w:rsidRDefault="00BB3D8E" w:rsidP="001F29BA">
      <w:pPr>
        <w:jc w:val="right"/>
        <w:rPr>
          <w:rFonts w:asciiTheme="minorHAnsi" w:hAnsiTheme="minorHAnsi" w:cstheme="minorHAnsi"/>
          <w:b/>
          <w:sz w:val="20"/>
          <w:szCs w:val="20"/>
        </w:rPr>
      </w:pPr>
    </w:p>
    <w:p w14:paraId="27398D1C" w14:textId="65E728D6" w:rsidR="00BB3D8E" w:rsidRDefault="00BB3D8E" w:rsidP="001F29BA">
      <w:pPr>
        <w:jc w:val="right"/>
        <w:rPr>
          <w:rFonts w:asciiTheme="minorHAnsi" w:hAnsiTheme="minorHAnsi" w:cstheme="minorHAnsi"/>
          <w:b/>
          <w:sz w:val="20"/>
          <w:szCs w:val="20"/>
        </w:rPr>
      </w:pPr>
    </w:p>
    <w:p w14:paraId="70168663" w14:textId="2B2E6C57" w:rsidR="00BB3D8E" w:rsidRDefault="00BB3D8E" w:rsidP="001F29BA">
      <w:pPr>
        <w:jc w:val="right"/>
        <w:rPr>
          <w:rFonts w:asciiTheme="minorHAnsi" w:hAnsiTheme="minorHAnsi" w:cstheme="minorHAnsi"/>
          <w:b/>
          <w:sz w:val="20"/>
          <w:szCs w:val="20"/>
        </w:rPr>
      </w:pPr>
    </w:p>
    <w:p w14:paraId="2EFF207F" w14:textId="0C8E6847" w:rsidR="00BB3D8E" w:rsidRDefault="00BB3D8E" w:rsidP="001F29BA">
      <w:pPr>
        <w:jc w:val="right"/>
        <w:rPr>
          <w:rFonts w:asciiTheme="minorHAnsi" w:hAnsiTheme="minorHAnsi" w:cstheme="minorHAnsi"/>
          <w:b/>
          <w:sz w:val="20"/>
          <w:szCs w:val="20"/>
        </w:rPr>
      </w:pPr>
    </w:p>
    <w:p w14:paraId="4E4331DA" w14:textId="02DC4BAB" w:rsidR="00BB3D8E" w:rsidRDefault="00BB3D8E" w:rsidP="001F29BA">
      <w:pPr>
        <w:jc w:val="right"/>
        <w:rPr>
          <w:rFonts w:asciiTheme="minorHAnsi" w:hAnsiTheme="minorHAnsi" w:cstheme="minorHAnsi"/>
          <w:b/>
          <w:sz w:val="20"/>
          <w:szCs w:val="20"/>
        </w:rPr>
      </w:pPr>
    </w:p>
    <w:p w14:paraId="584F9FEF" w14:textId="01B7723E" w:rsidR="00BB3D8E" w:rsidRDefault="00BB3D8E" w:rsidP="001F29BA">
      <w:pPr>
        <w:jc w:val="right"/>
        <w:rPr>
          <w:rFonts w:asciiTheme="minorHAnsi" w:hAnsiTheme="minorHAnsi" w:cstheme="minorHAnsi"/>
          <w:b/>
          <w:sz w:val="20"/>
          <w:szCs w:val="20"/>
        </w:rPr>
      </w:pPr>
    </w:p>
    <w:p w14:paraId="75A6538A" w14:textId="08DFDCFC" w:rsidR="00BB3D8E" w:rsidRDefault="00BB3D8E" w:rsidP="001F29BA">
      <w:pPr>
        <w:jc w:val="right"/>
        <w:rPr>
          <w:rFonts w:asciiTheme="minorHAnsi" w:hAnsiTheme="minorHAnsi" w:cstheme="minorHAnsi"/>
          <w:b/>
          <w:sz w:val="20"/>
          <w:szCs w:val="20"/>
        </w:rPr>
      </w:pPr>
    </w:p>
    <w:p w14:paraId="0F2D5FBB" w14:textId="5ABE348A" w:rsidR="00BB3D8E" w:rsidRDefault="00BB3D8E" w:rsidP="001F29BA">
      <w:pPr>
        <w:jc w:val="right"/>
        <w:rPr>
          <w:rFonts w:asciiTheme="minorHAnsi" w:hAnsiTheme="minorHAnsi" w:cstheme="minorHAnsi"/>
          <w:b/>
          <w:sz w:val="20"/>
          <w:szCs w:val="20"/>
        </w:rPr>
      </w:pPr>
    </w:p>
    <w:p w14:paraId="4DF28765" w14:textId="6C4111CB" w:rsidR="00BB3D8E" w:rsidRDefault="00BB3D8E" w:rsidP="001F29BA">
      <w:pPr>
        <w:jc w:val="right"/>
        <w:rPr>
          <w:rFonts w:asciiTheme="minorHAnsi" w:hAnsiTheme="minorHAnsi" w:cstheme="minorHAnsi"/>
          <w:b/>
          <w:sz w:val="20"/>
          <w:szCs w:val="20"/>
        </w:rPr>
      </w:pPr>
    </w:p>
    <w:p w14:paraId="17548C5D" w14:textId="08559939" w:rsidR="00BB3D8E" w:rsidRDefault="00BB3D8E" w:rsidP="001F29BA">
      <w:pPr>
        <w:jc w:val="right"/>
        <w:rPr>
          <w:rFonts w:asciiTheme="minorHAnsi" w:hAnsiTheme="minorHAnsi" w:cstheme="minorHAnsi"/>
          <w:b/>
          <w:sz w:val="20"/>
          <w:szCs w:val="20"/>
        </w:rPr>
      </w:pPr>
    </w:p>
    <w:p w14:paraId="56E3C818" w14:textId="7B8016E2" w:rsidR="003C6BB4" w:rsidRDefault="003C6BB4" w:rsidP="001F29BA">
      <w:pPr>
        <w:jc w:val="right"/>
        <w:rPr>
          <w:rFonts w:asciiTheme="minorHAnsi" w:hAnsiTheme="minorHAnsi" w:cstheme="minorHAnsi"/>
          <w:b/>
          <w:sz w:val="20"/>
          <w:szCs w:val="20"/>
        </w:rPr>
      </w:pPr>
    </w:p>
    <w:p w14:paraId="7BFAD7F4" w14:textId="613BB595" w:rsidR="003C6BB4" w:rsidRDefault="003C6BB4" w:rsidP="001F29BA">
      <w:pPr>
        <w:jc w:val="right"/>
        <w:rPr>
          <w:rFonts w:asciiTheme="minorHAnsi" w:hAnsiTheme="minorHAnsi" w:cstheme="minorHAnsi"/>
          <w:b/>
          <w:sz w:val="20"/>
          <w:szCs w:val="20"/>
        </w:rPr>
      </w:pPr>
    </w:p>
    <w:p w14:paraId="4AB1FE67" w14:textId="29799720" w:rsidR="003C6BB4" w:rsidRDefault="003C6BB4" w:rsidP="001F29BA">
      <w:pPr>
        <w:jc w:val="right"/>
        <w:rPr>
          <w:rFonts w:asciiTheme="minorHAnsi" w:hAnsiTheme="minorHAnsi" w:cstheme="minorHAnsi"/>
          <w:b/>
          <w:sz w:val="20"/>
          <w:szCs w:val="20"/>
        </w:rPr>
      </w:pPr>
    </w:p>
    <w:p w14:paraId="38A77B12" w14:textId="77777777" w:rsidR="003C6BB4" w:rsidRDefault="003C6BB4" w:rsidP="001F29BA">
      <w:pPr>
        <w:jc w:val="right"/>
        <w:rPr>
          <w:rFonts w:asciiTheme="minorHAnsi" w:hAnsiTheme="minorHAnsi" w:cstheme="minorHAnsi"/>
          <w:b/>
          <w:sz w:val="20"/>
          <w:szCs w:val="20"/>
        </w:rPr>
      </w:pPr>
    </w:p>
    <w:p w14:paraId="1A466CE9" w14:textId="54AFC803" w:rsidR="00BB3D8E" w:rsidRDefault="00BB3D8E" w:rsidP="001F29BA">
      <w:pPr>
        <w:jc w:val="right"/>
        <w:rPr>
          <w:rFonts w:asciiTheme="minorHAnsi" w:hAnsiTheme="minorHAnsi" w:cstheme="minorHAnsi"/>
          <w:b/>
          <w:sz w:val="20"/>
          <w:szCs w:val="20"/>
        </w:rPr>
      </w:pPr>
    </w:p>
    <w:p w14:paraId="76990BC7" w14:textId="77777777" w:rsidR="00DF40E4" w:rsidRDefault="00DF40E4" w:rsidP="001F29BA">
      <w:pPr>
        <w:jc w:val="right"/>
        <w:rPr>
          <w:rFonts w:asciiTheme="minorHAnsi" w:hAnsiTheme="minorHAnsi" w:cstheme="minorHAnsi"/>
          <w:b/>
          <w:sz w:val="20"/>
          <w:szCs w:val="20"/>
        </w:rPr>
      </w:pPr>
    </w:p>
    <w:tbl>
      <w:tblPr>
        <w:tblpPr w:leftFromText="180" w:rightFromText="180" w:vertAnchor="text" w:tblpY="1"/>
        <w:tblOverlap w:val="never"/>
        <w:tblW w:w="9575" w:type="dxa"/>
        <w:tblLayout w:type="fixed"/>
        <w:tblLook w:val="00A0" w:firstRow="1" w:lastRow="0" w:firstColumn="1" w:lastColumn="0" w:noHBand="0" w:noVBand="0"/>
      </w:tblPr>
      <w:tblGrid>
        <w:gridCol w:w="1687"/>
        <w:gridCol w:w="825"/>
        <w:gridCol w:w="2024"/>
        <w:gridCol w:w="426"/>
        <w:gridCol w:w="239"/>
        <w:gridCol w:w="291"/>
        <w:gridCol w:w="604"/>
        <w:gridCol w:w="261"/>
        <w:gridCol w:w="242"/>
        <w:gridCol w:w="16"/>
        <w:gridCol w:w="1343"/>
        <w:gridCol w:w="264"/>
        <w:gridCol w:w="1353"/>
      </w:tblGrid>
      <w:tr w:rsidR="00BB3D8E" w:rsidRPr="00BB3C18" w14:paraId="439F193E" w14:textId="77777777" w:rsidTr="00A27F53">
        <w:trPr>
          <w:trHeight w:val="691"/>
        </w:trPr>
        <w:tc>
          <w:tcPr>
            <w:tcW w:w="1687" w:type="dxa"/>
          </w:tcPr>
          <w:p w14:paraId="42AEF10E" w14:textId="77777777" w:rsidR="00BB3D8E" w:rsidRPr="00BB3C18" w:rsidRDefault="00BB3D8E" w:rsidP="00A27F53">
            <w:pPr>
              <w:jc w:val="right"/>
              <w:rPr>
                <w:rFonts w:asciiTheme="minorHAnsi" w:hAnsiTheme="minorHAnsi" w:cstheme="minorHAnsi"/>
                <w:b/>
                <w:sz w:val="20"/>
                <w:szCs w:val="20"/>
              </w:rPr>
            </w:pPr>
          </w:p>
        </w:tc>
        <w:tc>
          <w:tcPr>
            <w:tcW w:w="825" w:type="dxa"/>
          </w:tcPr>
          <w:p w14:paraId="4C6290EF" w14:textId="77777777" w:rsidR="00BB3D8E" w:rsidRPr="00BB3C18" w:rsidRDefault="00BB3D8E" w:rsidP="00A27F53">
            <w:pPr>
              <w:jc w:val="right"/>
              <w:rPr>
                <w:rFonts w:asciiTheme="minorHAnsi" w:hAnsiTheme="minorHAnsi" w:cstheme="minorHAnsi"/>
                <w:b/>
                <w:sz w:val="20"/>
                <w:szCs w:val="20"/>
              </w:rPr>
            </w:pPr>
          </w:p>
        </w:tc>
        <w:tc>
          <w:tcPr>
            <w:tcW w:w="2024" w:type="dxa"/>
          </w:tcPr>
          <w:p w14:paraId="7C5EFB69" w14:textId="77777777" w:rsidR="00BB3D8E" w:rsidRPr="00BB3C18" w:rsidRDefault="00BB3D8E" w:rsidP="00A27F53">
            <w:pPr>
              <w:jc w:val="right"/>
              <w:rPr>
                <w:rFonts w:asciiTheme="minorHAnsi" w:hAnsiTheme="minorHAnsi" w:cstheme="minorHAnsi"/>
                <w:b/>
                <w:sz w:val="20"/>
                <w:szCs w:val="20"/>
              </w:rPr>
            </w:pPr>
          </w:p>
        </w:tc>
        <w:tc>
          <w:tcPr>
            <w:tcW w:w="426" w:type="dxa"/>
          </w:tcPr>
          <w:p w14:paraId="62DFDC22" w14:textId="77777777" w:rsidR="00BB3D8E" w:rsidRPr="00BB3C18" w:rsidRDefault="00BB3D8E" w:rsidP="00A27F53">
            <w:pPr>
              <w:jc w:val="right"/>
              <w:rPr>
                <w:rFonts w:asciiTheme="minorHAnsi" w:hAnsiTheme="minorHAnsi" w:cstheme="minorHAnsi"/>
                <w:b/>
                <w:sz w:val="20"/>
                <w:szCs w:val="20"/>
              </w:rPr>
            </w:pPr>
          </w:p>
        </w:tc>
        <w:tc>
          <w:tcPr>
            <w:tcW w:w="530" w:type="dxa"/>
            <w:gridSpan w:val="2"/>
          </w:tcPr>
          <w:p w14:paraId="410D0142" w14:textId="77777777" w:rsidR="00BB3D8E" w:rsidRPr="00BB3C18" w:rsidRDefault="00BB3D8E" w:rsidP="00A27F53">
            <w:pPr>
              <w:jc w:val="right"/>
              <w:rPr>
                <w:rFonts w:asciiTheme="minorHAnsi" w:hAnsiTheme="minorHAnsi" w:cstheme="minorHAnsi"/>
                <w:b/>
                <w:sz w:val="20"/>
                <w:szCs w:val="20"/>
              </w:rPr>
            </w:pPr>
          </w:p>
        </w:tc>
        <w:tc>
          <w:tcPr>
            <w:tcW w:w="865" w:type="dxa"/>
            <w:gridSpan w:val="2"/>
            <w:vAlign w:val="bottom"/>
          </w:tcPr>
          <w:p w14:paraId="2AF612F3" w14:textId="77777777" w:rsidR="00BB3D8E" w:rsidRPr="00BB3C18" w:rsidRDefault="00BB3D8E" w:rsidP="00A27F53">
            <w:pPr>
              <w:jc w:val="right"/>
              <w:rPr>
                <w:rFonts w:asciiTheme="minorHAnsi" w:hAnsiTheme="minorHAnsi" w:cstheme="minorHAnsi"/>
                <w:b/>
                <w:sz w:val="20"/>
                <w:szCs w:val="20"/>
              </w:rPr>
            </w:pPr>
            <w:r w:rsidRPr="00BB3C18">
              <w:rPr>
                <w:rFonts w:asciiTheme="minorHAnsi" w:hAnsiTheme="minorHAnsi" w:cstheme="minorHAnsi"/>
                <w:b/>
                <w:sz w:val="20"/>
                <w:szCs w:val="20"/>
              </w:rPr>
              <w:t>Notes</w:t>
            </w:r>
          </w:p>
        </w:tc>
        <w:tc>
          <w:tcPr>
            <w:tcW w:w="242" w:type="dxa"/>
            <w:vAlign w:val="bottom"/>
          </w:tcPr>
          <w:p w14:paraId="3D41C32D" w14:textId="77777777" w:rsidR="00BB3D8E" w:rsidRPr="00BB3C18" w:rsidRDefault="00BB3D8E" w:rsidP="00A27F53">
            <w:pPr>
              <w:jc w:val="right"/>
              <w:rPr>
                <w:rFonts w:asciiTheme="minorHAnsi" w:hAnsiTheme="minorHAnsi" w:cstheme="minorHAnsi"/>
                <w:b/>
                <w:sz w:val="20"/>
                <w:szCs w:val="20"/>
              </w:rPr>
            </w:pPr>
          </w:p>
        </w:tc>
        <w:tc>
          <w:tcPr>
            <w:tcW w:w="1359" w:type="dxa"/>
            <w:gridSpan w:val="2"/>
            <w:vAlign w:val="bottom"/>
          </w:tcPr>
          <w:p w14:paraId="1EE97974" w14:textId="77777777" w:rsidR="00BB3D8E" w:rsidRPr="00BB3C18" w:rsidRDefault="00BB3D8E" w:rsidP="00A27F53">
            <w:pPr>
              <w:ind w:left="-202"/>
              <w:jc w:val="right"/>
              <w:rPr>
                <w:rFonts w:asciiTheme="minorHAnsi" w:hAnsiTheme="minorHAnsi" w:cstheme="minorHAnsi"/>
                <w:b/>
                <w:sz w:val="20"/>
                <w:szCs w:val="20"/>
              </w:rPr>
            </w:pPr>
            <w:r>
              <w:rPr>
                <w:rFonts w:asciiTheme="minorHAnsi" w:hAnsiTheme="minorHAnsi" w:cstheme="minorHAnsi"/>
                <w:b/>
                <w:sz w:val="20"/>
                <w:szCs w:val="20"/>
              </w:rPr>
              <w:t>Year</w:t>
            </w:r>
            <w:r w:rsidRPr="00BB3C18">
              <w:rPr>
                <w:rFonts w:asciiTheme="minorHAnsi" w:hAnsiTheme="minorHAnsi" w:cstheme="minorHAnsi"/>
                <w:b/>
                <w:sz w:val="20"/>
                <w:szCs w:val="20"/>
              </w:rPr>
              <w:t xml:space="preserve"> ended</w:t>
            </w:r>
            <w:r w:rsidRPr="00BB3C18">
              <w:rPr>
                <w:rFonts w:asciiTheme="minorHAnsi" w:hAnsiTheme="minorHAnsi" w:cstheme="minorHAnsi"/>
                <w:b/>
                <w:sz w:val="20"/>
                <w:szCs w:val="20"/>
              </w:rPr>
              <w:br/>
              <w:t>30 June</w:t>
            </w:r>
            <w:r w:rsidRPr="00BB3C18">
              <w:rPr>
                <w:rFonts w:asciiTheme="minorHAnsi" w:hAnsiTheme="minorHAnsi" w:cstheme="minorHAnsi"/>
                <w:b/>
                <w:sz w:val="20"/>
                <w:szCs w:val="20"/>
              </w:rPr>
              <w:br/>
              <w:t>20</w:t>
            </w:r>
            <w:r>
              <w:rPr>
                <w:rFonts w:asciiTheme="minorHAnsi" w:hAnsiTheme="minorHAnsi" w:cstheme="minorHAnsi"/>
                <w:b/>
                <w:sz w:val="20"/>
                <w:szCs w:val="20"/>
              </w:rPr>
              <w:t>22</w:t>
            </w:r>
            <w:r w:rsidRPr="00BB3C18">
              <w:rPr>
                <w:rFonts w:asciiTheme="minorHAnsi" w:hAnsiTheme="minorHAnsi" w:cstheme="minorHAnsi"/>
                <w:b/>
                <w:sz w:val="20"/>
                <w:szCs w:val="20"/>
              </w:rPr>
              <w:br/>
              <w:t>£</w:t>
            </w:r>
          </w:p>
        </w:tc>
        <w:tc>
          <w:tcPr>
            <w:tcW w:w="264" w:type="dxa"/>
            <w:vAlign w:val="bottom"/>
          </w:tcPr>
          <w:p w14:paraId="7DE52463" w14:textId="77777777" w:rsidR="00BB3D8E" w:rsidRPr="00BB3C18" w:rsidRDefault="00BB3D8E" w:rsidP="00A27F53">
            <w:pPr>
              <w:jc w:val="right"/>
              <w:rPr>
                <w:rFonts w:asciiTheme="minorHAnsi" w:hAnsiTheme="minorHAnsi" w:cstheme="minorHAnsi"/>
                <w:b/>
                <w:sz w:val="20"/>
                <w:szCs w:val="20"/>
              </w:rPr>
            </w:pPr>
          </w:p>
        </w:tc>
        <w:tc>
          <w:tcPr>
            <w:tcW w:w="1353" w:type="dxa"/>
            <w:vAlign w:val="bottom"/>
          </w:tcPr>
          <w:p w14:paraId="5AB1F495" w14:textId="77777777" w:rsidR="00BB3D8E" w:rsidRPr="00BB3C18" w:rsidRDefault="00BB3D8E" w:rsidP="00A27F53">
            <w:pPr>
              <w:ind w:left="-248" w:right="-91"/>
              <w:jc w:val="right"/>
              <w:rPr>
                <w:rFonts w:asciiTheme="minorHAnsi" w:hAnsiTheme="minorHAnsi" w:cstheme="minorHAnsi"/>
                <w:b/>
                <w:sz w:val="20"/>
                <w:szCs w:val="20"/>
              </w:rPr>
            </w:pPr>
            <w:r>
              <w:rPr>
                <w:rFonts w:asciiTheme="minorHAnsi" w:hAnsiTheme="minorHAnsi" w:cstheme="minorHAnsi"/>
                <w:b/>
                <w:sz w:val="20"/>
                <w:szCs w:val="20"/>
              </w:rPr>
              <w:t xml:space="preserve">Year </w:t>
            </w:r>
            <w:r w:rsidRPr="00BB3C18">
              <w:rPr>
                <w:rFonts w:asciiTheme="minorHAnsi" w:hAnsiTheme="minorHAnsi" w:cstheme="minorHAnsi"/>
                <w:b/>
                <w:sz w:val="20"/>
                <w:szCs w:val="20"/>
              </w:rPr>
              <w:t>ended</w:t>
            </w:r>
          </w:p>
          <w:p w14:paraId="7800D377" w14:textId="77777777" w:rsidR="00BB3D8E" w:rsidRPr="00BB3C18" w:rsidRDefault="00BB3D8E" w:rsidP="00A27F53">
            <w:pPr>
              <w:ind w:right="-91"/>
              <w:jc w:val="right"/>
              <w:rPr>
                <w:rFonts w:asciiTheme="minorHAnsi" w:hAnsiTheme="minorHAnsi" w:cstheme="minorHAnsi"/>
                <w:b/>
                <w:sz w:val="20"/>
                <w:szCs w:val="20"/>
              </w:rPr>
            </w:pPr>
            <w:r w:rsidRPr="00BB3C18">
              <w:rPr>
                <w:rFonts w:asciiTheme="minorHAnsi" w:hAnsiTheme="minorHAnsi" w:cstheme="minorHAnsi"/>
                <w:b/>
                <w:sz w:val="20"/>
                <w:szCs w:val="20"/>
              </w:rPr>
              <w:t>3</w:t>
            </w:r>
            <w:r>
              <w:rPr>
                <w:rFonts w:asciiTheme="minorHAnsi" w:hAnsiTheme="minorHAnsi" w:cstheme="minorHAnsi"/>
                <w:b/>
                <w:sz w:val="20"/>
                <w:szCs w:val="20"/>
              </w:rPr>
              <w:t>0</w:t>
            </w:r>
            <w:r w:rsidRPr="00BB3C18">
              <w:rPr>
                <w:rFonts w:asciiTheme="minorHAnsi" w:hAnsiTheme="minorHAnsi" w:cstheme="minorHAnsi"/>
                <w:b/>
                <w:sz w:val="20"/>
                <w:szCs w:val="20"/>
              </w:rPr>
              <w:t xml:space="preserve"> </w:t>
            </w:r>
            <w:r>
              <w:rPr>
                <w:rFonts w:asciiTheme="minorHAnsi" w:hAnsiTheme="minorHAnsi" w:cstheme="minorHAnsi"/>
                <w:b/>
                <w:sz w:val="20"/>
                <w:szCs w:val="20"/>
              </w:rPr>
              <w:t>June</w:t>
            </w:r>
          </w:p>
          <w:p w14:paraId="52BD662E" w14:textId="77777777" w:rsidR="00BB3D8E" w:rsidRPr="00BB3C18" w:rsidRDefault="00BB3D8E" w:rsidP="00A27F53">
            <w:pPr>
              <w:ind w:right="-91"/>
              <w:jc w:val="right"/>
              <w:rPr>
                <w:rFonts w:asciiTheme="minorHAnsi" w:hAnsiTheme="minorHAnsi" w:cstheme="minorHAnsi"/>
                <w:b/>
                <w:sz w:val="20"/>
                <w:szCs w:val="20"/>
              </w:rPr>
            </w:pPr>
            <w:r w:rsidRPr="00BB3C18">
              <w:rPr>
                <w:rFonts w:asciiTheme="minorHAnsi" w:hAnsiTheme="minorHAnsi" w:cstheme="minorHAnsi"/>
                <w:b/>
                <w:sz w:val="20"/>
                <w:szCs w:val="20"/>
              </w:rPr>
              <w:t>20</w:t>
            </w:r>
            <w:r>
              <w:rPr>
                <w:rFonts w:asciiTheme="minorHAnsi" w:hAnsiTheme="minorHAnsi" w:cstheme="minorHAnsi"/>
                <w:b/>
                <w:sz w:val="20"/>
                <w:szCs w:val="20"/>
              </w:rPr>
              <w:t>21</w:t>
            </w:r>
          </w:p>
          <w:p w14:paraId="4705C68E" w14:textId="77777777" w:rsidR="00BB3D8E" w:rsidRPr="00BB3C18" w:rsidRDefault="00BB3D8E" w:rsidP="00A27F53">
            <w:pPr>
              <w:ind w:right="-91"/>
              <w:jc w:val="right"/>
              <w:rPr>
                <w:rFonts w:asciiTheme="minorHAnsi" w:hAnsiTheme="minorHAnsi" w:cstheme="minorHAnsi"/>
                <w:b/>
                <w:sz w:val="20"/>
                <w:szCs w:val="20"/>
              </w:rPr>
            </w:pPr>
            <w:r w:rsidRPr="00BB3C18">
              <w:rPr>
                <w:rFonts w:asciiTheme="minorHAnsi" w:hAnsiTheme="minorHAnsi" w:cstheme="minorHAnsi"/>
                <w:b/>
                <w:sz w:val="20"/>
                <w:szCs w:val="20"/>
              </w:rPr>
              <w:t>£</w:t>
            </w:r>
          </w:p>
        </w:tc>
      </w:tr>
      <w:tr w:rsidR="00BB3D8E" w:rsidRPr="00BB3C18" w14:paraId="296E253D" w14:textId="77777777" w:rsidTr="00A27F53">
        <w:trPr>
          <w:trHeight w:val="170"/>
        </w:trPr>
        <w:tc>
          <w:tcPr>
            <w:tcW w:w="4536" w:type="dxa"/>
            <w:gridSpan w:val="3"/>
          </w:tcPr>
          <w:p w14:paraId="49982954" w14:textId="77777777" w:rsidR="00BB3D8E" w:rsidRPr="00BB3C18" w:rsidRDefault="00BB3D8E" w:rsidP="00A27F53">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Cash flows from operating activities</w:t>
            </w:r>
          </w:p>
        </w:tc>
        <w:tc>
          <w:tcPr>
            <w:tcW w:w="426" w:type="dxa"/>
          </w:tcPr>
          <w:p w14:paraId="6D765221"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6F39BB4A"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14D2F71A" w14:textId="77777777" w:rsidR="00BB3D8E" w:rsidRPr="00BB3C18" w:rsidRDefault="00BB3D8E" w:rsidP="00A27F53">
            <w:pPr>
              <w:jc w:val="right"/>
              <w:rPr>
                <w:rFonts w:asciiTheme="minorHAnsi" w:hAnsiTheme="minorHAnsi" w:cstheme="minorHAnsi"/>
                <w:sz w:val="20"/>
                <w:szCs w:val="20"/>
              </w:rPr>
            </w:pPr>
          </w:p>
        </w:tc>
        <w:tc>
          <w:tcPr>
            <w:tcW w:w="242" w:type="dxa"/>
          </w:tcPr>
          <w:p w14:paraId="7C5E659A"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4C6CB7E3" w14:textId="77777777" w:rsidR="00BB3D8E" w:rsidRPr="00BB3C18" w:rsidRDefault="00BB3D8E" w:rsidP="00A27F53">
            <w:pPr>
              <w:jc w:val="right"/>
              <w:rPr>
                <w:rFonts w:asciiTheme="minorHAnsi" w:hAnsiTheme="minorHAnsi" w:cstheme="minorHAnsi"/>
                <w:sz w:val="20"/>
                <w:szCs w:val="20"/>
              </w:rPr>
            </w:pPr>
          </w:p>
        </w:tc>
        <w:tc>
          <w:tcPr>
            <w:tcW w:w="264" w:type="dxa"/>
          </w:tcPr>
          <w:p w14:paraId="01D74B85" w14:textId="77777777" w:rsidR="00BB3D8E" w:rsidRPr="00BB3C18" w:rsidRDefault="00BB3D8E" w:rsidP="00A27F53">
            <w:pPr>
              <w:jc w:val="right"/>
              <w:rPr>
                <w:rFonts w:asciiTheme="minorHAnsi" w:hAnsiTheme="minorHAnsi" w:cstheme="minorHAnsi"/>
                <w:sz w:val="20"/>
                <w:szCs w:val="20"/>
              </w:rPr>
            </w:pPr>
          </w:p>
        </w:tc>
        <w:tc>
          <w:tcPr>
            <w:tcW w:w="1353" w:type="dxa"/>
          </w:tcPr>
          <w:p w14:paraId="3B78EECE" w14:textId="77777777" w:rsidR="00BB3D8E" w:rsidRPr="00BB3C18" w:rsidRDefault="00BB3D8E" w:rsidP="00A27F53">
            <w:pPr>
              <w:ind w:right="-91"/>
              <w:jc w:val="right"/>
              <w:rPr>
                <w:rFonts w:asciiTheme="minorHAnsi" w:hAnsiTheme="minorHAnsi" w:cstheme="minorHAnsi"/>
                <w:sz w:val="20"/>
                <w:szCs w:val="20"/>
              </w:rPr>
            </w:pPr>
          </w:p>
        </w:tc>
      </w:tr>
      <w:tr w:rsidR="00BB3D8E" w:rsidRPr="00BB3C18" w14:paraId="5AAB5101" w14:textId="77777777" w:rsidTr="00A27F53">
        <w:trPr>
          <w:trHeight w:val="241"/>
        </w:trPr>
        <w:tc>
          <w:tcPr>
            <w:tcW w:w="4536" w:type="dxa"/>
            <w:gridSpan w:val="3"/>
          </w:tcPr>
          <w:p w14:paraId="01975BD2" w14:textId="77777777" w:rsidR="00BB3D8E" w:rsidRPr="00BB3C18" w:rsidRDefault="00BB3D8E" w:rsidP="00A27F53">
            <w:pPr>
              <w:spacing w:line="276" w:lineRule="auto"/>
              <w:rPr>
                <w:rFonts w:asciiTheme="minorHAnsi" w:hAnsiTheme="minorHAnsi" w:cstheme="minorHAnsi"/>
                <w:sz w:val="20"/>
                <w:szCs w:val="20"/>
              </w:rPr>
            </w:pPr>
            <w:r w:rsidRPr="00BB3C18">
              <w:rPr>
                <w:rFonts w:asciiTheme="minorHAnsi" w:hAnsiTheme="minorHAnsi" w:cstheme="minorHAnsi"/>
                <w:sz w:val="20"/>
                <w:szCs w:val="20"/>
              </w:rPr>
              <w:t>Total comprehensive loss for the period</w:t>
            </w:r>
          </w:p>
        </w:tc>
        <w:tc>
          <w:tcPr>
            <w:tcW w:w="426" w:type="dxa"/>
          </w:tcPr>
          <w:p w14:paraId="26AA45C8"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6D43CFDD"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5D8A3E31" w14:textId="77777777" w:rsidR="00BB3D8E" w:rsidRPr="000B20D5" w:rsidRDefault="00BB3D8E" w:rsidP="00A27F53">
            <w:pPr>
              <w:jc w:val="right"/>
              <w:rPr>
                <w:rFonts w:asciiTheme="minorHAnsi" w:hAnsiTheme="minorHAnsi" w:cstheme="minorHAnsi"/>
                <w:sz w:val="20"/>
                <w:szCs w:val="20"/>
                <w:highlight w:val="yellow"/>
              </w:rPr>
            </w:pPr>
          </w:p>
        </w:tc>
        <w:tc>
          <w:tcPr>
            <w:tcW w:w="242" w:type="dxa"/>
          </w:tcPr>
          <w:p w14:paraId="1B80CB6C"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3708BE1C" w14:textId="3EF8C533" w:rsidR="00BB3D8E" w:rsidRPr="001013BF"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r w:rsidR="003A5361">
              <w:rPr>
                <w:rFonts w:asciiTheme="minorHAnsi" w:hAnsiTheme="minorHAnsi" w:cstheme="minorHAnsi"/>
                <w:sz w:val="20"/>
                <w:szCs w:val="20"/>
              </w:rPr>
              <w:t>762,</w:t>
            </w:r>
            <w:r w:rsidR="003A2624">
              <w:rPr>
                <w:rFonts w:asciiTheme="minorHAnsi" w:hAnsiTheme="minorHAnsi" w:cstheme="minorHAnsi"/>
                <w:sz w:val="20"/>
                <w:szCs w:val="20"/>
              </w:rPr>
              <w:t>107</w:t>
            </w:r>
            <w:r>
              <w:rPr>
                <w:rFonts w:asciiTheme="minorHAnsi" w:hAnsiTheme="minorHAnsi" w:cstheme="minorHAnsi"/>
                <w:sz w:val="20"/>
                <w:szCs w:val="20"/>
              </w:rPr>
              <w:t>)</w:t>
            </w:r>
            <w:r w:rsidRPr="001A5528" w:rsidDel="00390EF1">
              <w:rPr>
                <w:rFonts w:asciiTheme="minorHAnsi" w:hAnsiTheme="minorHAnsi" w:cstheme="minorHAnsi"/>
                <w:sz w:val="20"/>
                <w:szCs w:val="20"/>
              </w:rPr>
              <w:t xml:space="preserve"> </w:t>
            </w:r>
          </w:p>
        </w:tc>
        <w:tc>
          <w:tcPr>
            <w:tcW w:w="264" w:type="dxa"/>
          </w:tcPr>
          <w:p w14:paraId="657203C6" w14:textId="77777777" w:rsidR="00BB3D8E" w:rsidRPr="00BB3C18" w:rsidRDefault="00BB3D8E" w:rsidP="00A27F53">
            <w:pPr>
              <w:jc w:val="right"/>
              <w:rPr>
                <w:rFonts w:asciiTheme="minorHAnsi" w:hAnsiTheme="minorHAnsi" w:cstheme="minorHAnsi"/>
                <w:sz w:val="20"/>
                <w:szCs w:val="20"/>
              </w:rPr>
            </w:pPr>
          </w:p>
        </w:tc>
        <w:tc>
          <w:tcPr>
            <w:tcW w:w="1353" w:type="dxa"/>
          </w:tcPr>
          <w:p w14:paraId="6207A755" w14:textId="7A766BD5" w:rsidR="00BB3D8E" w:rsidRPr="00BB3C18" w:rsidRDefault="00BB3D8E" w:rsidP="00A27F53">
            <w:pPr>
              <w:ind w:right="-91"/>
              <w:jc w:val="right"/>
              <w:rPr>
                <w:rFonts w:asciiTheme="minorHAnsi" w:hAnsiTheme="minorHAnsi" w:cstheme="minorHAnsi"/>
                <w:sz w:val="20"/>
                <w:szCs w:val="20"/>
              </w:rPr>
            </w:pPr>
            <w:r w:rsidRPr="001013BF">
              <w:rPr>
                <w:rFonts w:asciiTheme="minorHAnsi" w:hAnsiTheme="minorHAnsi" w:cstheme="minorHAnsi"/>
                <w:sz w:val="20"/>
                <w:szCs w:val="20"/>
              </w:rPr>
              <w:t>(</w:t>
            </w:r>
            <w:r>
              <w:rPr>
                <w:rFonts w:asciiTheme="minorHAnsi" w:hAnsiTheme="minorHAnsi" w:cstheme="minorHAnsi"/>
                <w:sz w:val="20"/>
                <w:szCs w:val="20"/>
              </w:rPr>
              <w:t>7,697,30</w:t>
            </w:r>
            <w:r w:rsidR="00905BEC">
              <w:rPr>
                <w:rFonts w:asciiTheme="minorHAnsi" w:hAnsiTheme="minorHAnsi" w:cstheme="minorHAnsi"/>
                <w:sz w:val="20"/>
                <w:szCs w:val="20"/>
              </w:rPr>
              <w:t>6</w:t>
            </w:r>
            <w:r w:rsidRPr="001013BF">
              <w:rPr>
                <w:rFonts w:asciiTheme="minorHAnsi" w:hAnsiTheme="minorHAnsi" w:cstheme="minorHAnsi"/>
                <w:sz w:val="20"/>
                <w:szCs w:val="20"/>
              </w:rPr>
              <w:t>)</w:t>
            </w:r>
          </w:p>
        </w:tc>
      </w:tr>
      <w:tr w:rsidR="00BB3D8E" w:rsidRPr="00BB3C18" w14:paraId="0E525F4F" w14:textId="77777777" w:rsidTr="00A27F53">
        <w:trPr>
          <w:trHeight w:val="170"/>
        </w:trPr>
        <w:tc>
          <w:tcPr>
            <w:tcW w:w="4536" w:type="dxa"/>
            <w:gridSpan w:val="3"/>
          </w:tcPr>
          <w:p w14:paraId="794F6721" w14:textId="77777777" w:rsidR="00BB3D8E" w:rsidRPr="00BB3C18" w:rsidRDefault="00BB3D8E" w:rsidP="00A27F53">
            <w:pPr>
              <w:spacing w:line="276" w:lineRule="auto"/>
              <w:rPr>
                <w:rFonts w:asciiTheme="minorHAnsi" w:hAnsiTheme="minorHAnsi" w:cstheme="minorHAnsi"/>
                <w:sz w:val="20"/>
                <w:szCs w:val="20"/>
              </w:rPr>
            </w:pPr>
            <w:r w:rsidRPr="00BB3C18">
              <w:rPr>
                <w:rFonts w:asciiTheme="minorHAnsi" w:hAnsiTheme="minorHAnsi" w:cstheme="minorHAnsi"/>
                <w:sz w:val="20"/>
                <w:szCs w:val="20"/>
              </w:rPr>
              <w:t>Loss from discontinued operations</w:t>
            </w:r>
          </w:p>
        </w:tc>
        <w:tc>
          <w:tcPr>
            <w:tcW w:w="426" w:type="dxa"/>
          </w:tcPr>
          <w:p w14:paraId="76346009"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52552DA2"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28C47D24" w14:textId="77777777" w:rsidR="00BB3D8E" w:rsidRPr="007B6961" w:rsidRDefault="00BB3D8E" w:rsidP="00A27F53">
            <w:pPr>
              <w:jc w:val="center"/>
              <w:rPr>
                <w:rFonts w:asciiTheme="minorHAnsi" w:hAnsiTheme="minorHAnsi" w:cstheme="minorHAnsi"/>
                <w:sz w:val="20"/>
                <w:szCs w:val="20"/>
              </w:rPr>
            </w:pPr>
            <w:r w:rsidRPr="007B6961">
              <w:rPr>
                <w:rFonts w:asciiTheme="minorHAnsi" w:hAnsiTheme="minorHAnsi" w:cstheme="minorHAnsi"/>
                <w:sz w:val="20"/>
                <w:szCs w:val="20"/>
              </w:rPr>
              <w:t>5</w:t>
            </w:r>
          </w:p>
        </w:tc>
        <w:tc>
          <w:tcPr>
            <w:tcW w:w="242" w:type="dxa"/>
          </w:tcPr>
          <w:p w14:paraId="15018707"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76A5CCD0" w14:textId="77777777" w:rsidR="00BB3D8E" w:rsidRPr="001013BF"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51AF4D62" w14:textId="77777777" w:rsidR="00BB3D8E" w:rsidRPr="00BB3C18" w:rsidRDefault="00BB3D8E" w:rsidP="00A27F53">
            <w:pPr>
              <w:jc w:val="right"/>
              <w:rPr>
                <w:rFonts w:asciiTheme="minorHAnsi" w:hAnsiTheme="minorHAnsi" w:cstheme="minorHAnsi"/>
                <w:sz w:val="20"/>
                <w:szCs w:val="20"/>
              </w:rPr>
            </w:pPr>
          </w:p>
        </w:tc>
        <w:tc>
          <w:tcPr>
            <w:tcW w:w="1353" w:type="dxa"/>
          </w:tcPr>
          <w:p w14:paraId="4D389253" w14:textId="04C404E9" w:rsidR="00BB3D8E" w:rsidRPr="00BB3C18" w:rsidRDefault="00905BEC" w:rsidP="00A27F53">
            <w:pPr>
              <w:ind w:right="-91"/>
              <w:jc w:val="right"/>
              <w:rPr>
                <w:rFonts w:asciiTheme="minorHAnsi" w:hAnsiTheme="minorHAnsi" w:cstheme="minorHAnsi"/>
                <w:sz w:val="20"/>
                <w:szCs w:val="20"/>
              </w:rPr>
            </w:pPr>
            <w:r>
              <w:rPr>
                <w:rFonts w:asciiTheme="minorHAnsi" w:hAnsiTheme="minorHAnsi" w:cstheme="minorHAnsi"/>
                <w:sz w:val="20"/>
                <w:szCs w:val="20"/>
              </w:rPr>
              <w:t>3,673</w:t>
            </w:r>
          </w:p>
        </w:tc>
      </w:tr>
      <w:tr w:rsidR="00BB3D8E" w:rsidRPr="00BB3C18" w14:paraId="5D3FC37C" w14:textId="77777777" w:rsidTr="00A27F53">
        <w:trPr>
          <w:trHeight w:val="170"/>
        </w:trPr>
        <w:tc>
          <w:tcPr>
            <w:tcW w:w="4536" w:type="dxa"/>
            <w:gridSpan w:val="3"/>
          </w:tcPr>
          <w:p w14:paraId="6E805551" w14:textId="77777777" w:rsidR="00BB3D8E" w:rsidRDefault="00BB3D8E" w:rsidP="00A27F53">
            <w:pPr>
              <w:spacing w:line="276" w:lineRule="auto"/>
              <w:rPr>
                <w:rFonts w:asciiTheme="minorHAnsi" w:hAnsiTheme="minorHAnsi" w:cstheme="minorHAnsi"/>
                <w:sz w:val="20"/>
                <w:szCs w:val="20"/>
              </w:rPr>
            </w:pPr>
            <w:r>
              <w:rPr>
                <w:rFonts w:asciiTheme="minorHAnsi" w:hAnsiTheme="minorHAnsi" w:cstheme="minorHAnsi"/>
                <w:sz w:val="20"/>
                <w:szCs w:val="20"/>
              </w:rPr>
              <w:t>Loss from sale of tangible assets</w:t>
            </w:r>
          </w:p>
          <w:p w14:paraId="091F156C" w14:textId="64EDF73B" w:rsidR="002E2CC3" w:rsidRPr="00BB3C18" w:rsidRDefault="002E2CC3" w:rsidP="00A27F53">
            <w:pPr>
              <w:spacing w:line="276" w:lineRule="auto"/>
              <w:rPr>
                <w:rFonts w:asciiTheme="minorHAnsi" w:hAnsiTheme="minorHAnsi" w:cstheme="minorHAnsi"/>
                <w:sz w:val="20"/>
                <w:szCs w:val="20"/>
              </w:rPr>
            </w:pPr>
            <w:r>
              <w:rPr>
                <w:rFonts w:asciiTheme="minorHAnsi" w:hAnsiTheme="minorHAnsi" w:cstheme="minorHAnsi"/>
                <w:sz w:val="20"/>
                <w:szCs w:val="20"/>
              </w:rPr>
              <w:t>Impairment of intangible assets</w:t>
            </w:r>
          </w:p>
        </w:tc>
        <w:tc>
          <w:tcPr>
            <w:tcW w:w="426" w:type="dxa"/>
          </w:tcPr>
          <w:p w14:paraId="08857ACC"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03C49E2F"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28F51BC9" w14:textId="77777777" w:rsidR="00BB3D8E" w:rsidRPr="007B6961" w:rsidRDefault="00BB3D8E" w:rsidP="00A27F53">
            <w:pPr>
              <w:jc w:val="center"/>
              <w:rPr>
                <w:rFonts w:asciiTheme="minorHAnsi" w:hAnsiTheme="minorHAnsi" w:cstheme="minorHAnsi"/>
                <w:sz w:val="20"/>
                <w:szCs w:val="20"/>
              </w:rPr>
            </w:pPr>
          </w:p>
        </w:tc>
        <w:tc>
          <w:tcPr>
            <w:tcW w:w="242" w:type="dxa"/>
          </w:tcPr>
          <w:p w14:paraId="5E37B606"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1A4EF360" w14:textId="77777777" w:rsidR="00BB3D8E"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61DB72A1" w14:textId="77777777" w:rsidR="00BB3D8E" w:rsidRPr="00BB3C18" w:rsidRDefault="00BB3D8E" w:rsidP="00A27F53">
            <w:pPr>
              <w:jc w:val="right"/>
              <w:rPr>
                <w:rFonts w:asciiTheme="minorHAnsi" w:hAnsiTheme="minorHAnsi" w:cstheme="minorHAnsi"/>
                <w:sz w:val="20"/>
                <w:szCs w:val="20"/>
              </w:rPr>
            </w:pPr>
          </w:p>
        </w:tc>
        <w:tc>
          <w:tcPr>
            <w:tcW w:w="1353" w:type="dxa"/>
          </w:tcPr>
          <w:p w14:paraId="162A0AE0" w14:textId="2AD7D162" w:rsidR="00BB3D8E" w:rsidRDefault="002E2CC3" w:rsidP="00A27F53">
            <w:pPr>
              <w:ind w:right="-91"/>
              <w:jc w:val="right"/>
              <w:rPr>
                <w:rFonts w:asciiTheme="minorHAnsi" w:hAnsiTheme="minorHAnsi" w:cstheme="minorHAnsi"/>
                <w:sz w:val="20"/>
                <w:szCs w:val="20"/>
              </w:rPr>
            </w:pPr>
            <w:r>
              <w:rPr>
                <w:rFonts w:asciiTheme="minorHAnsi" w:hAnsiTheme="minorHAnsi" w:cstheme="minorHAnsi"/>
                <w:sz w:val="20"/>
                <w:szCs w:val="20"/>
              </w:rPr>
              <w:t>20,086</w:t>
            </w:r>
          </w:p>
          <w:p w14:paraId="3AC972A4" w14:textId="6B50CBF3" w:rsidR="002E2CC3" w:rsidRPr="001013BF" w:rsidRDefault="002E2CC3" w:rsidP="00A27F53">
            <w:pPr>
              <w:ind w:right="-91"/>
              <w:jc w:val="right"/>
              <w:rPr>
                <w:rFonts w:asciiTheme="minorHAnsi" w:hAnsiTheme="minorHAnsi" w:cstheme="minorHAnsi"/>
                <w:sz w:val="20"/>
                <w:szCs w:val="20"/>
              </w:rPr>
            </w:pPr>
            <w:r>
              <w:rPr>
                <w:rFonts w:asciiTheme="minorHAnsi" w:hAnsiTheme="minorHAnsi" w:cstheme="minorHAnsi"/>
                <w:sz w:val="20"/>
                <w:szCs w:val="20"/>
              </w:rPr>
              <w:t>21,599</w:t>
            </w:r>
          </w:p>
        </w:tc>
      </w:tr>
      <w:tr w:rsidR="00BB3D8E" w:rsidRPr="00BB3C18" w14:paraId="7BC0357C" w14:textId="77777777" w:rsidTr="00A27F53">
        <w:trPr>
          <w:trHeight w:val="170"/>
        </w:trPr>
        <w:tc>
          <w:tcPr>
            <w:tcW w:w="4536" w:type="dxa"/>
            <w:gridSpan w:val="3"/>
          </w:tcPr>
          <w:p w14:paraId="723B57F1" w14:textId="77777777" w:rsidR="00BB3D8E" w:rsidRPr="00BB3C18" w:rsidRDefault="00BB3D8E" w:rsidP="00A27F53">
            <w:pPr>
              <w:spacing w:line="276" w:lineRule="auto"/>
              <w:rPr>
                <w:rFonts w:asciiTheme="minorHAnsi" w:hAnsiTheme="minorHAnsi" w:cstheme="minorHAnsi"/>
                <w:sz w:val="20"/>
                <w:szCs w:val="20"/>
              </w:rPr>
            </w:pPr>
            <w:r w:rsidRPr="00BB3C18">
              <w:rPr>
                <w:rFonts w:asciiTheme="minorHAnsi" w:hAnsiTheme="minorHAnsi" w:cstheme="minorHAnsi"/>
                <w:sz w:val="20"/>
                <w:szCs w:val="20"/>
              </w:rPr>
              <w:t xml:space="preserve">Depreciation </w:t>
            </w:r>
          </w:p>
        </w:tc>
        <w:tc>
          <w:tcPr>
            <w:tcW w:w="426" w:type="dxa"/>
          </w:tcPr>
          <w:p w14:paraId="69A9A7F8"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2C9DB2D5"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38E251C6" w14:textId="77777777" w:rsidR="00BB3D8E" w:rsidRPr="007B6961" w:rsidRDefault="00BB3D8E" w:rsidP="00A27F53">
            <w:pPr>
              <w:jc w:val="center"/>
              <w:rPr>
                <w:rFonts w:asciiTheme="minorHAnsi" w:hAnsiTheme="minorHAnsi" w:cstheme="minorHAnsi"/>
                <w:sz w:val="20"/>
                <w:szCs w:val="20"/>
              </w:rPr>
            </w:pPr>
            <w:r w:rsidRPr="007B6961">
              <w:rPr>
                <w:rFonts w:asciiTheme="minorHAnsi" w:hAnsiTheme="minorHAnsi" w:cstheme="minorHAnsi"/>
                <w:sz w:val="20"/>
                <w:szCs w:val="20"/>
              </w:rPr>
              <w:t>3</w:t>
            </w:r>
          </w:p>
        </w:tc>
        <w:tc>
          <w:tcPr>
            <w:tcW w:w="242" w:type="dxa"/>
          </w:tcPr>
          <w:p w14:paraId="5D67DBD7"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7469A8CF" w14:textId="77777777" w:rsidR="00BB3D8E" w:rsidRPr="001013BF"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147E0802" w14:textId="77777777" w:rsidR="00BB3D8E" w:rsidRPr="00BB3C18" w:rsidRDefault="00BB3D8E" w:rsidP="00A27F53">
            <w:pPr>
              <w:jc w:val="right"/>
              <w:rPr>
                <w:rFonts w:asciiTheme="minorHAnsi" w:hAnsiTheme="minorHAnsi" w:cstheme="minorHAnsi"/>
                <w:sz w:val="20"/>
                <w:szCs w:val="20"/>
              </w:rPr>
            </w:pPr>
          </w:p>
        </w:tc>
        <w:tc>
          <w:tcPr>
            <w:tcW w:w="1353" w:type="dxa"/>
          </w:tcPr>
          <w:p w14:paraId="4206037A" w14:textId="77777777"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2,504</w:t>
            </w:r>
          </w:p>
        </w:tc>
      </w:tr>
      <w:tr w:rsidR="00BB3D8E" w:rsidRPr="00BB3C18" w14:paraId="22DD979F" w14:textId="77777777" w:rsidTr="00A27F53">
        <w:trPr>
          <w:trHeight w:val="181"/>
        </w:trPr>
        <w:tc>
          <w:tcPr>
            <w:tcW w:w="4536" w:type="dxa"/>
            <w:gridSpan w:val="3"/>
          </w:tcPr>
          <w:p w14:paraId="17D0D1E8" w14:textId="77777777" w:rsidR="00BB3D8E" w:rsidRPr="00BB3C18" w:rsidRDefault="00BB3D8E" w:rsidP="00A27F53">
            <w:pPr>
              <w:spacing w:line="276" w:lineRule="auto"/>
              <w:rPr>
                <w:rFonts w:asciiTheme="minorHAnsi" w:hAnsiTheme="minorHAnsi" w:cstheme="minorHAnsi"/>
                <w:sz w:val="20"/>
                <w:szCs w:val="20"/>
              </w:rPr>
            </w:pPr>
            <w:r w:rsidRPr="00BB3C18">
              <w:rPr>
                <w:rFonts w:asciiTheme="minorHAnsi" w:hAnsiTheme="minorHAnsi" w:cstheme="minorHAnsi"/>
                <w:sz w:val="20"/>
                <w:szCs w:val="20"/>
              </w:rPr>
              <w:t>Finance costs</w:t>
            </w:r>
          </w:p>
        </w:tc>
        <w:tc>
          <w:tcPr>
            <w:tcW w:w="426" w:type="dxa"/>
          </w:tcPr>
          <w:p w14:paraId="41116E7F"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54C8E756"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3A5FA8FB" w14:textId="77777777" w:rsidR="00BB3D8E" w:rsidRPr="007B6961" w:rsidRDefault="00BB3D8E" w:rsidP="00A27F53">
            <w:pPr>
              <w:jc w:val="center"/>
              <w:rPr>
                <w:rFonts w:asciiTheme="minorHAnsi" w:hAnsiTheme="minorHAnsi" w:cstheme="minorHAnsi"/>
                <w:sz w:val="20"/>
                <w:szCs w:val="20"/>
              </w:rPr>
            </w:pPr>
            <w:r w:rsidRPr="007B6961">
              <w:rPr>
                <w:rFonts w:asciiTheme="minorHAnsi" w:hAnsiTheme="minorHAnsi" w:cstheme="minorHAnsi"/>
                <w:sz w:val="20"/>
                <w:szCs w:val="20"/>
              </w:rPr>
              <w:t>6</w:t>
            </w:r>
          </w:p>
        </w:tc>
        <w:tc>
          <w:tcPr>
            <w:tcW w:w="242" w:type="dxa"/>
          </w:tcPr>
          <w:p w14:paraId="02E27DC1"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45FEFD0D" w14:textId="77777777" w:rsidR="00BB3D8E" w:rsidRPr="001013BF" w:rsidDel="00327471"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623EAE72" w14:textId="77777777" w:rsidR="00BB3D8E" w:rsidRPr="00BB3C18" w:rsidRDefault="00BB3D8E" w:rsidP="00A27F53">
            <w:pPr>
              <w:jc w:val="right"/>
              <w:rPr>
                <w:rFonts w:asciiTheme="minorHAnsi" w:hAnsiTheme="minorHAnsi" w:cstheme="minorHAnsi"/>
                <w:sz w:val="20"/>
                <w:szCs w:val="20"/>
              </w:rPr>
            </w:pPr>
          </w:p>
        </w:tc>
        <w:tc>
          <w:tcPr>
            <w:tcW w:w="1353" w:type="dxa"/>
          </w:tcPr>
          <w:p w14:paraId="19B72A47" w14:textId="77777777"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4,593,154</w:t>
            </w:r>
          </w:p>
        </w:tc>
      </w:tr>
      <w:tr w:rsidR="00BB3D8E" w:rsidRPr="00BB3C18" w14:paraId="2313B87B" w14:textId="77777777" w:rsidTr="00A27F53">
        <w:trPr>
          <w:trHeight w:val="170"/>
        </w:trPr>
        <w:tc>
          <w:tcPr>
            <w:tcW w:w="4536" w:type="dxa"/>
            <w:gridSpan w:val="3"/>
          </w:tcPr>
          <w:p w14:paraId="2A0E8096" w14:textId="77777777" w:rsidR="00BB3D8E" w:rsidRPr="00BB3C18" w:rsidRDefault="00BB3D8E" w:rsidP="00A27F53">
            <w:pPr>
              <w:spacing w:line="276" w:lineRule="auto"/>
              <w:rPr>
                <w:rFonts w:asciiTheme="minorHAnsi" w:hAnsiTheme="minorHAnsi" w:cstheme="minorHAnsi"/>
                <w:sz w:val="20"/>
                <w:szCs w:val="20"/>
              </w:rPr>
            </w:pPr>
          </w:p>
        </w:tc>
        <w:tc>
          <w:tcPr>
            <w:tcW w:w="426" w:type="dxa"/>
          </w:tcPr>
          <w:p w14:paraId="0967BB75"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6B8F3D7C"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7136B0E9" w14:textId="77777777" w:rsidR="00BB3D8E" w:rsidRPr="000B20D5" w:rsidRDefault="00BB3D8E" w:rsidP="00A27F53">
            <w:pPr>
              <w:jc w:val="center"/>
              <w:rPr>
                <w:rFonts w:asciiTheme="minorHAnsi" w:hAnsiTheme="minorHAnsi" w:cstheme="minorHAnsi"/>
                <w:sz w:val="20"/>
                <w:szCs w:val="20"/>
                <w:highlight w:val="yellow"/>
              </w:rPr>
            </w:pPr>
          </w:p>
        </w:tc>
        <w:tc>
          <w:tcPr>
            <w:tcW w:w="242" w:type="dxa"/>
          </w:tcPr>
          <w:p w14:paraId="5A2DC604" w14:textId="77777777" w:rsidR="00BB3D8E" w:rsidRPr="00BB3C18" w:rsidRDefault="00BB3D8E" w:rsidP="00A27F53">
            <w:pPr>
              <w:jc w:val="right"/>
              <w:rPr>
                <w:rFonts w:asciiTheme="minorHAnsi" w:hAnsiTheme="minorHAnsi" w:cstheme="minorHAnsi"/>
                <w:sz w:val="20"/>
                <w:szCs w:val="20"/>
              </w:rPr>
            </w:pPr>
          </w:p>
        </w:tc>
        <w:tc>
          <w:tcPr>
            <w:tcW w:w="1359" w:type="dxa"/>
            <w:gridSpan w:val="2"/>
            <w:tcBorders>
              <w:top w:val="single" w:sz="4" w:space="0" w:color="auto"/>
            </w:tcBorders>
            <w:shd w:val="clear" w:color="auto" w:fill="auto"/>
          </w:tcPr>
          <w:p w14:paraId="29126C88" w14:textId="47E676CF" w:rsidR="00BB3D8E" w:rsidRPr="001013BF" w:rsidRDefault="003A5361" w:rsidP="003A2624">
            <w:pPr>
              <w:jc w:val="right"/>
              <w:rPr>
                <w:rFonts w:asciiTheme="minorHAnsi" w:hAnsiTheme="minorHAnsi" w:cstheme="minorHAnsi"/>
                <w:sz w:val="20"/>
                <w:szCs w:val="20"/>
              </w:rPr>
            </w:pPr>
            <w:r>
              <w:rPr>
                <w:rFonts w:asciiTheme="minorHAnsi" w:hAnsiTheme="minorHAnsi" w:cstheme="minorHAnsi"/>
                <w:sz w:val="20"/>
                <w:szCs w:val="20"/>
              </w:rPr>
              <w:t>(762,</w:t>
            </w:r>
            <w:r w:rsidR="003A2624">
              <w:rPr>
                <w:rFonts w:asciiTheme="minorHAnsi" w:hAnsiTheme="minorHAnsi" w:cstheme="minorHAnsi"/>
                <w:sz w:val="20"/>
                <w:szCs w:val="20"/>
              </w:rPr>
              <w:t>107</w:t>
            </w:r>
            <w:r w:rsidR="00BB3D8E">
              <w:rPr>
                <w:rFonts w:asciiTheme="minorHAnsi" w:hAnsiTheme="minorHAnsi" w:cstheme="minorHAnsi"/>
                <w:sz w:val="20"/>
                <w:szCs w:val="20"/>
              </w:rPr>
              <w:t>)</w:t>
            </w:r>
          </w:p>
        </w:tc>
        <w:tc>
          <w:tcPr>
            <w:tcW w:w="264" w:type="dxa"/>
          </w:tcPr>
          <w:p w14:paraId="42DA7885" w14:textId="77777777" w:rsidR="00BB3D8E" w:rsidRPr="00BB3C18" w:rsidRDefault="00BB3D8E" w:rsidP="00A27F53">
            <w:pPr>
              <w:jc w:val="center"/>
              <w:rPr>
                <w:rFonts w:asciiTheme="minorHAnsi" w:hAnsiTheme="minorHAnsi" w:cstheme="minorHAnsi"/>
                <w:sz w:val="20"/>
                <w:szCs w:val="20"/>
              </w:rPr>
            </w:pPr>
          </w:p>
        </w:tc>
        <w:tc>
          <w:tcPr>
            <w:tcW w:w="1353" w:type="dxa"/>
            <w:tcBorders>
              <w:top w:val="single" w:sz="4" w:space="0" w:color="auto"/>
            </w:tcBorders>
          </w:tcPr>
          <w:p w14:paraId="524E5B5C" w14:textId="34885818"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(3,05</w:t>
            </w:r>
            <w:r w:rsidR="00905BEC">
              <w:rPr>
                <w:rFonts w:asciiTheme="minorHAnsi" w:hAnsiTheme="minorHAnsi" w:cstheme="minorHAnsi"/>
                <w:sz w:val="20"/>
                <w:szCs w:val="20"/>
              </w:rPr>
              <w:t>6</w:t>
            </w:r>
            <w:r>
              <w:rPr>
                <w:rFonts w:asciiTheme="minorHAnsi" w:hAnsiTheme="minorHAnsi" w:cstheme="minorHAnsi"/>
                <w:sz w:val="20"/>
                <w:szCs w:val="20"/>
              </w:rPr>
              <w:t>,</w:t>
            </w:r>
            <w:r w:rsidR="00905BEC">
              <w:rPr>
                <w:rFonts w:asciiTheme="minorHAnsi" w:hAnsiTheme="minorHAnsi" w:cstheme="minorHAnsi"/>
                <w:sz w:val="20"/>
                <w:szCs w:val="20"/>
              </w:rPr>
              <w:t>29</w:t>
            </w:r>
            <w:r w:rsidR="002E2CC3">
              <w:rPr>
                <w:rFonts w:asciiTheme="minorHAnsi" w:hAnsiTheme="minorHAnsi" w:cstheme="minorHAnsi"/>
                <w:sz w:val="20"/>
                <w:szCs w:val="20"/>
              </w:rPr>
              <w:t>0</w:t>
            </w:r>
            <w:r>
              <w:rPr>
                <w:rFonts w:asciiTheme="minorHAnsi" w:hAnsiTheme="minorHAnsi" w:cstheme="minorHAnsi"/>
                <w:sz w:val="20"/>
                <w:szCs w:val="20"/>
              </w:rPr>
              <w:t>)</w:t>
            </w:r>
          </w:p>
        </w:tc>
      </w:tr>
      <w:tr w:rsidR="00BB3D8E" w:rsidRPr="00BB3C18" w14:paraId="1DA7FF85" w14:textId="77777777" w:rsidTr="00A27F53">
        <w:trPr>
          <w:trHeight w:val="170"/>
        </w:trPr>
        <w:tc>
          <w:tcPr>
            <w:tcW w:w="4536" w:type="dxa"/>
            <w:gridSpan w:val="3"/>
          </w:tcPr>
          <w:p w14:paraId="46991B47" w14:textId="77777777" w:rsidR="00BB3D8E" w:rsidRPr="00BB3C18" w:rsidRDefault="00BB3D8E" w:rsidP="00A27F53">
            <w:pPr>
              <w:spacing w:line="276" w:lineRule="auto"/>
              <w:rPr>
                <w:rFonts w:asciiTheme="minorHAnsi" w:hAnsiTheme="minorHAnsi" w:cstheme="minorHAnsi"/>
                <w:sz w:val="20"/>
                <w:szCs w:val="20"/>
              </w:rPr>
            </w:pPr>
          </w:p>
        </w:tc>
        <w:tc>
          <w:tcPr>
            <w:tcW w:w="426" w:type="dxa"/>
          </w:tcPr>
          <w:p w14:paraId="7AB84F67"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0BCB0FBE"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0827A01A" w14:textId="77777777" w:rsidR="00BB3D8E" w:rsidRPr="00BB3C18" w:rsidRDefault="00BB3D8E" w:rsidP="00A27F53">
            <w:pPr>
              <w:jc w:val="center"/>
              <w:rPr>
                <w:rFonts w:asciiTheme="minorHAnsi" w:hAnsiTheme="minorHAnsi" w:cstheme="minorHAnsi"/>
                <w:sz w:val="20"/>
                <w:szCs w:val="20"/>
              </w:rPr>
            </w:pPr>
          </w:p>
        </w:tc>
        <w:tc>
          <w:tcPr>
            <w:tcW w:w="242" w:type="dxa"/>
          </w:tcPr>
          <w:p w14:paraId="7335C222"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7065977F" w14:textId="77777777" w:rsidR="00BB3D8E" w:rsidRPr="00732E09" w:rsidRDefault="00BB3D8E" w:rsidP="00A27F53">
            <w:pPr>
              <w:jc w:val="right"/>
              <w:rPr>
                <w:rFonts w:asciiTheme="minorHAnsi" w:hAnsiTheme="minorHAnsi" w:cstheme="minorHAnsi"/>
                <w:sz w:val="20"/>
                <w:szCs w:val="20"/>
                <w:highlight w:val="yellow"/>
              </w:rPr>
            </w:pPr>
          </w:p>
        </w:tc>
        <w:tc>
          <w:tcPr>
            <w:tcW w:w="264" w:type="dxa"/>
          </w:tcPr>
          <w:p w14:paraId="0471DACD" w14:textId="77777777" w:rsidR="00BB3D8E" w:rsidRPr="00BB3C18" w:rsidRDefault="00BB3D8E" w:rsidP="00A27F53">
            <w:pPr>
              <w:jc w:val="right"/>
              <w:rPr>
                <w:rFonts w:asciiTheme="minorHAnsi" w:hAnsiTheme="minorHAnsi" w:cstheme="minorHAnsi"/>
                <w:sz w:val="20"/>
                <w:szCs w:val="20"/>
              </w:rPr>
            </w:pPr>
          </w:p>
        </w:tc>
        <w:tc>
          <w:tcPr>
            <w:tcW w:w="1353" w:type="dxa"/>
          </w:tcPr>
          <w:p w14:paraId="1EE3A119" w14:textId="77777777" w:rsidR="00BB3D8E" w:rsidRPr="00BB3C18" w:rsidRDefault="00BB3D8E" w:rsidP="00A27F53">
            <w:pPr>
              <w:ind w:right="-91"/>
              <w:jc w:val="right"/>
              <w:rPr>
                <w:rFonts w:asciiTheme="minorHAnsi" w:hAnsiTheme="minorHAnsi" w:cstheme="minorHAnsi"/>
                <w:sz w:val="20"/>
                <w:szCs w:val="20"/>
              </w:rPr>
            </w:pPr>
          </w:p>
        </w:tc>
      </w:tr>
      <w:tr w:rsidR="00BB3D8E" w:rsidRPr="00BB3C18" w14:paraId="26BC56F9" w14:textId="77777777" w:rsidTr="00A27F53">
        <w:trPr>
          <w:trHeight w:val="181"/>
        </w:trPr>
        <w:tc>
          <w:tcPr>
            <w:tcW w:w="4536" w:type="dxa"/>
            <w:gridSpan w:val="3"/>
          </w:tcPr>
          <w:p w14:paraId="51025713" w14:textId="77777777" w:rsidR="00BB3D8E" w:rsidRPr="00BB3C18" w:rsidRDefault="00BB3D8E" w:rsidP="00A27F53">
            <w:pPr>
              <w:spacing w:line="276" w:lineRule="auto"/>
              <w:rPr>
                <w:rFonts w:asciiTheme="minorHAnsi" w:hAnsiTheme="minorHAnsi" w:cstheme="minorHAnsi"/>
                <w:sz w:val="20"/>
                <w:szCs w:val="20"/>
              </w:rPr>
            </w:pPr>
            <w:r>
              <w:rPr>
                <w:rFonts w:asciiTheme="minorHAnsi" w:hAnsiTheme="minorHAnsi" w:cstheme="minorHAnsi"/>
                <w:sz w:val="20"/>
                <w:szCs w:val="20"/>
              </w:rPr>
              <w:t>Decrease/(i</w:t>
            </w:r>
            <w:r w:rsidRPr="00BB3C18">
              <w:rPr>
                <w:rFonts w:asciiTheme="minorHAnsi" w:hAnsiTheme="minorHAnsi" w:cstheme="minorHAnsi"/>
                <w:sz w:val="20"/>
                <w:szCs w:val="20"/>
              </w:rPr>
              <w:t>ncrease</w:t>
            </w:r>
            <w:r>
              <w:rPr>
                <w:rFonts w:asciiTheme="minorHAnsi" w:hAnsiTheme="minorHAnsi" w:cstheme="minorHAnsi"/>
                <w:sz w:val="20"/>
                <w:szCs w:val="20"/>
              </w:rPr>
              <w:t>)</w:t>
            </w:r>
            <w:r w:rsidRPr="00BB3C18">
              <w:rPr>
                <w:rFonts w:asciiTheme="minorHAnsi" w:hAnsiTheme="minorHAnsi" w:cstheme="minorHAnsi"/>
                <w:sz w:val="20"/>
                <w:szCs w:val="20"/>
              </w:rPr>
              <w:t xml:space="preserve"> in trade and other receivables</w:t>
            </w:r>
          </w:p>
        </w:tc>
        <w:tc>
          <w:tcPr>
            <w:tcW w:w="426" w:type="dxa"/>
          </w:tcPr>
          <w:p w14:paraId="61D351DC"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02F85C96"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0D049D0B" w14:textId="77777777" w:rsidR="00BB3D8E" w:rsidRPr="00BB3C18" w:rsidRDefault="00BB3D8E" w:rsidP="00A27F53">
            <w:pPr>
              <w:jc w:val="center"/>
              <w:rPr>
                <w:rFonts w:asciiTheme="minorHAnsi" w:hAnsiTheme="minorHAnsi" w:cstheme="minorHAnsi"/>
                <w:sz w:val="20"/>
                <w:szCs w:val="20"/>
              </w:rPr>
            </w:pPr>
          </w:p>
        </w:tc>
        <w:tc>
          <w:tcPr>
            <w:tcW w:w="242" w:type="dxa"/>
          </w:tcPr>
          <w:p w14:paraId="05096B78"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556C951A" w14:textId="31B3916D" w:rsidR="00BB3D8E" w:rsidRPr="001013BF" w:rsidRDefault="007D7732" w:rsidP="00A27F53">
            <w:pPr>
              <w:jc w:val="right"/>
              <w:rPr>
                <w:rFonts w:asciiTheme="minorHAnsi" w:hAnsiTheme="minorHAnsi" w:cstheme="minorHAnsi"/>
                <w:sz w:val="20"/>
                <w:szCs w:val="20"/>
              </w:rPr>
            </w:pPr>
            <w:r>
              <w:rPr>
                <w:rFonts w:asciiTheme="minorHAnsi" w:hAnsiTheme="minorHAnsi" w:cstheme="minorHAnsi"/>
                <w:sz w:val="20"/>
                <w:szCs w:val="20"/>
              </w:rPr>
              <w:t>103,126</w:t>
            </w:r>
          </w:p>
        </w:tc>
        <w:tc>
          <w:tcPr>
            <w:tcW w:w="264" w:type="dxa"/>
          </w:tcPr>
          <w:p w14:paraId="41A0F212" w14:textId="77777777" w:rsidR="00BB3D8E" w:rsidRPr="001013BF" w:rsidRDefault="00BB3D8E" w:rsidP="00A27F53">
            <w:pPr>
              <w:jc w:val="right"/>
              <w:rPr>
                <w:rFonts w:asciiTheme="minorHAnsi" w:hAnsiTheme="minorHAnsi" w:cstheme="minorHAnsi"/>
                <w:sz w:val="20"/>
                <w:szCs w:val="20"/>
              </w:rPr>
            </w:pPr>
          </w:p>
        </w:tc>
        <w:tc>
          <w:tcPr>
            <w:tcW w:w="1353" w:type="dxa"/>
          </w:tcPr>
          <w:p w14:paraId="56737780" w14:textId="77777777"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33,009</w:t>
            </w:r>
          </w:p>
        </w:tc>
      </w:tr>
      <w:tr w:rsidR="00BB3D8E" w:rsidRPr="00BB3C18" w14:paraId="463D8C9B" w14:textId="77777777" w:rsidTr="00A27F53">
        <w:trPr>
          <w:trHeight w:val="215"/>
        </w:trPr>
        <w:tc>
          <w:tcPr>
            <w:tcW w:w="4536" w:type="dxa"/>
            <w:gridSpan w:val="3"/>
          </w:tcPr>
          <w:p w14:paraId="30F711B2" w14:textId="77777777" w:rsidR="00BB3D8E" w:rsidRDefault="00BB3D8E" w:rsidP="00A27F53">
            <w:pPr>
              <w:spacing w:line="276" w:lineRule="auto"/>
              <w:rPr>
                <w:rFonts w:asciiTheme="minorHAnsi" w:hAnsiTheme="minorHAnsi" w:cstheme="minorHAnsi"/>
                <w:sz w:val="20"/>
                <w:szCs w:val="20"/>
              </w:rPr>
            </w:pPr>
            <w:r>
              <w:rPr>
                <w:rFonts w:asciiTheme="minorHAnsi" w:hAnsiTheme="minorHAnsi" w:cstheme="minorHAnsi"/>
                <w:sz w:val="20"/>
                <w:szCs w:val="20"/>
              </w:rPr>
              <w:t>(Decrease)/i</w:t>
            </w:r>
            <w:r w:rsidRPr="00BB3C18">
              <w:rPr>
                <w:rFonts w:asciiTheme="minorHAnsi" w:hAnsiTheme="minorHAnsi" w:cstheme="minorHAnsi"/>
                <w:sz w:val="20"/>
                <w:szCs w:val="20"/>
              </w:rPr>
              <w:t>ncrease</w:t>
            </w:r>
            <w:r>
              <w:rPr>
                <w:rFonts w:asciiTheme="minorHAnsi" w:hAnsiTheme="minorHAnsi" w:cstheme="minorHAnsi"/>
                <w:sz w:val="20"/>
                <w:szCs w:val="20"/>
              </w:rPr>
              <w:t xml:space="preserve"> </w:t>
            </w:r>
            <w:r w:rsidRPr="00BB3C18">
              <w:rPr>
                <w:rFonts w:asciiTheme="minorHAnsi" w:hAnsiTheme="minorHAnsi" w:cstheme="minorHAnsi"/>
                <w:sz w:val="20"/>
                <w:szCs w:val="20"/>
              </w:rPr>
              <w:t>in trade and other payables</w:t>
            </w:r>
          </w:p>
          <w:p w14:paraId="22615065" w14:textId="4A0A9F6D" w:rsidR="00903FC4" w:rsidRPr="00BB3C18" w:rsidRDefault="00903FC4" w:rsidP="00A27F53">
            <w:pPr>
              <w:spacing w:line="276" w:lineRule="auto"/>
              <w:rPr>
                <w:rFonts w:asciiTheme="minorHAnsi" w:hAnsiTheme="minorHAnsi" w:cstheme="minorHAnsi"/>
                <w:sz w:val="20"/>
                <w:szCs w:val="20"/>
              </w:rPr>
            </w:pPr>
            <w:r>
              <w:rPr>
                <w:rFonts w:asciiTheme="minorHAnsi" w:hAnsiTheme="minorHAnsi" w:cstheme="minorHAnsi"/>
                <w:sz w:val="20"/>
                <w:szCs w:val="20"/>
              </w:rPr>
              <w:t>(Decrease)/increase in provisions</w:t>
            </w:r>
          </w:p>
        </w:tc>
        <w:tc>
          <w:tcPr>
            <w:tcW w:w="426" w:type="dxa"/>
          </w:tcPr>
          <w:p w14:paraId="0A56068A" w14:textId="77777777" w:rsidR="00BB3D8E" w:rsidRPr="00BB3C18" w:rsidRDefault="00BB3D8E" w:rsidP="00A27F53">
            <w:pPr>
              <w:spacing w:line="276" w:lineRule="auto"/>
              <w:jc w:val="right"/>
              <w:rPr>
                <w:rFonts w:asciiTheme="minorHAnsi" w:hAnsiTheme="minorHAnsi" w:cstheme="minorHAnsi"/>
                <w:sz w:val="20"/>
                <w:szCs w:val="20"/>
              </w:rPr>
            </w:pPr>
          </w:p>
        </w:tc>
        <w:tc>
          <w:tcPr>
            <w:tcW w:w="530" w:type="dxa"/>
            <w:gridSpan w:val="2"/>
          </w:tcPr>
          <w:p w14:paraId="2145996D" w14:textId="77777777" w:rsidR="00BB3D8E" w:rsidRPr="00BB3C18" w:rsidRDefault="00BB3D8E" w:rsidP="00A27F53">
            <w:pPr>
              <w:spacing w:line="276" w:lineRule="auto"/>
              <w:jc w:val="right"/>
              <w:rPr>
                <w:rFonts w:asciiTheme="minorHAnsi" w:hAnsiTheme="minorHAnsi" w:cstheme="minorHAnsi"/>
                <w:sz w:val="20"/>
                <w:szCs w:val="20"/>
              </w:rPr>
            </w:pPr>
          </w:p>
        </w:tc>
        <w:tc>
          <w:tcPr>
            <w:tcW w:w="865" w:type="dxa"/>
            <w:gridSpan w:val="2"/>
          </w:tcPr>
          <w:p w14:paraId="061BB468" w14:textId="77777777" w:rsidR="00BB3D8E" w:rsidRPr="00BB3C18" w:rsidRDefault="00BB3D8E" w:rsidP="00A27F53">
            <w:pPr>
              <w:jc w:val="center"/>
              <w:rPr>
                <w:rFonts w:asciiTheme="minorHAnsi" w:hAnsiTheme="minorHAnsi" w:cstheme="minorHAnsi"/>
                <w:sz w:val="20"/>
                <w:szCs w:val="20"/>
              </w:rPr>
            </w:pPr>
          </w:p>
        </w:tc>
        <w:tc>
          <w:tcPr>
            <w:tcW w:w="242" w:type="dxa"/>
          </w:tcPr>
          <w:p w14:paraId="6FE4AA08" w14:textId="77777777" w:rsidR="00BB3D8E" w:rsidRPr="00BB3C18" w:rsidRDefault="00BB3D8E" w:rsidP="00A27F53">
            <w:pPr>
              <w:jc w:val="right"/>
              <w:rPr>
                <w:rFonts w:asciiTheme="minorHAnsi" w:hAnsiTheme="minorHAnsi" w:cstheme="minorHAnsi"/>
                <w:sz w:val="20"/>
                <w:szCs w:val="20"/>
              </w:rPr>
            </w:pPr>
          </w:p>
        </w:tc>
        <w:tc>
          <w:tcPr>
            <w:tcW w:w="1359" w:type="dxa"/>
            <w:gridSpan w:val="2"/>
            <w:shd w:val="clear" w:color="auto" w:fill="auto"/>
          </w:tcPr>
          <w:p w14:paraId="64CA6017" w14:textId="0D638DB3" w:rsidR="00BB3D8E" w:rsidRDefault="00903FC4" w:rsidP="00A27F53">
            <w:pPr>
              <w:jc w:val="right"/>
              <w:rPr>
                <w:rFonts w:asciiTheme="minorHAnsi" w:hAnsiTheme="minorHAnsi" w:cstheme="minorHAnsi"/>
                <w:sz w:val="20"/>
                <w:szCs w:val="20"/>
              </w:rPr>
            </w:pPr>
            <w:r>
              <w:rPr>
                <w:rFonts w:asciiTheme="minorHAnsi" w:hAnsiTheme="minorHAnsi" w:cstheme="minorHAnsi"/>
                <w:sz w:val="20"/>
                <w:szCs w:val="20"/>
              </w:rPr>
              <w:t>642,057</w:t>
            </w:r>
          </w:p>
          <w:p w14:paraId="325BF436" w14:textId="40C92285" w:rsidR="00903FC4" w:rsidRPr="001013BF" w:rsidRDefault="00903FC4" w:rsidP="00A27F53">
            <w:pPr>
              <w:jc w:val="right"/>
              <w:rPr>
                <w:rFonts w:asciiTheme="minorHAnsi" w:hAnsiTheme="minorHAnsi" w:cstheme="minorHAnsi"/>
                <w:sz w:val="20"/>
                <w:szCs w:val="20"/>
              </w:rPr>
            </w:pPr>
            <w:r>
              <w:rPr>
                <w:rFonts w:asciiTheme="minorHAnsi" w:hAnsiTheme="minorHAnsi" w:cstheme="minorHAnsi"/>
                <w:sz w:val="20"/>
                <w:szCs w:val="20"/>
              </w:rPr>
              <w:t>(34,000)</w:t>
            </w:r>
          </w:p>
        </w:tc>
        <w:tc>
          <w:tcPr>
            <w:tcW w:w="264" w:type="dxa"/>
          </w:tcPr>
          <w:p w14:paraId="0CB48679" w14:textId="77777777" w:rsidR="00BB3D8E" w:rsidRPr="00BB3C18" w:rsidRDefault="00BB3D8E" w:rsidP="00A27F53">
            <w:pPr>
              <w:jc w:val="right"/>
              <w:rPr>
                <w:rFonts w:asciiTheme="minorHAnsi" w:hAnsiTheme="minorHAnsi" w:cstheme="minorHAnsi"/>
                <w:sz w:val="20"/>
                <w:szCs w:val="20"/>
              </w:rPr>
            </w:pPr>
          </w:p>
        </w:tc>
        <w:tc>
          <w:tcPr>
            <w:tcW w:w="1353" w:type="dxa"/>
          </w:tcPr>
          <w:p w14:paraId="5696E147" w14:textId="4633C615" w:rsidR="00BB3D8E"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4,181,675</w:t>
            </w:r>
          </w:p>
          <w:p w14:paraId="0497950B" w14:textId="24652BEB" w:rsidR="00903FC4" w:rsidRPr="00BB3C18" w:rsidRDefault="00903FC4" w:rsidP="00903FC4">
            <w:pPr>
              <w:ind w:right="-91"/>
              <w:jc w:val="right"/>
              <w:rPr>
                <w:rFonts w:asciiTheme="minorHAnsi" w:hAnsiTheme="minorHAnsi" w:cstheme="minorHAnsi"/>
                <w:sz w:val="20"/>
                <w:szCs w:val="20"/>
              </w:rPr>
            </w:pPr>
            <w:r>
              <w:rPr>
                <w:rFonts w:asciiTheme="minorHAnsi" w:hAnsiTheme="minorHAnsi" w:cstheme="minorHAnsi"/>
                <w:sz w:val="20"/>
                <w:szCs w:val="20"/>
              </w:rPr>
              <w:t>-</w:t>
            </w:r>
          </w:p>
        </w:tc>
      </w:tr>
      <w:tr w:rsidR="00BB3D8E" w:rsidRPr="00BB3C18" w14:paraId="165E719E" w14:textId="77777777" w:rsidTr="00A27F53">
        <w:trPr>
          <w:trHeight w:val="170"/>
        </w:trPr>
        <w:tc>
          <w:tcPr>
            <w:tcW w:w="6096" w:type="dxa"/>
            <w:gridSpan w:val="7"/>
          </w:tcPr>
          <w:p w14:paraId="4247E655" w14:textId="77777777" w:rsidR="00BB3D8E" w:rsidRPr="00BB3C18" w:rsidRDefault="00BB3D8E" w:rsidP="00A27F53">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Operating cash flows used by continuing activities</w:t>
            </w:r>
          </w:p>
        </w:tc>
        <w:tc>
          <w:tcPr>
            <w:tcW w:w="261" w:type="dxa"/>
          </w:tcPr>
          <w:p w14:paraId="5B5C246B" w14:textId="77777777" w:rsidR="00BB3D8E" w:rsidRPr="00BB3C18" w:rsidRDefault="00BB3D8E" w:rsidP="00A27F53">
            <w:pPr>
              <w:jc w:val="center"/>
              <w:rPr>
                <w:rFonts w:asciiTheme="minorHAnsi" w:hAnsiTheme="minorHAnsi" w:cstheme="minorHAnsi"/>
                <w:sz w:val="20"/>
                <w:szCs w:val="20"/>
              </w:rPr>
            </w:pPr>
          </w:p>
        </w:tc>
        <w:tc>
          <w:tcPr>
            <w:tcW w:w="242" w:type="dxa"/>
          </w:tcPr>
          <w:p w14:paraId="78EDF908" w14:textId="77777777" w:rsidR="00BB3D8E" w:rsidRPr="00BB3C18" w:rsidRDefault="00BB3D8E" w:rsidP="00A27F53">
            <w:pPr>
              <w:jc w:val="right"/>
              <w:rPr>
                <w:rFonts w:asciiTheme="minorHAnsi" w:hAnsiTheme="minorHAnsi" w:cstheme="minorHAnsi"/>
                <w:sz w:val="20"/>
                <w:szCs w:val="20"/>
              </w:rPr>
            </w:pPr>
          </w:p>
        </w:tc>
        <w:tc>
          <w:tcPr>
            <w:tcW w:w="1359" w:type="dxa"/>
            <w:gridSpan w:val="2"/>
            <w:tcBorders>
              <w:top w:val="single" w:sz="4" w:space="0" w:color="auto"/>
            </w:tcBorders>
            <w:shd w:val="clear" w:color="auto" w:fill="auto"/>
          </w:tcPr>
          <w:p w14:paraId="5C7791C7" w14:textId="038CDB0C" w:rsidR="00BB3D8E" w:rsidRPr="001013BF"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r w:rsidR="00903FC4">
              <w:rPr>
                <w:rFonts w:asciiTheme="minorHAnsi" w:hAnsiTheme="minorHAnsi" w:cstheme="minorHAnsi"/>
                <w:sz w:val="20"/>
                <w:szCs w:val="20"/>
              </w:rPr>
              <w:t>50,924</w:t>
            </w:r>
            <w:r>
              <w:rPr>
                <w:rFonts w:asciiTheme="minorHAnsi" w:hAnsiTheme="minorHAnsi" w:cstheme="minorHAnsi"/>
                <w:sz w:val="20"/>
                <w:szCs w:val="20"/>
              </w:rPr>
              <w:t>)</w:t>
            </w:r>
          </w:p>
        </w:tc>
        <w:tc>
          <w:tcPr>
            <w:tcW w:w="264" w:type="dxa"/>
          </w:tcPr>
          <w:p w14:paraId="72207274" w14:textId="77777777" w:rsidR="00BB3D8E" w:rsidRPr="00BB3C18" w:rsidRDefault="00BB3D8E" w:rsidP="00A27F53">
            <w:pPr>
              <w:jc w:val="right"/>
              <w:rPr>
                <w:rFonts w:asciiTheme="minorHAnsi" w:hAnsiTheme="minorHAnsi" w:cstheme="minorHAnsi"/>
                <w:sz w:val="20"/>
                <w:szCs w:val="20"/>
              </w:rPr>
            </w:pPr>
          </w:p>
        </w:tc>
        <w:tc>
          <w:tcPr>
            <w:tcW w:w="1353" w:type="dxa"/>
            <w:tcBorders>
              <w:top w:val="single" w:sz="4" w:space="0" w:color="auto"/>
            </w:tcBorders>
          </w:tcPr>
          <w:p w14:paraId="61D3D34F" w14:textId="5B7AAF5A"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1,15</w:t>
            </w:r>
            <w:r w:rsidR="003730DD">
              <w:rPr>
                <w:rFonts w:asciiTheme="minorHAnsi" w:hAnsiTheme="minorHAnsi" w:cstheme="minorHAnsi"/>
                <w:sz w:val="20"/>
                <w:szCs w:val="20"/>
              </w:rPr>
              <w:t>8</w:t>
            </w:r>
            <w:r>
              <w:rPr>
                <w:rFonts w:asciiTheme="minorHAnsi" w:hAnsiTheme="minorHAnsi" w:cstheme="minorHAnsi"/>
                <w:sz w:val="20"/>
                <w:szCs w:val="20"/>
              </w:rPr>
              <w:t>,</w:t>
            </w:r>
            <w:r w:rsidR="003730DD">
              <w:rPr>
                <w:rFonts w:asciiTheme="minorHAnsi" w:hAnsiTheme="minorHAnsi" w:cstheme="minorHAnsi"/>
                <w:sz w:val="20"/>
                <w:szCs w:val="20"/>
              </w:rPr>
              <w:t>394</w:t>
            </w:r>
          </w:p>
        </w:tc>
      </w:tr>
      <w:tr w:rsidR="00BB3D8E" w:rsidRPr="0069445D" w14:paraId="35000E6E" w14:textId="77777777" w:rsidTr="00A27F53">
        <w:trPr>
          <w:trHeight w:val="170"/>
        </w:trPr>
        <w:tc>
          <w:tcPr>
            <w:tcW w:w="6096" w:type="dxa"/>
            <w:gridSpan w:val="7"/>
          </w:tcPr>
          <w:p w14:paraId="40396DCD" w14:textId="77777777" w:rsidR="00BB3D8E" w:rsidRPr="0069445D" w:rsidRDefault="00BB3D8E" w:rsidP="00A27F53">
            <w:pPr>
              <w:spacing w:line="276" w:lineRule="auto"/>
              <w:rPr>
                <w:rFonts w:asciiTheme="minorHAnsi" w:hAnsiTheme="minorHAnsi" w:cstheme="minorHAnsi"/>
                <w:sz w:val="20"/>
                <w:szCs w:val="20"/>
              </w:rPr>
            </w:pPr>
            <w:r w:rsidRPr="0069445D">
              <w:rPr>
                <w:rFonts w:asciiTheme="minorHAnsi" w:hAnsiTheme="minorHAnsi" w:cstheme="minorHAnsi"/>
                <w:sz w:val="20"/>
                <w:szCs w:val="20"/>
              </w:rPr>
              <w:t xml:space="preserve">Operating cash flows </w:t>
            </w:r>
            <w:r>
              <w:rPr>
                <w:rFonts w:asciiTheme="minorHAnsi" w:hAnsiTheme="minorHAnsi" w:cstheme="minorHAnsi"/>
                <w:sz w:val="20"/>
                <w:szCs w:val="20"/>
              </w:rPr>
              <w:t>generated from/(</w:t>
            </w:r>
            <w:r w:rsidRPr="0069445D">
              <w:rPr>
                <w:rFonts w:asciiTheme="minorHAnsi" w:hAnsiTheme="minorHAnsi" w:cstheme="minorHAnsi"/>
                <w:sz w:val="20"/>
                <w:szCs w:val="20"/>
              </w:rPr>
              <w:t>used by</w:t>
            </w:r>
            <w:r>
              <w:rPr>
                <w:rFonts w:asciiTheme="minorHAnsi" w:hAnsiTheme="minorHAnsi" w:cstheme="minorHAnsi"/>
                <w:sz w:val="20"/>
                <w:szCs w:val="20"/>
              </w:rPr>
              <w:t>)</w:t>
            </w:r>
            <w:r w:rsidRPr="0069445D">
              <w:rPr>
                <w:rFonts w:asciiTheme="minorHAnsi" w:hAnsiTheme="minorHAnsi" w:cstheme="minorHAnsi"/>
                <w:sz w:val="20"/>
                <w:szCs w:val="20"/>
              </w:rPr>
              <w:t xml:space="preserve"> discontinued operations</w:t>
            </w:r>
          </w:p>
        </w:tc>
        <w:tc>
          <w:tcPr>
            <w:tcW w:w="261" w:type="dxa"/>
          </w:tcPr>
          <w:p w14:paraId="76361C2C" w14:textId="77777777" w:rsidR="00BB3D8E" w:rsidRPr="0069445D" w:rsidRDefault="00BB3D8E" w:rsidP="00A27F53">
            <w:pPr>
              <w:jc w:val="center"/>
              <w:rPr>
                <w:rFonts w:asciiTheme="minorHAnsi" w:hAnsiTheme="minorHAnsi" w:cstheme="minorHAnsi"/>
                <w:sz w:val="20"/>
                <w:szCs w:val="20"/>
              </w:rPr>
            </w:pPr>
          </w:p>
        </w:tc>
        <w:tc>
          <w:tcPr>
            <w:tcW w:w="258" w:type="dxa"/>
            <w:gridSpan w:val="2"/>
            <w:shd w:val="clear" w:color="auto" w:fill="auto"/>
          </w:tcPr>
          <w:p w14:paraId="14E3C7DC" w14:textId="77777777" w:rsidR="00BB3D8E" w:rsidRPr="00732E09" w:rsidRDefault="00BB3D8E" w:rsidP="00A27F53">
            <w:pPr>
              <w:jc w:val="right"/>
              <w:rPr>
                <w:rFonts w:asciiTheme="minorHAnsi" w:hAnsiTheme="minorHAnsi" w:cstheme="minorHAnsi"/>
                <w:sz w:val="20"/>
                <w:szCs w:val="20"/>
                <w:highlight w:val="yellow"/>
              </w:rPr>
            </w:pPr>
          </w:p>
        </w:tc>
        <w:tc>
          <w:tcPr>
            <w:tcW w:w="1343" w:type="dxa"/>
            <w:tcBorders>
              <w:bottom w:val="single" w:sz="4" w:space="0" w:color="auto"/>
            </w:tcBorders>
            <w:shd w:val="clear" w:color="auto" w:fill="auto"/>
          </w:tcPr>
          <w:p w14:paraId="017710C7" w14:textId="77777777" w:rsidR="00BB3D8E" w:rsidRPr="001013BF"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4FCB4B34" w14:textId="77777777" w:rsidR="00BB3D8E" w:rsidRPr="0069445D" w:rsidRDefault="00BB3D8E" w:rsidP="00A27F53">
            <w:pPr>
              <w:jc w:val="right"/>
              <w:rPr>
                <w:rFonts w:asciiTheme="minorHAnsi" w:hAnsiTheme="minorHAnsi" w:cstheme="minorHAnsi"/>
                <w:sz w:val="20"/>
                <w:szCs w:val="20"/>
              </w:rPr>
            </w:pPr>
          </w:p>
        </w:tc>
        <w:tc>
          <w:tcPr>
            <w:tcW w:w="1353" w:type="dxa"/>
            <w:tcBorders>
              <w:bottom w:val="single" w:sz="4" w:space="0" w:color="auto"/>
            </w:tcBorders>
          </w:tcPr>
          <w:p w14:paraId="4510EA79" w14:textId="6DA87319" w:rsidR="00BB3D8E" w:rsidRPr="0069445D"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w:t>
            </w:r>
            <w:r w:rsidR="003730DD">
              <w:rPr>
                <w:rFonts w:asciiTheme="minorHAnsi" w:hAnsiTheme="minorHAnsi" w:cstheme="minorHAnsi"/>
                <w:sz w:val="20"/>
                <w:szCs w:val="20"/>
              </w:rPr>
              <w:t>3</w:t>
            </w:r>
            <w:r w:rsidR="002E2CC3">
              <w:rPr>
                <w:rFonts w:asciiTheme="minorHAnsi" w:hAnsiTheme="minorHAnsi" w:cstheme="minorHAnsi"/>
                <w:sz w:val="20"/>
                <w:szCs w:val="20"/>
              </w:rPr>
              <w:t>,</w:t>
            </w:r>
            <w:r w:rsidR="003730DD">
              <w:rPr>
                <w:rFonts w:asciiTheme="minorHAnsi" w:hAnsiTheme="minorHAnsi" w:cstheme="minorHAnsi"/>
                <w:sz w:val="20"/>
                <w:szCs w:val="20"/>
              </w:rPr>
              <w:t>673</w:t>
            </w:r>
            <w:r>
              <w:rPr>
                <w:rFonts w:asciiTheme="minorHAnsi" w:hAnsiTheme="minorHAnsi" w:cstheme="minorHAnsi"/>
                <w:sz w:val="20"/>
                <w:szCs w:val="20"/>
              </w:rPr>
              <w:t>)</w:t>
            </w:r>
          </w:p>
        </w:tc>
      </w:tr>
      <w:tr w:rsidR="00BB3D8E" w:rsidRPr="00BB3C18" w14:paraId="4A2051F6" w14:textId="77777777" w:rsidTr="00A27F53">
        <w:trPr>
          <w:trHeight w:val="170"/>
        </w:trPr>
        <w:tc>
          <w:tcPr>
            <w:tcW w:w="6096" w:type="dxa"/>
            <w:gridSpan w:val="7"/>
          </w:tcPr>
          <w:p w14:paraId="5E367012" w14:textId="77777777" w:rsidR="00BB3D8E" w:rsidRPr="00BB3C18" w:rsidRDefault="00BB3D8E" w:rsidP="00A27F53">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 xml:space="preserve">Net cash used </w:t>
            </w:r>
            <w:r>
              <w:rPr>
                <w:rFonts w:asciiTheme="minorHAnsi" w:hAnsiTheme="minorHAnsi" w:cstheme="minorHAnsi"/>
                <w:b/>
                <w:sz w:val="20"/>
                <w:szCs w:val="20"/>
              </w:rPr>
              <w:t>in</w:t>
            </w:r>
            <w:r w:rsidRPr="00BB3C18">
              <w:rPr>
                <w:rFonts w:asciiTheme="minorHAnsi" w:hAnsiTheme="minorHAnsi" w:cstheme="minorHAnsi"/>
                <w:b/>
                <w:sz w:val="20"/>
                <w:szCs w:val="20"/>
              </w:rPr>
              <w:t xml:space="preserve"> operating activities</w:t>
            </w:r>
          </w:p>
        </w:tc>
        <w:tc>
          <w:tcPr>
            <w:tcW w:w="261" w:type="dxa"/>
          </w:tcPr>
          <w:p w14:paraId="697641C5" w14:textId="77777777" w:rsidR="00BB3D8E" w:rsidRPr="00BB3C18" w:rsidRDefault="00BB3D8E" w:rsidP="00A27F53">
            <w:pPr>
              <w:jc w:val="center"/>
              <w:rPr>
                <w:rFonts w:asciiTheme="minorHAnsi" w:hAnsiTheme="minorHAnsi" w:cstheme="minorHAnsi"/>
                <w:sz w:val="20"/>
                <w:szCs w:val="20"/>
              </w:rPr>
            </w:pPr>
          </w:p>
        </w:tc>
        <w:tc>
          <w:tcPr>
            <w:tcW w:w="258" w:type="dxa"/>
            <w:gridSpan w:val="2"/>
            <w:shd w:val="clear" w:color="auto" w:fill="auto"/>
          </w:tcPr>
          <w:p w14:paraId="78C61D98" w14:textId="77777777" w:rsidR="00BB3D8E" w:rsidRPr="00732E09" w:rsidRDefault="00BB3D8E" w:rsidP="00A27F53">
            <w:pPr>
              <w:jc w:val="right"/>
              <w:rPr>
                <w:rFonts w:asciiTheme="minorHAnsi" w:hAnsiTheme="minorHAnsi" w:cstheme="minorHAnsi"/>
                <w:sz w:val="20"/>
                <w:szCs w:val="20"/>
                <w:highlight w:val="yellow"/>
              </w:rPr>
            </w:pPr>
          </w:p>
        </w:tc>
        <w:tc>
          <w:tcPr>
            <w:tcW w:w="1343" w:type="dxa"/>
            <w:tcBorders>
              <w:top w:val="single" w:sz="4" w:space="0" w:color="auto"/>
            </w:tcBorders>
            <w:shd w:val="clear" w:color="auto" w:fill="auto"/>
          </w:tcPr>
          <w:p w14:paraId="636A5A29" w14:textId="397A2CE1" w:rsidR="00BB3D8E" w:rsidRPr="001013BF"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r w:rsidR="00903FC4">
              <w:rPr>
                <w:rFonts w:asciiTheme="minorHAnsi" w:hAnsiTheme="minorHAnsi" w:cstheme="minorHAnsi"/>
                <w:sz w:val="20"/>
                <w:szCs w:val="20"/>
              </w:rPr>
              <w:t>50,924</w:t>
            </w:r>
            <w:r>
              <w:rPr>
                <w:rFonts w:asciiTheme="minorHAnsi" w:hAnsiTheme="minorHAnsi" w:cstheme="minorHAnsi"/>
                <w:sz w:val="20"/>
                <w:szCs w:val="20"/>
              </w:rPr>
              <w:t>)</w:t>
            </w:r>
          </w:p>
        </w:tc>
        <w:tc>
          <w:tcPr>
            <w:tcW w:w="264" w:type="dxa"/>
          </w:tcPr>
          <w:p w14:paraId="0211C02C" w14:textId="77777777" w:rsidR="00BB3D8E" w:rsidRPr="00BB3C18" w:rsidRDefault="00BB3D8E" w:rsidP="00A27F53">
            <w:pPr>
              <w:jc w:val="right"/>
              <w:rPr>
                <w:rFonts w:asciiTheme="minorHAnsi" w:hAnsiTheme="minorHAnsi" w:cstheme="minorHAnsi"/>
                <w:sz w:val="20"/>
                <w:szCs w:val="20"/>
              </w:rPr>
            </w:pPr>
          </w:p>
        </w:tc>
        <w:tc>
          <w:tcPr>
            <w:tcW w:w="1353" w:type="dxa"/>
            <w:tcBorders>
              <w:top w:val="single" w:sz="4" w:space="0" w:color="auto"/>
            </w:tcBorders>
          </w:tcPr>
          <w:p w14:paraId="7E061353" w14:textId="77777777"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1,154,721</w:t>
            </w:r>
          </w:p>
        </w:tc>
      </w:tr>
      <w:tr w:rsidR="00BB3D8E" w:rsidRPr="00BB3C18" w14:paraId="3D8615D0" w14:textId="77777777" w:rsidTr="00A27F53">
        <w:trPr>
          <w:trHeight w:val="170"/>
        </w:trPr>
        <w:tc>
          <w:tcPr>
            <w:tcW w:w="4962" w:type="dxa"/>
            <w:gridSpan w:val="4"/>
          </w:tcPr>
          <w:p w14:paraId="54F5300B" w14:textId="77777777" w:rsidR="00BB3D8E" w:rsidRPr="00BB3C18" w:rsidRDefault="00BB3D8E" w:rsidP="00A27F53">
            <w:pPr>
              <w:spacing w:line="276" w:lineRule="auto"/>
              <w:rPr>
                <w:rFonts w:asciiTheme="minorHAnsi" w:hAnsiTheme="minorHAnsi" w:cstheme="minorHAnsi"/>
                <w:sz w:val="20"/>
                <w:szCs w:val="20"/>
              </w:rPr>
            </w:pPr>
          </w:p>
        </w:tc>
        <w:tc>
          <w:tcPr>
            <w:tcW w:w="239" w:type="dxa"/>
          </w:tcPr>
          <w:p w14:paraId="5D41027E" w14:textId="77777777" w:rsidR="00BB3D8E" w:rsidRPr="00BB3C18" w:rsidRDefault="00BB3D8E" w:rsidP="00A27F53">
            <w:pPr>
              <w:spacing w:line="276" w:lineRule="auto"/>
              <w:jc w:val="right"/>
              <w:rPr>
                <w:rFonts w:asciiTheme="minorHAnsi" w:hAnsiTheme="minorHAnsi" w:cstheme="minorHAnsi"/>
                <w:noProof/>
                <w:sz w:val="20"/>
                <w:szCs w:val="20"/>
              </w:rPr>
            </w:pPr>
          </w:p>
        </w:tc>
        <w:tc>
          <w:tcPr>
            <w:tcW w:w="291" w:type="dxa"/>
          </w:tcPr>
          <w:p w14:paraId="22097637" w14:textId="77777777" w:rsidR="00BB3D8E" w:rsidRPr="00BB3C18" w:rsidRDefault="00BB3D8E" w:rsidP="00A27F53">
            <w:pPr>
              <w:jc w:val="right"/>
              <w:rPr>
                <w:rFonts w:asciiTheme="minorHAnsi" w:hAnsiTheme="minorHAnsi" w:cstheme="minorHAnsi"/>
                <w:sz w:val="20"/>
                <w:szCs w:val="20"/>
              </w:rPr>
            </w:pPr>
          </w:p>
        </w:tc>
        <w:tc>
          <w:tcPr>
            <w:tcW w:w="865" w:type="dxa"/>
            <w:gridSpan w:val="2"/>
          </w:tcPr>
          <w:p w14:paraId="6008D8AC" w14:textId="77777777" w:rsidR="00BB3D8E" w:rsidRPr="007B6961" w:rsidRDefault="00BB3D8E" w:rsidP="00A27F53">
            <w:pPr>
              <w:jc w:val="center"/>
              <w:rPr>
                <w:rFonts w:asciiTheme="minorHAnsi" w:hAnsiTheme="minorHAnsi" w:cstheme="minorHAnsi"/>
                <w:sz w:val="20"/>
                <w:szCs w:val="20"/>
              </w:rPr>
            </w:pPr>
          </w:p>
        </w:tc>
        <w:tc>
          <w:tcPr>
            <w:tcW w:w="258" w:type="dxa"/>
            <w:gridSpan w:val="2"/>
            <w:shd w:val="clear" w:color="auto" w:fill="auto"/>
          </w:tcPr>
          <w:p w14:paraId="4E6D1D45" w14:textId="77777777" w:rsidR="00BB3D8E" w:rsidRPr="00732E09" w:rsidRDefault="00BB3D8E" w:rsidP="00A27F53">
            <w:pPr>
              <w:jc w:val="right"/>
              <w:rPr>
                <w:rFonts w:asciiTheme="minorHAnsi" w:hAnsiTheme="minorHAnsi" w:cstheme="minorHAnsi"/>
                <w:sz w:val="20"/>
                <w:szCs w:val="20"/>
                <w:highlight w:val="yellow"/>
              </w:rPr>
            </w:pPr>
          </w:p>
        </w:tc>
        <w:tc>
          <w:tcPr>
            <w:tcW w:w="1343" w:type="dxa"/>
            <w:shd w:val="clear" w:color="auto" w:fill="auto"/>
          </w:tcPr>
          <w:p w14:paraId="4B08B14A" w14:textId="77777777" w:rsidR="00BB3D8E" w:rsidRPr="00446B65" w:rsidRDefault="00BB3D8E" w:rsidP="00A27F53">
            <w:pPr>
              <w:jc w:val="right"/>
              <w:rPr>
                <w:rFonts w:asciiTheme="minorHAnsi" w:hAnsiTheme="minorHAnsi" w:cstheme="minorHAnsi"/>
                <w:sz w:val="20"/>
                <w:szCs w:val="20"/>
              </w:rPr>
            </w:pPr>
          </w:p>
        </w:tc>
        <w:tc>
          <w:tcPr>
            <w:tcW w:w="264" w:type="dxa"/>
          </w:tcPr>
          <w:p w14:paraId="278639D4" w14:textId="77777777" w:rsidR="00BB3D8E" w:rsidRPr="00BB3C18" w:rsidRDefault="00BB3D8E" w:rsidP="00A27F53">
            <w:pPr>
              <w:jc w:val="right"/>
              <w:rPr>
                <w:rFonts w:asciiTheme="minorHAnsi" w:hAnsiTheme="minorHAnsi" w:cstheme="minorHAnsi"/>
                <w:sz w:val="20"/>
                <w:szCs w:val="20"/>
              </w:rPr>
            </w:pPr>
          </w:p>
        </w:tc>
        <w:tc>
          <w:tcPr>
            <w:tcW w:w="1353" w:type="dxa"/>
          </w:tcPr>
          <w:p w14:paraId="63653A9A" w14:textId="77777777" w:rsidR="00BB3D8E" w:rsidRPr="00BB3C18" w:rsidRDefault="00BB3D8E" w:rsidP="00A27F53">
            <w:pPr>
              <w:ind w:right="-91"/>
              <w:jc w:val="right"/>
              <w:rPr>
                <w:rFonts w:asciiTheme="minorHAnsi" w:hAnsiTheme="minorHAnsi" w:cstheme="minorHAnsi"/>
                <w:sz w:val="20"/>
                <w:szCs w:val="20"/>
              </w:rPr>
            </w:pPr>
          </w:p>
        </w:tc>
      </w:tr>
      <w:tr w:rsidR="00BB3D8E" w:rsidRPr="00BB3C18" w14:paraId="1D07EB68" w14:textId="77777777" w:rsidTr="00A27F53">
        <w:trPr>
          <w:trHeight w:val="104"/>
        </w:trPr>
        <w:tc>
          <w:tcPr>
            <w:tcW w:w="4962" w:type="dxa"/>
            <w:gridSpan w:val="4"/>
          </w:tcPr>
          <w:p w14:paraId="5BFFADAB" w14:textId="77777777" w:rsidR="00BB3D8E" w:rsidRPr="00BB3C18" w:rsidRDefault="00BB3D8E" w:rsidP="00A27F53">
            <w:pPr>
              <w:spacing w:line="276" w:lineRule="auto"/>
              <w:rPr>
                <w:rFonts w:asciiTheme="minorHAnsi" w:hAnsiTheme="minorHAnsi" w:cstheme="minorHAnsi"/>
                <w:b/>
                <w:sz w:val="20"/>
                <w:szCs w:val="20"/>
              </w:rPr>
            </w:pPr>
          </w:p>
        </w:tc>
        <w:tc>
          <w:tcPr>
            <w:tcW w:w="239" w:type="dxa"/>
          </w:tcPr>
          <w:p w14:paraId="7AB6628B" w14:textId="77777777" w:rsidR="00BB3D8E" w:rsidRPr="00BB3C18" w:rsidRDefault="00BB3D8E" w:rsidP="00A27F53">
            <w:pPr>
              <w:spacing w:line="276" w:lineRule="auto"/>
              <w:jc w:val="right"/>
              <w:rPr>
                <w:rFonts w:asciiTheme="minorHAnsi" w:hAnsiTheme="minorHAnsi" w:cstheme="minorHAnsi"/>
                <w:sz w:val="20"/>
                <w:szCs w:val="20"/>
              </w:rPr>
            </w:pPr>
          </w:p>
        </w:tc>
        <w:tc>
          <w:tcPr>
            <w:tcW w:w="291" w:type="dxa"/>
          </w:tcPr>
          <w:p w14:paraId="41EF5E24" w14:textId="77777777" w:rsidR="00BB3D8E" w:rsidRPr="00BB3C18" w:rsidRDefault="00BB3D8E" w:rsidP="00A27F53">
            <w:pPr>
              <w:jc w:val="right"/>
              <w:rPr>
                <w:rFonts w:asciiTheme="minorHAnsi" w:hAnsiTheme="minorHAnsi" w:cstheme="minorHAnsi"/>
                <w:sz w:val="20"/>
                <w:szCs w:val="20"/>
              </w:rPr>
            </w:pPr>
          </w:p>
        </w:tc>
        <w:tc>
          <w:tcPr>
            <w:tcW w:w="865" w:type="dxa"/>
            <w:gridSpan w:val="2"/>
          </w:tcPr>
          <w:p w14:paraId="16FB576F" w14:textId="77777777" w:rsidR="00BB3D8E" w:rsidRPr="007B6961" w:rsidRDefault="00BB3D8E" w:rsidP="00A27F53">
            <w:pPr>
              <w:jc w:val="center"/>
              <w:rPr>
                <w:rFonts w:asciiTheme="minorHAnsi" w:hAnsiTheme="minorHAnsi" w:cstheme="minorHAnsi"/>
                <w:sz w:val="20"/>
                <w:szCs w:val="20"/>
              </w:rPr>
            </w:pPr>
          </w:p>
        </w:tc>
        <w:tc>
          <w:tcPr>
            <w:tcW w:w="258" w:type="dxa"/>
            <w:gridSpan w:val="2"/>
            <w:shd w:val="clear" w:color="auto" w:fill="auto"/>
          </w:tcPr>
          <w:p w14:paraId="4355F452" w14:textId="77777777" w:rsidR="00BB3D8E" w:rsidRPr="000B20D5" w:rsidRDefault="00BB3D8E" w:rsidP="00A27F53">
            <w:pPr>
              <w:jc w:val="right"/>
              <w:rPr>
                <w:rFonts w:asciiTheme="minorHAnsi" w:hAnsiTheme="minorHAnsi" w:cstheme="minorHAnsi"/>
                <w:sz w:val="20"/>
                <w:szCs w:val="20"/>
                <w:highlight w:val="yellow"/>
              </w:rPr>
            </w:pPr>
          </w:p>
        </w:tc>
        <w:tc>
          <w:tcPr>
            <w:tcW w:w="1343" w:type="dxa"/>
            <w:shd w:val="clear" w:color="auto" w:fill="auto"/>
          </w:tcPr>
          <w:p w14:paraId="538AD411" w14:textId="77777777" w:rsidR="00BB3D8E" w:rsidRPr="00446B65" w:rsidRDefault="00BB3D8E" w:rsidP="00A27F53">
            <w:pPr>
              <w:jc w:val="right"/>
              <w:rPr>
                <w:rFonts w:asciiTheme="minorHAnsi" w:hAnsiTheme="minorHAnsi" w:cstheme="minorHAnsi"/>
                <w:sz w:val="20"/>
                <w:szCs w:val="20"/>
              </w:rPr>
            </w:pPr>
          </w:p>
        </w:tc>
        <w:tc>
          <w:tcPr>
            <w:tcW w:w="264" w:type="dxa"/>
          </w:tcPr>
          <w:p w14:paraId="0FF667B2" w14:textId="77777777" w:rsidR="00BB3D8E" w:rsidRPr="00BB3C18" w:rsidRDefault="00BB3D8E" w:rsidP="00A27F53">
            <w:pPr>
              <w:jc w:val="right"/>
              <w:rPr>
                <w:rFonts w:asciiTheme="minorHAnsi" w:hAnsiTheme="minorHAnsi" w:cstheme="minorHAnsi"/>
                <w:sz w:val="20"/>
                <w:szCs w:val="20"/>
              </w:rPr>
            </w:pPr>
          </w:p>
        </w:tc>
        <w:tc>
          <w:tcPr>
            <w:tcW w:w="1353" w:type="dxa"/>
          </w:tcPr>
          <w:p w14:paraId="7AF4D121" w14:textId="77777777" w:rsidR="00BB3D8E" w:rsidRPr="00BB3C18" w:rsidRDefault="00BB3D8E" w:rsidP="00A27F53">
            <w:pPr>
              <w:ind w:right="-91"/>
              <w:jc w:val="right"/>
              <w:rPr>
                <w:rFonts w:asciiTheme="minorHAnsi" w:hAnsiTheme="minorHAnsi" w:cstheme="minorHAnsi"/>
                <w:sz w:val="20"/>
                <w:szCs w:val="20"/>
              </w:rPr>
            </w:pPr>
          </w:p>
        </w:tc>
      </w:tr>
      <w:tr w:rsidR="00BB3D8E" w:rsidRPr="00BB3C18" w14:paraId="720364B0" w14:textId="77777777" w:rsidTr="00A27F53">
        <w:trPr>
          <w:trHeight w:val="104"/>
        </w:trPr>
        <w:tc>
          <w:tcPr>
            <w:tcW w:w="4962" w:type="dxa"/>
            <w:gridSpan w:val="4"/>
          </w:tcPr>
          <w:p w14:paraId="53DEB78B" w14:textId="77777777" w:rsidR="00BB3D8E" w:rsidRPr="00BB3C18" w:rsidRDefault="00BB3D8E" w:rsidP="00A27F53">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Cash flows from financing activities</w:t>
            </w:r>
          </w:p>
        </w:tc>
        <w:tc>
          <w:tcPr>
            <w:tcW w:w="239" w:type="dxa"/>
          </w:tcPr>
          <w:p w14:paraId="22342345" w14:textId="77777777" w:rsidR="00BB3D8E" w:rsidRPr="00BB3C18" w:rsidRDefault="00BB3D8E" w:rsidP="00A27F53">
            <w:pPr>
              <w:spacing w:line="276" w:lineRule="auto"/>
              <w:jc w:val="right"/>
              <w:rPr>
                <w:rFonts w:asciiTheme="minorHAnsi" w:hAnsiTheme="minorHAnsi" w:cstheme="minorHAnsi"/>
                <w:sz w:val="20"/>
                <w:szCs w:val="20"/>
              </w:rPr>
            </w:pPr>
          </w:p>
        </w:tc>
        <w:tc>
          <w:tcPr>
            <w:tcW w:w="291" w:type="dxa"/>
          </w:tcPr>
          <w:p w14:paraId="4539C464" w14:textId="77777777" w:rsidR="00BB3D8E" w:rsidRPr="00BB3C18" w:rsidRDefault="00BB3D8E" w:rsidP="00A27F53">
            <w:pPr>
              <w:jc w:val="right"/>
              <w:rPr>
                <w:rFonts w:asciiTheme="minorHAnsi" w:hAnsiTheme="minorHAnsi" w:cstheme="minorHAnsi"/>
                <w:sz w:val="20"/>
                <w:szCs w:val="20"/>
              </w:rPr>
            </w:pPr>
          </w:p>
        </w:tc>
        <w:tc>
          <w:tcPr>
            <w:tcW w:w="865" w:type="dxa"/>
            <w:gridSpan w:val="2"/>
          </w:tcPr>
          <w:p w14:paraId="542FFE41" w14:textId="77777777" w:rsidR="00BB3D8E" w:rsidRPr="007B6961" w:rsidRDefault="00BB3D8E" w:rsidP="00A27F53">
            <w:pPr>
              <w:jc w:val="center"/>
              <w:rPr>
                <w:rFonts w:asciiTheme="minorHAnsi" w:hAnsiTheme="minorHAnsi" w:cstheme="minorHAnsi"/>
                <w:sz w:val="20"/>
                <w:szCs w:val="20"/>
              </w:rPr>
            </w:pPr>
          </w:p>
        </w:tc>
        <w:tc>
          <w:tcPr>
            <w:tcW w:w="258" w:type="dxa"/>
            <w:gridSpan w:val="2"/>
            <w:shd w:val="clear" w:color="auto" w:fill="auto"/>
          </w:tcPr>
          <w:p w14:paraId="5039D9DB" w14:textId="77777777" w:rsidR="00BB3D8E" w:rsidRPr="000B20D5" w:rsidRDefault="00BB3D8E" w:rsidP="00A27F53">
            <w:pPr>
              <w:jc w:val="right"/>
              <w:rPr>
                <w:rFonts w:asciiTheme="minorHAnsi" w:hAnsiTheme="minorHAnsi" w:cstheme="minorHAnsi"/>
                <w:sz w:val="20"/>
                <w:szCs w:val="20"/>
                <w:highlight w:val="yellow"/>
              </w:rPr>
            </w:pPr>
          </w:p>
        </w:tc>
        <w:tc>
          <w:tcPr>
            <w:tcW w:w="1343" w:type="dxa"/>
            <w:shd w:val="clear" w:color="auto" w:fill="auto"/>
          </w:tcPr>
          <w:p w14:paraId="56678305" w14:textId="77777777" w:rsidR="00BB3D8E" w:rsidRPr="00446B65" w:rsidRDefault="00BB3D8E" w:rsidP="00A27F53">
            <w:pPr>
              <w:jc w:val="right"/>
              <w:rPr>
                <w:rFonts w:asciiTheme="minorHAnsi" w:hAnsiTheme="minorHAnsi" w:cstheme="minorHAnsi"/>
                <w:sz w:val="20"/>
                <w:szCs w:val="20"/>
              </w:rPr>
            </w:pPr>
          </w:p>
        </w:tc>
        <w:tc>
          <w:tcPr>
            <w:tcW w:w="264" w:type="dxa"/>
          </w:tcPr>
          <w:p w14:paraId="5C1A3633" w14:textId="77777777" w:rsidR="00BB3D8E" w:rsidRPr="00BB3C18" w:rsidRDefault="00BB3D8E" w:rsidP="00A27F53">
            <w:pPr>
              <w:jc w:val="right"/>
              <w:rPr>
                <w:rFonts w:asciiTheme="minorHAnsi" w:hAnsiTheme="minorHAnsi" w:cstheme="minorHAnsi"/>
                <w:sz w:val="20"/>
                <w:szCs w:val="20"/>
              </w:rPr>
            </w:pPr>
          </w:p>
        </w:tc>
        <w:tc>
          <w:tcPr>
            <w:tcW w:w="1353" w:type="dxa"/>
          </w:tcPr>
          <w:p w14:paraId="749E2521" w14:textId="77777777" w:rsidR="00BB3D8E" w:rsidRPr="00BB3C18" w:rsidRDefault="00BB3D8E" w:rsidP="00A27F53">
            <w:pPr>
              <w:ind w:right="-91"/>
              <w:jc w:val="right"/>
              <w:rPr>
                <w:rFonts w:asciiTheme="minorHAnsi" w:hAnsiTheme="minorHAnsi" w:cstheme="minorHAnsi"/>
                <w:sz w:val="20"/>
                <w:szCs w:val="20"/>
              </w:rPr>
            </w:pPr>
          </w:p>
        </w:tc>
      </w:tr>
      <w:tr w:rsidR="00BB3D8E" w:rsidRPr="00BB3C18" w14:paraId="121B78AB" w14:textId="77777777" w:rsidTr="00A27F53">
        <w:trPr>
          <w:trHeight w:val="104"/>
        </w:trPr>
        <w:tc>
          <w:tcPr>
            <w:tcW w:w="4962" w:type="dxa"/>
            <w:gridSpan w:val="4"/>
          </w:tcPr>
          <w:p w14:paraId="073A9DF7" w14:textId="77777777" w:rsidR="00BB3D8E" w:rsidRPr="00BB3C18" w:rsidRDefault="00BB3D8E" w:rsidP="00A27F53">
            <w:pPr>
              <w:spacing w:line="276" w:lineRule="auto"/>
              <w:rPr>
                <w:rFonts w:asciiTheme="minorHAnsi" w:hAnsiTheme="minorHAnsi" w:cstheme="minorHAnsi"/>
                <w:sz w:val="20"/>
                <w:szCs w:val="20"/>
              </w:rPr>
            </w:pPr>
            <w:r w:rsidRPr="00BB3C18">
              <w:rPr>
                <w:rFonts w:asciiTheme="minorHAnsi" w:hAnsiTheme="minorHAnsi" w:cstheme="minorHAnsi"/>
                <w:sz w:val="20"/>
                <w:szCs w:val="20"/>
              </w:rPr>
              <w:t>Interest paid</w:t>
            </w:r>
          </w:p>
        </w:tc>
        <w:tc>
          <w:tcPr>
            <w:tcW w:w="239" w:type="dxa"/>
          </w:tcPr>
          <w:p w14:paraId="6ECAC11A" w14:textId="77777777" w:rsidR="00BB3D8E" w:rsidRPr="00BB3C18" w:rsidRDefault="00BB3D8E" w:rsidP="00A27F53">
            <w:pPr>
              <w:spacing w:line="276" w:lineRule="auto"/>
              <w:jc w:val="right"/>
              <w:rPr>
                <w:rFonts w:asciiTheme="minorHAnsi" w:hAnsiTheme="minorHAnsi" w:cstheme="minorHAnsi"/>
                <w:sz w:val="20"/>
                <w:szCs w:val="20"/>
              </w:rPr>
            </w:pPr>
          </w:p>
        </w:tc>
        <w:tc>
          <w:tcPr>
            <w:tcW w:w="291" w:type="dxa"/>
          </w:tcPr>
          <w:p w14:paraId="735F015F" w14:textId="77777777" w:rsidR="00BB3D8E" w:rsidRPr="00BB3C18" w:rsidRDefault="00BB3D8E" w:rsidP="00A27F53">
            <w:pPr>
              <w:jc w:val="right"/>
              <w:rPr>
                <w:rFonts w:asciiTheme="minorHAnsi" w:hAnsiTheme="minorHAnsi" w:cstheme="minorHAnsi"/>
                <w:sz w:val="20"/>
                <w:szCs w:val="20"/>
              </w:rPr>
            </w:pPr>
          </w:p>
        </w:tc>
        <w:tc>
          <w:tcPr>
            <w:tcW w:w="865" w:type="dxa"/>
            <w:gridSpan w:val="2"/>
          </w:tcPr>
          <w:p w14:paraId="1EC48E54" w14:textId="77777777" w:rsidR="00BB3D8E" w:rsidRPr="007B6961" w:rsidRDefault="00BB3D8E" w:rsidP="00A27F53">
            <w:pPr>
              <w:jc w:val="center"/>
              <w:rPr>
                <w:rFonts w:asciiTheme="minorHAnsi" w:hAnsiTheme="minorHAnsi" w:cstheme="minorHAnsi"/>
                <w:sz w:val="20"/>
                <w:szCs w:val="20"/>
              </w:rPr>
            </w:pPr>
            <w:r w:rsidRPr="007B6961">
              <w:rPr>
                <w:rFonts w:asciiTheme="minorHAnsi" w:hAnsiTheme="minorHAnsi" w:cstheme="minorHAnsi"/>
                <w:sz w:val="20"/>
                <w:szCs w:val="20"/>
              </w:rPr>
              <w:t>6</w:t>
            </w:r>
          </w:p>
        </w:tc>
        <w:tc>
          <w:tcPr>
            <w:tcW w:w="258" w:type="dxa"/>
            <w:gridSpan w:val="2"/>
            <w:shd w:val="clear" w:color="auto" w:fill="auto"/>
          </w:tcPr>
          <w:p w14:paraId="7594E6E2" w14:textId="77777777" w:rsidR="00BB3D8E" w:rsidRPr="000B20D5" w:rsidRDefault="00BB3D8E" w:rsidP="00A27F53">
            <w:pPr>
              <w:jc w:val="right"/>
              <w:rPr>
                <w:rFonts w:asciiTheme="minorHAnsi" w:hAnsiTheme="minorHAnsi" w:cstheme="minorHAnsi"/>
                <w:sz w:val="20"/>
                <w:szCs w:val="20"/>
                <w:highlight w:val="yellow"/>
              </w:rPr>
            </w:pPr>
          </w:p>
        </w:tc>
        <w:tc>
          <w:tcPr>
            <w:tcW w:w="1343" w:type="dxa"/>
            <w:shd w:val="clear" w:color="auto" w:fill="auto"/>
          </w:tcPr>
          <w:p w14:paraId="6C6A590C" w14:textId="77777777" w:rsidR="00BB3D8E" w:rsidRPr="00446B65" w:rsidDel="00327471"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46E6FF65" w14:textId="77777777" w:rsidR="00BB3D8E" w:rsidRPr="00BB3C18" w:rsidRDefault="00BB3D8E" w:rsidP="00A27F53">
            <w:pPr>
              <w:jc w:val="right"/>
              <w:rPr>
                <w:rFonts w:asciiTheme="minorHAnsi" w:hAnsiTheme="minorHAnsi" w:cstheme="minorHAnsi"/>
                <w:sz w:val="20"/>
                <w:szCs w:val="20"/>
              </w:rPr>
            </w:pPr>
          </w:p>
        </w:tc>
        <w:tc>
          <w:tcPr>
            <w:tcW w:w="1353" w:type="dxa"/>
          </w:tcPr>
          <w:p w14:paraId="26E09E09" w14:textId="77777777" w:rsidR="00BB3D8E" w:rsidRPr="00BB3C18" w:rsidDel="00327471"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(4,593,154)</w:t>
            </w:r>
          </w:p>
        </w:tc>
      </w:tr>
      <w:tr w:rsidR="00BB3D8E" w:rsidRPr="00BB3C18" w14:paraId="66EFDDA5" w14:textId="77777777" w:rsidTr="00A27F53">
        <w:trPr>
          <w:trHeight w:val="104"/>
        </w:trPr>
        <w:tc>
          <w:tcPr>
            <w:tcW w:w="4962" w:type="dxa"/>
            <w:gridSpan w:val="4"/>
          </w:tcPr>
          <w:p w14:paraId="42F0F0D8" w14:textId="77777777" w:rsidR="00BB3D8E" w:rsidRPr="00BB3C18" w:rsidRDefault="00BB3D8E" w:rsidP="00A27F53">
            <w:pPr>
              <w:spacing w:line="276" w:lineRule="auto"/>
              <w:rPr>
                <w:rFonts w:asciiTheme="minorHAnsi" w:hAnsiTheme="minorHAnsi" w:cstheme="minorHAnsi"/>
                <w:sz w:val="20"/>
                <w:szCs w:val="20"/>
              </w:rPr>
            </w:pPr>
            <w:r w:rsidRPr="00BB3C18">
              <w:rPr>
                <w:rFonts w:asciiTheme="minorHAnsi" w:hAnsiTheme="minorHAnsi" w:cstheme="minorHAnsi"/>
                <w:sz w:val="20"/>
                <w:szCs w:val="20"/>
              </w:rPr>
              <w:t>Repayment of leases</w:t>
            </w:r>
          </w:p>
        </w:tc>
        <w:tc>
          <w:tcPr>
            <w:tcW w:w="239" w:type="dxa"/>
          </w:tcPr>
          <w:p w14:paraId="30545534" w14:textId="77777777" w:rsidR="00BB3D8E" w:rsidRPr="00BB3C18" w:rsidRDefault="00BB3D8E" w:rsidP="00A27F53">
            <w:pPr>
              <w:spacing w:line="276" w:lineRule="auto"/>
              <w:jc w:val="right"/>
              <w:rPr>
                <w:rFonts w:asciiTheme="minorHAnsi" w:hAnsiTheme="minorHAnsi" w:cstheme="minorHAnsi"/>
                <w:sz w:val="20"/>
                <w:szCs w:val="20"/>
              </w:rPr>
            </w:pPr>
          </w:p>
        </w:tc>
        <w:tc>
          <w:tcPr>
            <w:tcW w:w="291" w:type="dxa"/>
          </w:tcPr>
          <w:p w14:paraId="2E55715A" w14:textId="77777777" w:rsidR="00BB3D8E" w:rsidRPr="00BB3C18" w:rsidRDefault="00BB3D8E" w:rsidP="00A27F53">
            <w:pPr>
              <w:jc w:val="right"/>
              <w:rPr>
                <w:rFonts w:asciiTheme="minorHAnsi" w:hAnsiTheme="minorHAnsi" w:cstheme="minorHAnsi"/>
                <w:sz w:val="20"/>
                <w:szCs w:val="20"/>
              </w:rPr>
            </w:pPr>
          </w:p>
        </w:tc>
        <w:tc>
          <w:tcPr>
            <w:tcW w:w="865" w:type="dxa"/>
            <w:gridSpan w:val="2"/>
          </w:tcPr>
          <w:p w14:paraId="1EEA4BC9" w14:textId="77777777" w:rsidR="00BB3D8E" w:rsidRPr="007B6961" w:rsidRDefault="00BB3D8E" w:rsidP="00A27F53">
            <w:pPr>
              <w:jc w:val="center"/>
              <w:rPr>
                <w:rFonts w:asciiTheme="minorHAnsi" w:hAnsiTheme="minorHAnsi" w:cstheme="minorHAnsi"/>
                <w:sz w:val="20"/>
                <w:szCs w:val="20"/>
              </w:rPr>
            </w:pPr>
          </w:p>
        </w:tc>
        <w:tc>
          <w:tcPr>
            <w:tcW w:w="258" w:type="dxa"/>
            <w:gridSpan w:val="2"/>
            <w:shd w:val="clear" w:color="auto" w:fill="auto"/>
          </w:tcPr>
          <w:p w14:paraId="1D6A1971" w14:textId="77777777" w:rsidR="00BB3D8E" w:rsidRPr="000B20D5" w:rsidRDefault="00BB3D8E" w:rsidP="00A27F53">
            <w:pPr>
              <w:jc w:val="right"/>
              <w:rPr>
                <w:rFonts w:asciiTheme="minorHAnsi" w:hAnsiTheme="minorHAnsi" w:cstheme="minorHAnsi"/>
                <w:sz w:val="20"/>
                <w:szCs w:val="20"/>
                <w:highlight w:val="yellow"/>
              </w:rPr>
            </w:pPr>
          </w:p>
        </w:tc>
        <w:tc>
          <w:tcPr>
            <w:tcW w:w="1343" w:type="dxa"/>
            <w:shd w:val="clear" w:color="auto" w:fill="auto"/>
          </w:tcPr>
          <w:p w14:paraId="0A5EB91B" w14:textId="77777777" w:rsidR="00BB3D8E" w:rsidRPr="00446B65" w:rsidDel="00327471"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6EEFE4FF" w14:textId="77777777" w:rsidR="00BB3D8E" w:rsidRPr="00BB3C18" w:rsidRDefault="00BB3D8E" w:rsidP="00A27F53">
            <w:pPr>
              <w:jc w:val="right"/>
              <w:rPr>
                <w:rFonts w:asciiTheme="minorHAnsi" w:hAnsiTheme="minorHAnsi" w:cstheme="minorHAnsi"/>
                <w:sz w:val="20"/>
                <w:szCs w:val="20"/>
              </w:rPr>
            </w:pPr>
          </w:p>
        </w:tc>
        <w:tc>
          <w:tcPr>
            <w:tcW w:w="1353" w:type="dxa"/>
          </w:tcPr>
          <w:p w14:paraId="04310094" w14:textId="77777777"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(31,981)</w:t>
            </w:r>
          </w:p>
        </w:tc>
      </w:tr>
      <w:tr w:rsidR="00BB3D8E" w:rsidRPr="00BB3C18" w14:paraId="0FEFC922" w14:textId="77777777" w:rsidTr="00A27F53">
        <w:trPr>
          <w:trHeight w:val="104"/>
        </w:trPr>
        <w:tc>
          <w:tcPr>
            <w:tcW w:w="4962" w:type="dxa"/>
            <w:gridSpan w:val="4"/>
          </w:tcPr>
          <w:p w14:paraId="1B16DF68" w14:textId="77777777" w:rsidR="00BB3D8E" w:rsidRPr="00737D56" w:rsidRDefault="00BB3D8E" w:rsidP="00A27F53">
            <w:pPr>
              <w:spacing w:line="276" w:lineRule="auto"/>
              <w:rPr>
                <w:rFonts w:asciiTheme="minorHAnsi" w:hAnsiTheme="minorHAnsi" w:cstheme="minorHAnsi"/>
                <w:bCs/>
                <w:sz w:val="20"/>
                <w:szCs w:val="20"/>
              </w:rPr>
            </w:pPr>
            <w:r>
              <w:rPr>
                <w:rFonts w:asciiTheme="minorHAnsi" w:hAnsiTheme="minorHAnsi" w:cstheme="minorHAnsi"/>
                <w:bCs/>
                <w:sz w:val="20"/>
                <w:szCs w:val="20"/>
              </w:rPr>
              <w:t>Repayment of loan from director</w:t>
            </w:r>
          </w:p>
        </w:tc>
        <w:tc>
          <w:tcPr>
            <w:tcW w:w="239" w:type="dxa"/>
          </w:tcPr>
          <w:p w14:paraId="578551CD" w14:textId="77777777" w:rsidR="00BB3D8E" w:rsidRPr="00BB3C18" w:rsidRDefault="00BB3D8E" w:rsidP="00A27F53">
            <w:pPr>
              <w:spacing w:line="276" w:lineRule="auto"/>
              <w:jc w:val="right"/>
              <w:rPr>
                <w:rFonts w:asciiTheme="minorHAnsi" w:hAnsiTheme="minorHAnsi" w:cstheme="minorHAnsi"/>
                <w:sz w:val="20"/>
                <w:szCs w:val="20"/>
              </w:rPr>
            </w:pPr>
          </w:p>
        </w:tc>
        <w:tc>
          <w:tcPr>
            <w:tcW w:w="291" w:type="dxa"/>
          </w:tcPr>
          <w:p w14:paraId="30A00814" w14:textId="77777777" w:rsidR="00BB3D8E" w:rsidRPr="00BB3C18" w:rsidRDefault="00BB3D8E" w:rsidP="00A27F53">
            <w:pPr>
              <w:jc w:val="right"/>
              <w:rPr>
                <w:rFonts w:asciiTheme="minorHAnsi" w:hAnsiTheme="minorHAnsi" w:cstheme="minorHAnsi"/>
                <w:sz w:val="20"/>
                <w:szCs w:val="20"/>
              </w:rPr>
            </w:pPr>
          </w:p>
        </w:tc>
        <w:tc>
          <w:tcPr>
            <w:tcW w:w="865" w:type="dxa"/>
            <w:gridSpan w:val="2"/>
          </w:tcPr>
          <w:p w14:paraId="0662C29B" w14:textId="77777777" w:rsidR="00BB3D8E" w:rsidRPr="007B6961" w:rsidRDefault="00BB3D8E" w:rsidP="00A27F53">
            <w:pPr>
              <w:jc w:val="center"/>
              <w:rPr>
                <w:rFonts w:asciiTheme="minorHAnsi" w:hAnsiTheme="minorHAnsi" w:cstheme="minorHAnsi"/>
                <w:sz w:val="20"/>
                <w:szCs w:val="20"/>
              </w:rPr>
            </w:pPr>
          </w:p>
        </w:tc>
        <w:tc>
          <w:tcPr>
            <w:tcW w:w="258" w:type="dxa"/>
            <w:gridSpan w:val="2"/>
            <w:shd w:val="clear" w:color="auto" w:fill="auto"/>
          </w:tcPr>
          <w:p w14:paraId="15D077E6" w14:textId="77777777" w:rsidR="00BB3D8E" w:rsidRPr="000B20D5" w:rsidRDefault="00BB3D8E" w:rsidP="00A27F53">
            <w:pPr>
              <w:jc w:val="right"/>
              <w:rPr>
                <w:rFonts w:asciiTheme="minorHAnsi" w:hAnsiTheme="minorHAnsi" w:cstheme="minorHAnsi"/>
                <w:sz w:val="20"/>
                <w:szCs w:val="20"/>
                <w:highlight w:val="yellow"/>
              </w:rPr>
            </w:pPr>
          </w:p>
        </w:tc>
        <w:tc>
          <w:tcPr>
            <w:tcW w:w="1343" w:type="dxa"/>
            <w:shd w:val="clear" w:color="auto" w:fill="auto"/>
          </w:tcPr>
          <w:p w14:paraId="79945FE2" w14:textId="77777777" w:rsidR="00BB3D8E"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4C2F5D2F" w14:textId="77777777" w:rsidR="00BB3D8E" w:rsidRPr="00BB3C18" w:rsidRDefault="00BB3D8E" w:rsidP="00A27F53">
            <w:pPr>
              <w:jc w:val="right"/>
              <w:rPr>
                <w:rFonts w:asciiTheme="minorHAnsi" w:hAnsiTheme="minorHAnsi" w:cstheme="minorHAnsi"/>
                <w:sz w:val="20"/>
                <w:szCs w:val="20"/>
              </w:rPr>
            </w:pPr>
          </w:p>
        </w:tc>
        <w:tc>
          <w:tcPr>
            <w:tcW w:w="1353" w:type="dxa"/>
          </w:tcPr>
          <w:p w14:paraId="5016A61F" w14:textId="77777777" w:rsidR="00BB3D8E"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(12,613)</w:t>
            </w:r>
          </w:p>
        </w:tc>
      </w:tr>
      <w:tr w:rsidR="00BB3D8E" w:rsidRPr="00BB3C18" w14:paraId="5919952C" w14:textId="77777777" w:rsidTr="00A27F53">
        <w:trPr>
          <w:trHeight w:val="104"/>
        </w:trPr>
        <w:tc>
          <w:tcPr>
            <w:tcW w:w="4962" w:type="dxa"/>
            <w:gridSpan w:val="4"/>
          </w:tcPr>
          <w:p w14:paraId="7D03D6F8" w14:textId="38847E24" w:rsidR="009946A8" w:rsidRPr="00737D56" w:rsidRDefault="00BB3D8E" w:rsidP="00A27F53">
            <w:pPr>
              <w:spacing w:line="276" w:lineRule="auto"/>
              <w:rPr>
                <w:rFonts w:asciiTheme="minorHAnsi" w:hAnsiTheme="minorHAnsi" w:cstheme="minorHAnsi"/>
                <w:bCs/>
                <w:sz w:val="20"/>
                <w:szCs w:val="20"/>
              </w:rPr>
            </w:pPr>
            <w:r w:rsidRPr="00737D56">
              <w:rPr>
                <w:rFonts w:asciiTheme="minorHAnsi" w:hAnsiTheme="minorHAnsi" w:cstheme="minorHAnsi"/>
                <w:bCs/>
                <w:sz w:val="20"/>
                <w:szCs w:val="20"/>
              </w:rPr>
              <w:t>Issue of share capital</w:t>
            </w:r>
          </w:p>
        </w:tc>
        <w:tc>
          <w:tcPr>
            <w:tcW w:w="239" w:type="dxa"/>
          </w:tcPr>
          <w:p w14:paraId="175ADC16" w14:textId="77777777" w:rsidR="00BB3D8E" w:rsidRPr="00BB3C18" w:rsidRDefault="00BB3D8E" w:rsidP="00A27F53">
            <w:pPr>
              <w:spacing w:line="276" w:lineRule="auto"/>
              <w:jc w:val="right"/>
              <w:rPr>
                <w:rFonts w:asciiTheme="minorHAnsi" w:hAnsiTheme="minorHAnsi" w:cstheme="minorHAnsi"/>
                <w:sz w:val="20"/>
                <w:szCs w:val="20"/>
              </w:rPr>
            </w:pPr>
          </w:p>
        </w:tc>
        <w:tc>
          <w:tcPr>
            <w:tcW w:w="291" w:type="dxa"/>
          </w:tcPr>
          <w:p w14:paraId="13B9F25D" w14:textId="77777777" w:rsidR="00BB3D8E" w:rsidRPr="00BB3C18" w:rsidRDefault="00BB3D8E" w:rsidP="00A27F53">
            <w:pPr>
              <w:jc w:val="right"/>
              <w:rPr>
                <w:rFonts w:asciiTheme="minorHAnsi" w:hAnsiTheme="minorHAnsi" w:cstheme="minorHAnsi"/>
                <w:sz w:val="20"/>
                <w:szCs w:val="20"/>
              </w:rPr>
            </w:pPr>
          </w:p>
        </w:tc>
        <w:tc>
          <w:tcPr>
            <w:tcW w:w="865" w:type="dxa"/>
            <w:gridSpan w:val="2"/>
          </w:tcPr>
          <w:p w14:paraId="5F93A05E" w14:textId="77777777" w:rsidR="00BB3D8E" w:rsidRPr="007B6961" w:rsidRDefault="00BB3D8E" w:rsidP="00A27F53">
            <w:pPr>
              <w:jc w:val="center"/>
              <w:rPr>
                <w:rFonts w:asciiTheme="minorHAnsi" w:hAnsiTheme="minorHAnsi" w:cstheme="minorHAnsi"/>
                <w:sz w:val="20"/>
                <w:szCs w:val="20"/>
              </w:rPr>
            </w:pPr>
          </w:p>
        </w:tc>
        <w:tc>
          <w:tcPr>
            <w:tcW w:w="258" w:type="dxa"/>
            <w:gridSpan w:val="2"/>
            <w:shd w:val="clear" w:color="auto" w:fill="auto"/>
          </w:tcPr>
          <w:p w14:paraId="3D7C1409" w14:textId="77777777" w:rsidR="00BB3D8E" w:rsidRPr="000B20D5" w:rsidRDefault="00BB3D8E" w:rsidP="00A27F53">
            <w:pPr>
              <w:jc w:val="right"/>
              <w:rPr>
                <w:rFonts w:asciiTheme="minorHAnsi" w:hAnsiTheme="minorHAnsi" w:cstheme="minorHAnsi"/>
                <w:sz w:val="20"/>
                <w:szCs w:val="20"/>
                <w:highlight w:val="yellow"/>
              </w:rPr>
            </w:pPr>
          </w:p>
        </w:tc>
        <w:tc>
          <w:tcPr>
            <w:tcW w:w="1343" w:type="dxa"/>
            <w:shd w:val="clear" w:color="auto" w:fill="auto"/>
          </w:tcPr>
          <w:p w14:paraId="5C196799" w14:textId="77777777" w:rsidR="00BB3D8E" w:rsidRPr="00446B65" w:rsidRDefault="00BB3D8E" w:rsidP="00A27F53">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55A8399D" w14:textId="77777777" w:rsidR="00BB3D8E" w:rsidRPr="00BB3C18" w:rsidRDefault="00BB3D8E" w:rsidP="00A27F53">
            <w:pPr>
              <w:jc w:val="right"/>
              <w:rPr>
                <w:rFonts w:asciiTheme="minorHAnsi" w:hAnsiTheme="minorHAnsi" w:cstheme="minorHAnsi"/>
                <w:sz w:val="20"/>
                <w:szCs w:val="20"/>
              </w:rPr>
            </w:pPr>
          </w:p>
        </w:tc>
        <w:tc>
          <w:tcPr>
            <w:tcW w:w="1353" w:type="dxa"/>
          </w:tcPr>
          <w:p w14:paraId="31B71E7E" w14:textId="3F04694C" w:rsidR="00BB3D8E" w:rsidRPr="00BB3C18" w:rsidRDefault="00BB3D8E" w:rsidP="00A27F53">
            <w:pPr>
              <w:ind w:right="-91"/>
              <w:jc w:val="right"/>
              <w:rPr>
                <w:rFonts w:asciiTheme="minorHAnsi" w:hAnsiTheme="minorHAnsi" w:cstheme="minorHAnsi"/>
                <w:sz w:val="20"/>
                <w:szCs w:val="20"/>
              </w:rPr>
            </w:pPr>
            <w:r>
              <w:rPr>
                <w:rFonts w:asciiTheme="minorHAnsi" w:hAnsiTheme="minorHAnsi" w:cstheme="minorHAnsi"/>
                <w:sz w:val="20"/>
                <w:szCs w:val="20"/>
              </w:rPr>
              <w:t>2,</w:t>
            </w:r>
            <w:r w:rsidR="008B7FB0">
              <w:rPr>
                <w:rFonts w:asciiTheme="minorHAnsi" w:hAnsiTheme="minorHAnsi" w:cstheme="minorHAnsi"/>
                <w:sz w:val="20"/>
                <w:szCs w:val="20"/>
              </w:rPr>
              <w:t>717</w:t>
            </w:r>
            <w:r>
              <w:rPr>
                <w:rFonts w:asciiTheme="minorHAnsi" w:hAnsiTheme="minorHAnsi" w:cstheme="minorHAnsi"/>
                <w:sz w:val="20"/>
                <w:szCs w:val="20"/>
              </w:rPr>
              <w:t>,</w:t>
            </w:r>
            <w:r w:rsidR="008B7FB0">
              <w:rPr>
                <w:rFonts w:asciiTheme="minorHAnsi" w:hAnsiTheme="minorHAnsi" w:cstheme="minorHAnsi"/>
                <w:sz w:val="20"/>
                <w:szCs w:val="20"/>
              </w:rPr>
              <w:t>793</w:t>
            </w:r>
          </w:p>
        </w:tc>
      </w:tr>
      <w:tr w:rsidR="009946A8" w:rsidRPr="00BB3C18" w14:paraId="404FAE3E" w14:textId="77777777" w:rsidTr="00A27F53">
        <w:trPr>
          <w:trHeight w:val="104"/>
        </w:trPr>
        <w:tc>
          <w:tcPr>
            <w:tcW w:w="4962" w:type="dxa"/>
            <w:gridSpan w:val="4"/>
          </w:tcPr>
          <w:p w14:paraId="02D1F584" w14:textId="4E87E8E6" w:rsidR="009946A8" w:rsidRPr="00737D56" w:rsidRDefault="009946A8" w:rsidP="009946A8">
            <w:pPr>
              <w:spacing w:line="276" w:lineRule="auto"/>
              <w:rPr>
                <w:rFonts w:asciiTheme="minorHAnsi" w:hAnsiTheme="minorHAnsi" w:cstheme="minorHAnsi"/>
                <w:bCs/>
                <w:sz w:val="20"/>
                <w:szCs w:val="20"/>
              </w:rPr>
            </w:pPr>
            <w:r>
              <w:rPr>
                <w:rFonts w:asciiTheme="minorHAnsi" w:hAnsiTheme="minorHAnsi" w:cstheme="minorHAnsi"/>
                <w:bCs/>
                <w:sz w:val="20"/>
                <w:szCs w:val="20"/>
              </w:rPr>
              <w:t>Cost of issuing share capital</w:t>
            </w:r>
          </w:p>
        </w:tc>
        <w:tc>
          <w:tcPr>
            <w:tcW w:w="239" w:type="dxa"/>
          </w:tcPr>
          <w:p w14:paraId="4BC46F3E"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49EC7065"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0EA0BF7E"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47DEEE5C" w14:textId="77777777" w:rsidR="009946A8" w:rsidRPr="000B20D5" w:rsidRDefault="009946A8" w:rsidP="009946A8">
            <w:pPr>
              <w:jc w:val="right"/>
              <w:rPr>
                <w:rFonts w:asciiTheme="minorHAnsi" w:hAnsiTheme="minorHAnsi" w:cstheme="minorHAnsi"/>
                <w:sz w:val="20"/>
                <w:szCs w:val="20"/>
                <w:highlight w:val="yellow"/>
              </w:rPr>
            </w:pPr>
          </w:p>
        </w:tc>
        <w:tc>
          <w:tcPr>
            <w:tcW w:w="1343" w:type="dxa"/>
            <w:shd w:val="clear" w:color="auto" w:fill="auto"/>
          </w:tcPr>
          <w:p w14:paraId="4E6B11FE" w14:textId="4EFEAA67" w:rsidR="009946A8" w:rsidRDefault="009946A8" w:rsidP="009946A8">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7C9E1D8E" w14:textId="77777777" w:rsidR="009946A8" w:rsidRPr="00BB3C18" w:rsidRDefault="009946A8" w:rsidP="009946A8">
            <w:pPr>
              <w:jc w:val="right"/>
              <w:rPr>
                <w:rFonts w:asciiTheme="minorHAnsi" w:hAnsiTheme="minorHAnsi" w:cstheme="minorHAnsi"/>
                <w:sz w:val="20"/>
                <w:szCs w:val="20"/>
              </w:rPr>
            </w:pPr>
          </w:p>
        </w:tc>
        <w:tc>
          <w:tcPr>
            <w:tcW w:w="1353" w:type="dxa"/>
          </w:tcPr>
          <w:p w14:paraId="58E0BA15" w14:textId="1ADC0C02" w:rsidR="009946A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(84,234)</w:t>
            </w:r>
          </w:p>
        </w:tc>
      </w:tr>
      <w:tr w:rsidR="009946A8" w:rsidRPr="00BB3C18" w14:paraId="31D9292E" w14:textId="77777777" w:rsidTr="00A27F53">
        <w:trPr>
          <w:trHeight w:val="104"/>
        </w:trPr>
        <w:tc>
          <w:tcPr>
            <w:tcW w:w="4962" w:type="dxa"/>
            <w:gridSpan w:val="4"/>
          </w:tcPr>
          <w:p w14:paraId="457CAB2D" w14:textId="77777777" w:rsidR="009946A8" w:rsidRPr="00737D56" w:rsidRDefault="009946A8" w:rsidP="009946A8">
            <w:pPr>
              <w:spacing w:line="276" w:lineRule="auto"/>
              <w:rPr>
                <w:rFonts w:asciiTheme="minorHAnsi" w:hAnsiTheme="minorHAnsi" w:cstheme="minorHAnsi"/>
                <w:bCs/>
                <w:sz w:val="20"/>
                <w:szCs w:val="20"/>
              </w:rPr>
            </w:pPr>
            <w:r w:rsidRPr="00737D56">
              <w:rPr>
                <w:rFonts w:asciiTheme="minorHAnsi" w:hAnsiTheme="minorHAnsi" w:cstheme="minorHAnsi"/>
                <w:bCs/>
                <w:sz w:val="20"/>
                <w:szCs w:val="20"/>
              </w:rPr>
              <w:t>Issue of convertible loan notes</w:t>
            </w:r>
          </w:p>
        </w:tc>
        <w:tc>
          <w:tcPr>
            <w:tcW w:w="239" w:type="dxa"/>
          </w:tcPr>
          <w:p w14:paraId="5ABFB04B"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06DB0A03"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1C1BC39F"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702C7CE1" w14:textId="77777777" w:rsidR="009946A8" w:rsidRPr="000B20D5" w:rsidRDefault="009946A8" w:rsidP="009946A8">
            <w:pPr>
              <w:jc w:val="right"/>
              <w:rPr>
                <w:rFonts w:asciiTheme="minorHAnsi" w:hAnsiTheme="minorHAnsi" w:cstheme="minorHAnsi"/>
                <w:sz w:val="20"/>
                <w:szCs w:val="20"/>
                <w:highlight w:val="yellow"/>
              </w:rPr>
            </w:pPr>
          </w:p>
        </w:tc>
        <w:tc>
          <w:tcPr>
            <w:tcW w:w="1343" w:type="dxa"/>
            <w:shd w:val="clear" w:color="auto" w:fill="auto"/>
          </w:tcPr>
          <w:p w14:paraId="75BFC6EF" w14:textId="77777777" w:rsidR="009946A8" w:rsidRPr="00446B65" w:rsidRDefault="009946A8" w:rsidP="009946A8">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593FC120" w14:textId="77777777" w:rsidR="009946A8" w:rsidRPr="00BB3C18" w:rsidRDefault="009946A8" w:rsidP="009946A8">
            <w:pPr>
              <w:jc w:val="right"/>
              <w:rPr>
                <w:rFonts w:asciiTheme="minorHAnsi" w:hAnsiTheme="minorHAnsi" w:cstheme="minorHAnsi"/>
                <w:sz w:val="20"/>
                <w:szCs w:val="20"/>
              </w:rPr>
            </w:pPr>
          </w:p>
        </w:tc>
        <w:tc>
          <w:tcPr>
            <w:tcW w:w="1353" w:type="dxa"/>
          </w:tcPr>
          <w:p w14:paraId="7DE0BDAA" w14:textId="77777777" w:rsidR="009946A8" w:rsidRPr="00BB3C1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720,000</w:t>
            </w:r>
          </w:p>
        </w:tc>
      </w:tr>
      <w:tr w:rsidR="009946A8" w:rsidRPr="00BB3C18" w14:paraId="00855111" w14:textId="77777777" w:rsidTr="00A27F53">
        <w:trPr>
          <w:trHeight w:val="104"/>
        </w:trPr>
        <w:tc>
          <w:tcPr>
            <w:tcW w:w="4962" w:type="dxa"/>
            <w:gridSpan w:val="4"/>
          </w:tcPr>
          <w:p w14:paraId="730D9E74" w14:textId="77777777" w:rsidR="009946A8" w:rsidRPr="00BB3C18" w:rsidRDefault="009946A8" w:rsidP="009946A8">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 xml:space="preserve">Financing cash flows from </w:t>
            </w:r>
            <w:r>
              <w:rPr>
                <w:rFonts w:asciiTheme="minorHAnsi" w:hAnsiTheme="minorHAnsi" w:cstheme="minorHAnsi"/>
                <w:b/>
                <w:sz w:val="20"/>
                <w:szCs w:val="20"/>
              </w:rPr>
              <w:t xml:space="preserve">continuing </w:t>
            </w:r>
            <w:r w:rsidRPr="00BB3C18">
              <w:rPr>
                <w:rFonts w:asciiTheme="minorHAnsi" w:hAnsiTheme="minorHAnsi" w:cstheme="minorHAnsi"/>
                <w:b/>
                <w:sz w:val="20"/>
                <w:szCs w:val="20"/>
              </w:rPr>
              <w:t>activities</w:t>
            </w:r>
          </w:p>
        </w:tc>
        <w:tc>
          <w:tcPr>
            <w:tcW w:w="239" w:type="dxa"/>
          </w:tcPr>
          <w:p w14:paraId="6C84B2B0"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39C7EF2B"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462F0762"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153B0E60" w14:textId="77777777" w:rsidR="009946A8" w:rsidRPr="000B20D5" w:rsidRDefault="009946A8" w:rsidP="009946A8">
            <w:pPr>
              <w:jc w:val="right"/>
              <w:rPr>
                <w:rFonts w:asciiTheme="minorHAnsi" w:hAnsiTheme="minorHAnsi" w:cstheme="minorHAnsi"/>
                <w:sz w:val="20"/>
                <w:szCs w:val="20"/>
                <w:highlight w:val="yellow"/>
              </w:rPr>
            </w:pPr>
          </w:p>
        </w:tc>
        <w:tc>
          <w:tcPr>
            <w:tcW w:w="1343" w:type="dxa"/>
            <w:tcBorders>
              <w:top w:val="single" w:sz="4" w:space="0" w:color="auto"/>
            </w:tcBorders>
            <w:shd w:val="clear" w:color="auto" w:fill="auto"/>
          </w:tcPr>
          <w:p w14:paraId="15A32F33" w14:textId="77777777" w:rsidR="009946A8" w:rsidRPr="00446B65" w:rsidRDefault="009946A8" w:rsidP="009946A8">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30568574" w14:textId="77777777" w:rsidR="009946A8" w:rsidRPr="00BB3C18" w:rsidRDefault="009946A8" w:rsidP="009946A8">
            <w:pPr>
              <w:jc w:val="right"/>
              <w:rPr>
                <w:rFonts w:asciiTheme="minorHAnsi" w:hAnsiTheme="minorHAnsi" w:cstheme="minorHAnsi"/>
                <w:sz w:val="20"/>
                <w:szCs w:val="20"/>
              </w:rPr>
            </w:pPr>
          </w:p>
        </w:tc>
        <w:tc>
          <w:tcPr>
            <w:tcW w:w="1353" w:type="dxa"/>
            <w:tcBorders>
              <w:top w:val="single" w:sz="4" w:space="0" w:color="auto"/>
            </w:tcBorders>
          </w:tcPr>
          <w:p w14:paraId="024A8963" w14:textId="617C3C7F" w:rsidR="009946A8" w:rsidRPr="00BB3C1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(1,284,189)</w:t>
            </w:r>
          </w:p>
        </w:tc>
      </w:tr>
      <w:tr w:rsidR="009946A8" w:rsidRPr="00BB3C18" w14:paraId="53FE5895" w14:textId="77777777" w:rsidTr="00A27F53">
        <w:trPr>
          <w:trHeight w:val="104"/>
        </w:trPr>
        <w:tc>
          <w:tcPr>
            <w:tcW w:w="4962" w:type="dxa"/>
            <w:gridSpan w:val="4"/>
          </w:tcPr>
          <w:p w14:paraId="1583B234" w14:textId="77777777" w:rsidR="009946A8" w:rsidRPr="00BB3C18" w:rsidRDefault="009946A8" w:rsidP="009946A8">
            <w:pPr>
              <w:spacing w:line="276" w:lineRule="auto"/>
              <w:rPr>
                <w:rFonts w:asciiTheme="minorHAnsi" w:hAnsiTheme="minorHAnsi" w:cstheme="minorHAnsi"/>
                <w:b/>
                <w:sz w:val="20"/>
                <w:szCs w:val="20"/>
              </w:rPr>
            </w:pPr>
            <w:r w:rsidRPr="00BB3C18">
              <w:rPr>
                <w:rFonts w:asciiTheme="minorHAnsi" w:hAnsiTheme="minorHAnsi" w:cstheme="minorHAnsi"/>
                <w:sz w:val="20"/>
                <w:szCs w:val="20"/>
              </w:rPr>
              <w:t>Financing cash flows used by discontinued operations</w:t>
            </w:r>
          </w:p>
        </w:tc>
        <w:tc>
          <w:tcPr>
            <w:tcW w:w="239" w:type="dxa"/>
          </w:tcPr>
          <w:p w14:paraId="785821C4"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681441B6"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6C29C98B"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1A25BEF4" w14:textId="77777777" w:rsidR="009946A8" w:rsidRPr="000B20D5" w:rsidRDefault="009946A8" w:rsidP="009946A8">
            <w:pPr>
              <w:jc w:val="right"/>
              <w:rPr>
                <w:rFonts w:asciiTheme="minorHAnsi" w:hAnsiTheme="minorHAnsi" w:cstheme="minorHAnsi"/>
                <w:sz w:val="20"/>
                <w:szCs w:val="20"/>
                <w:highlight w:val="yellow"/>
              </w:rPr>
            </w:pPr>
          </w:p>
        </w:tc>
        <w:tc>
          <w:tcPr>
            <w:tcW w:w="1343" w:type="dxa"/>
            <w:shd w:val="clear" w:color="auto" w:fill="auto"/>
          </w:tcPr>
          <w:p w14:paraId="351B4805" w14:textId="77777777" w:rsidR="009946A8" w:rsidRPr="00446B65" w:rsidRDefault="009946A8" w:rsidP="009946A8">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72A6B630" w14:textId="77777777" w:rsidR="009946A8" w:rsidRPr="00BB3C18" w:rsidRDefault="009946A8" w:rsidP="009946A8">
            <w:pPr>
              <w:jc w:val="right"/>
              <w:rPr>
                <w:rFonts w:asciiTheme="minorHAnsi" w:hAnsiTheme="minorHAnsi" w:cstheme="minorHAnsi"/>
                <w:sz w:val="20"/>
                <w:szCs w:val="20"/>
              </w:rPr>
            </w:pPr>
          </w:p>
        </w:tc>
        <w:tc>
          <w:tcPr>
            <w:tcW w:w="1353" w:type="dxa"/>
          </w:tcPr>
          <w:p w14:paraId="00A84F7F" w14:textId="0F86ADEF" w:rsidR="009946A8" w:rsidRPr="00BB3C1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w:t>
            </w:r>
          </w:p>
        </w:tc>
      </w:tr>
      <w:tr w:rsidR="009946A8" w:rsidRPr="00BB3C18" w14:paraId="74B919B3" w14:textId="77777777" w:rsidTr="00A27F53">
        <w:trPr>
          <w:trHeight w:val="104"/>
        </w:trPr>
        <w:tc>
          <w:tcPr>
            <w:tcW w:w="4962" w:type="dxa"/>
            <w:gridSpan w:val="4"/>
          </w:tcPr>
          <w:p w14:paraId="5F9934BA" w14:textId="77777777" w:rsidR="009946A8" w:rsidRPr="00BB3C18" w:rsidRDefault="009946A8" w:rsidP="009946A8">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Net cash flows from financing activities</w:t>
            </w:r>
          </w:p>
        </w:tc>
        <w:tc>
          <w:tcPr>
            <w:tcW w:w="239" w:type="dxa"/>
          </w:tcPr>
          <w:p w14:paraId="1388BEC1"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000ABD45"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370BBAA9"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5804C0E2" w14:textId="77777777" w:rsidR="009946A8" w:rsidRPr="000B20D5" w:rsidRDefault="009946A8" w:rsidP="009946A8">
            <w:pPr>
              <w:jc w:val="right"/>
              <w:rPr>
                <w:rFonts w:asciiTheme="minorHAnsi" w:hAnsiTheme="minorHAnsi" w:cstheme="minorHAnsi"/>
                <w:sz w:val="20"/>
                <w:szCs w:val="20"/>
                <w:highlight w:val="yellow"/>
              </w:rPr>
            </w:pPr>
          </w:p>
        </w:tc>
        <w:tc>
          <w:tcPr>
            <w:tcW w:w="1343" w:type="dxa"/>
            <w:tcBorders>
              <w:top w:val="single" w:sz="4" w:space="0" w:color="auto"/>
            </w:tcBorders>
            <w:shd w:val="clear" w:color="auto" w:fill="auto"/>
          </w:tcPr>
          <w:p w14:paraId="49687D43" w14:textId="77777777" w:rsidR="009946A8" w:rsidRPr="00446B65" w:rsidRDefault="009946A8" w:rsidP="009946A8">
            <w:pPr>
              <w:jc w:val="right"/>
              <w:rPr>
                <w:rFonts w:asciiTheme="minorHAnsi" w:hAnsiTheme="minorHAnsi" w:cstheme="minorHAnsi"/>
                <w:sz w:val="20"/>
                <w:szCs w:val="20"/>
              </w:rPr>
            </w:pPr>
            <w:r>
              <w:rPr>
                <w:rFonts w:asciiTheme="minorHAnsi" w:hAnsiTheme="minorHAnsi" w:cstheme="minorHAnsi"/>
                <w:sz w:val="20"/>
                <w:szCs w:val="20"/>
              </w:rPr>
              <w:t>-</w:t>
            </w:r>
          </w:p>
        </w:tc>
        <w:tc>
          <w:tcPr>
            <w:tcW w:w="264" w:type="dxa"/>
          </w:tcPr>
          <w:p w14:paraId="489A410A" w14:textId="77777777" w:rsidR="009946A8" w:rsidRPr="00BB3C18" w:rsidRDefault="009946A8" w:rsidP="009946A8">
            <w:pPr>
              <w:jc w:val="right"/>
              <w:rPr>
                <w:rFonts w:asciiTheme="minorHAnsi" w:hAnsiTheme="minorHAnsi" w:cstheme="minorHAnsi"/>
                <w:sz w:val="20"/>
                <w:szCs w:val="20"/>
              </w:rPr>
            </w:pPr>
          </w:p>
        </w:tc>
        <w:tc>
          <w:tcPr>
            <w:tcW w:w="1353" w:type="dxa"/>
            <w:tcBorders>
              <w:top w:val="single" w:sz="4" w:space="0" w:color="auto"/>
            </w:tcBorders>
          </w:tcPr>
          <w:p w14:paraId="60BE0455" w14:textId="77777777" w:rsidR="009946A8" w:rsidRPr="00BB3C1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(1,284,189)</w:t>
            </w:r>
          </w:p>
        </w:tc>
      </w:tr>
      <w:tr w:rsidR="009946A8" w:rsidRPr="00BB3C18" w14:paraId="17A9A99B" w14:textId="77777777" w:rsidTr="00A27F53">
        <w:trPr>
          <w:trHeight w:val="104"/>
        </w:trPr>
        <w:tc>
          <w:tcPr>
            <w:tcW w:w="4962" w:type="dxa"/>
            <w:gridSpan w:val="4"/>
          </w:tcPr>
          <w:p w14:paraId="7C1BECA6" w14:textId="77777777" w:rsidR="009946A8" w:rsidRPr="00BB3C18" w:rsidRDefault="009946A8" w:rsidP="009946A8">
            <w:pPr>
              <w:spacing w:line="276" w:lineRule="auto"/>
              <w:rPr>
                <w:rFonts w:asciiTheme="minorHAnsi" w:hAnsiTheme="minorHAnsi" w:cstheme="minorHAnsi"/>
                <w:b/>
                <w:sz w:val="20"/>
                <w:szCs w:val="20"/>
              </w:rPr>
            </w:pPr>
          </w:p>
        </w:tc>
        <w:tc>
          <w:tcPr>
            <w:tcW w:w="239" w:type="dxa"/>
          </w:tcPr>
          <w:p w14:paraId="565289A0"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37769990"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5BEE0C5E"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565D50EF" w14:textId="77777777" w:rsidR="009946A8" w:rsidRPr="000B20D5" w:rsidRDefault="009946A8" w:rsidP="009946A8">
            <w:pPr>
              <w:jc w:val="right"/>
              <w:rPr>
                <w:rFonts w:asciiTheme="minorHAnsi" w:hAnsiTheme="minorHAnsi" w:cstheme="minorHAnsi"/>
                <w:sz w:val="20"/>
                <w:szCs w:val="20"/>
                <w:highlight w:val="yellow"/>
              </w:rPr>
            </w:pPr>
          </w:p>
        </w:tc>
        <w:tc>
          <w:tcPr>
            <w:tcW w:w="1343" w:type="dxa"/>
            <w:tcBorders>
              <w:bottom w:val="single" w:sz="4" w:space="0" w:color="auto"/>
            </w:tcBorders>
            <w:shd w:val="clear" w:color="auto" w:fill="auto"/>
          </w:tcPr>
          <w:p w14:paraId="54F6B20C" w14:textId="77777777" w:rsidR="009946A8" w:rsidRPr="00446B65" w:rsidRDefault="009946A8" w:rsidP="009946A8">
            <w:pPr>
              <w:jc w:val="right"/>
              <w:rPr>
                <w:rFonts w:asciiTheme="minorHAnsi" w:hAnsiTheme="minorHAnsi" w:cstheme="minorHAnsi"/>
                <w:sz w:val="20"/>
                <w:szCs w:val="20"/>
              </w:rPr>
            </w:pPr>
          </w:p>
        </w:tc>
        <w:tc>
          <w:tcPr>
            <w:tcW w:w="264" w:type="dxa"/>
          </w:tcPr>
          <w:p w14:paraId="17194C4E" w14:textId="77777777" w:rsidR="009946A8" w:rsidRPr="00BB3C18" w:rsidRDefault="009946A8" w:rsidP="009946A8">
            <w:pPr>
              <w:jc w:val="right"/>
              <w:rPr>
                <w:rFonts w:asciiTheme="minorHAnsi" w:hAnsiTheme="minorHAnsi" w:cstheme="minorHAnsi"/>
                <w:sz w:val="20"/>
                <w:szCs w:val="20"/>
              </w:rPr>
            </w:pPr>
          </w:p>
        </w:tc>
        <w:tc>
          <w:tcPr>
            <w:tcW w:w="1353" w:type="dxa"/>
            <w:tcBorders>
              <w:bottom w:val="single" w:sz="4" w:space="0" w:color="auto"/>
            </w:tcBorders>
          </w:tcPr>
          <w:p w14:paraId="40910CED" w14:textId="77777777" w:rsidR="009946A8" w:rsidRPr="00BB3C18" w:rsidRDefault="009946A8" w:rsidP="009946A8">
            <w:pPr>
              <w:ind w:right="-91"/>
              <w:jc w:val="right"/>
              <w:rPr>
                <w:rFonts w:asciiTheme="minorHAnsi" w:hAnsiTheme="minorHAnsi" w:cstheme="minorHAnsi"/>
                <w:sz w:val="20"/>
                <w:szCs w:val="20"/>
              </w:rPr>
            </w:pPr>
          </w:p>
        </w:tc>
      </w:tr>
      <w:tr w:rsidR="009946A8" w:rsidRPr="00BB3C18" w14:paraId="5A8E3EF7" w14:textId="77777777" w:rsidTr="00A27F53">
        <w:trPr>
          <w:trHeight w:val="104"/>
        </w:trPr>
        <w:tc>
          <w:tcPr>
            <w:tcW w:w="4962" w:type="dxa"/>
            <w:gridSpan w:val="4"/>
          </w:tcPr>
          <w:p w14:paraId="62DC5A0D" w14:textId="77777777" w:rsidR="009946A8" w:rsidRPr="00BB3C18" w:rsidRDefault="009946A8" w:rsidP="009946A8">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 xml:space="preserve">Net </w:t>
            </w:r>
            <w:r>
              <w:rPr>
                <w:rFonts w:asciiTheme="minorHAnsi" w:hAnsiTheme="minorHAnsi" w:cstheme="minorHAnsi"/>
                <w:b/>
                <w:sz w:val="20"/>
                <w:szCs w:val="20"/>
              </w:rPr>
              <w:t>increase/(</w:t>
            </w:r>
            <w:r w:rsidRPr="00BB3C18">
              <w:rPr>
                <w:rFonts w:asciiTheme="minorHAnsi" w:hAnsiTheme="minorHAnsi" w:cstheme="minorHAnsi"/>
                <w:b/>
                <w:sz w:val="20"/>
                <w:szCs w:val="20"/>
              </w:rPr>
              <w:t>decrease</w:t>
            </w:r>
            <w:r>
              <w:rPr>
                <w:rFonts w:asciiTheme="minorHAnsi" w:hAnsiTheme="minorHAnsi" w:cstheme="minorHAnsi"/>
                <w:b/>
                <w:sz w:val="20"/>
                <w:szCs w:val="20"/>
              </w:rPr>
              <w:t>)</w:t>
            </w:r>
            <w:r w:rsidRPr="00BB3C18">
              <w:rPr>
                <w:rFonts w:asciiTheme="minorHAnsi" w:hAnsiTheme="minorHAnsi" w:cstheme="minorHAnsi"/>
                <w:b/>
                <w:sz w:val="20"/>
                <w:szCs w:val="20"/>
              </w:rPr>
              <w:t xml:space="preserve"> in cash and cash equivalents</w:t>
            </w:r>
          </w:p>
        </w:tc>
        <w:tc>
          <w:tcPr>
            <w:tcW w:w="239" w:type="dxa"/>
          </w:tcPr>
          <w:p w14:paraId="3A778E26"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17951116"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4CBD4532"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14145E97" w14:textId="77777777" w:rsidR="009946A8" w:rsidRPr="000B20D5" w:rsidRDefault="009946A8" w:rsidP="009946A8">
            <w:pPr>
              <w:jc w:val="right"/>
              <w:rPr>
                <w:rFonts w:asciiTheme="minorHAnsi" w:hAnsiTheme="minorHAnsi" w:cstheme="minorHAnsi"/>
                <w:sz w:val="20"/>
                <w:szCs w:val="20"/>
                <w:highlight w:val="yellow"/>
              </w:rPr>
            </w:pPr>
          </w:p>
        </w:tc>
        <w:tc>
          <w:tcPr>
            <w:tcW w:w="1343" w:type="dxa"/>
            <w:tcBorders>
              <w:top w:val="single" w:sz="4" w:space="0" w:color="auto"/>
            </w:tcBorders>
            <w:shd w:val="clear" w:color="auto" w:fill="auto"/>
          </w:tcPr>
          <w:p w14:paraId="6C7D8F02" w14:textId="2F17921B" w:rsidR="009946A8" w:rsidRPr="00DF0913" w:rsidRDefault="00410F31" w:rsidP="009946A8">
            <w:pPr>
              <w:jc w:val="right"/>
              <w:rPr>
                <w:rFonts w:asciiTheme="minorHAnsi" w:hAnsiTheme="minorHAnsi" w:cstheme="minorHAnsi"/>
                <w:sz w:val="20"/>
                <w:szCs w:val="20"/>
                <w:highlight w:val="magenta"/>
              </w:rPr>
            </w:pPr>
            <w:r>
              <w:rPr>
                <w:rFonts w:asciiTheme="minorHAnsi" w:hAnsiTheme="minorHAnsi" w:cstheme="minorHAnsi"/>
                <w:sz w:val="20"/>
                <w:szCs w:val="20"/>
              </w:rPr>
              <w:t>(</w:t>
            </w:r>
            <w:r w:rsidR="00903FC4">
              <w:rPr>
                <w:rFonts w:asciiTheme="minorHAnsi" w:hAnsiTheme="minorHAnsi" w:cstheme="minorHAnsi"/>
                <w:sz w:val="20"/>
                <w:szCs w:val="20"/>
              </w:rPr>
              <w:t>50,924</w:t>
            </w:r>
            <w:r w:rsidR="009946A8" w:rsidRPr="00DE50E4">
              <w:rPr>
                <w:rFonts w:asciiTheme="minorHAnsi" w:hAnsiTheme="minorHAnsi" w:cstheme="minorHAnsi"/>
                <w:sz w:val="20"/>
                <w:szCs w:val="20"/>
              </w:rPr>
              <w:t>)</w:t>
            </w:r>
          </w:p>
        </w:tc>
        <w:tc>
          <w:tcPr>
            <w:tcW w:w="264" w:type="dxa"/>
          </w:tcPr>
          <w:p w14:paraId="27E43CDC" w14:textId="77777777" w:rsidR="009946A8" w:rsidRPr="00BB3C18" w:rsidRDefault="009946A8" w:rsidP="009946A8">
            <w:pPr>
              <w:jc w:val="right"/>
              <w:rPr>
                <w:rFonts w:asciiTheme="minorHAnsi" w:hAnsiTheme="minorHAnsi" w:cstheme="minorHAnsi"/>
                <w:sz w:val="20"/>
                <w:szCs w:val="20"/>
              </w:rPr>
            </w:pPr>
          </w:p>
        </w:tc>
        <w:tc>
          <w:tcPr>
            <w:tcW w:w="1353" w:type="dxa"/>
            <w:tcBorders>
              <w:top w:val="single" w:sz="4" w:space="0" w:color="auto"/>
            </w:tcBorders>
          </w:tcPr>
          <w:p w14:paraId="79FF8495" w14:textId="77777777" w:rsidR="009946A8" w:rsidRPr="00BB3C1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(129,468)</w:t>
            </w:r>
          </w:p>
        </w:tc>
      </w:tr>
      <w:tr w:rsidR="009946A8" w:rsidRPr="00BB3C18" w14:paraId="57581259" w14:textId="77777777" w:rsidTr="00A27F53">
        <w:trPr>
          <w:trHeight w:val="104"/>
        </w:trPr>
        <w:tc>
          <w:tcPr>
            <w:tcW w:w="4962" w:type="dxa"/>
            <w:gridSpan w:val="4"/>
          </w:tcPr>
          <w:p w14:paraId="1E1266DE" w14:textId="77777777" w:rsidR="009946A8" w:rsidRPr="00BB3C18" w:rsidRDefault="009946A8" w:rsidP="009946A8">
            <w:pPr>
              <w:spacing w:line="276" w:lineRule="auto"/>
              <w:rPr>
                <w:rFonts w:asciiTheme="minorHAnsi" w:hAnsiTheme="minorHAnsi" w:cstheme="minorHAnsi"/>
                <w:b/>
                <w:sz w:val="20"/>
                <w:szCs w:val="20"/>
              </w:rPr>
            </w:pPr>
          </w:p>
        </w:tc>
        <w:tc>
          <w:tcPr>
            <w:tcW w:w="239" w:type="dxa"/>
          </w:tcPr>
          <w:p w14:paraId="43012405"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1DCFB7B3"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44C70660"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224C5B22" w14:textId="77777777" w:rsidR="009946A8" w:rsidRPr="000B20D5" w:rsidRDefault="009946A8" w:rsidP="009946A8">
            <w:pPr>
              <w:jc w:val="right"/>
              <w:rPr>
                <w:rFonts w:asciiTheme="minorHAnsi" w:hAnsiTheme="minorHAnsi" w:cstheme="minorHAnsi"/>
                <w:sz w:val="20"/>
                <w:szCs w:val="20"/>
                <w:highlight w:val="yellow"/>
              </w:rPr>
            </w:pPr>
          </w:p>
        </w:tc>
        <w:tc>
          <w:tcPr>
            <w:tcW w:w="1343" w:type="dxa"/>
            <w:shd w:val="clear" w:color="auto" w:fill="auto"/>
          </w:tcPr>
          <w:p w14:paraId="6650DB0D" w14:textId="77777777" w:rsidR="009946A8" w:rsidRPr="00446B65" w:rsidRDefault="009946A8" w:rsidP="009946A8">
            <w:pPr>
              <w:jc w:val="right"/>
              <w:rPr>
                <w:rFonts w:asciiTheme="minorHAnsi" w:hAnsiTheme="minorHAnsi" w:cstheme="minorHAnsi"/>
                <w:sz w:val="20"/>
                <w:szCs w:val="20"/>
              </w:rPr>
            </w:pPr>
          </w:p>
        </w:tc>
        <w:tc>
          <w:tcPr>
            <w:tcW w:w="264" w:type="dxa"/>
          </w:tcPr>
          <w:p w14:paraId="46F0684D" w14:textId="77777777" w:rsidR="009946A8" w:rsidRPr="00BB3C18" w:rsidRDefault="009946A8" w:rsidP="009946A8">
            <w:pPr>
              <w:jc w:val="right"/>
              <w:rPr>
                <w:rFonts w:asciiTheme="minorHAnsi" w:hAnsiTheme="minorHAnsi" w:cstheme="minorHAnsi"/>
                <w:sz w:val="20"/>
                <w:szCs w:val="20"/>
              </w:rPr>
            </w:pPr>
          </w:p>
        </w:tc>
        <w:tc>
          <w:tcPr>
            <w:tcW w:w="1353" w:type="dxa"/>
          </w:tcPr>
          <w:p w14:paraId="0FDE1F01" w14:textId="77777777" w:rsidR="009946A8" w:rsidRPr="00BB3C18" w:rsidRDefault="009946A8" w:rsidP="009946A8">
            <w:pPr>
              <w:ind w:right="-91"/>
              <w:jc w:val="right"/>
              <w:rPr>
                <w:rFonts w:asciiTheme="minorHAnsi" w:hAnsiTheme="minorHAnsi" w:cstheme="minorHAnsi"/>
                <w:sz w:val="20"/>
                <w:szCs w:val="20"/>
              </w:rPr>
            </w:pPr>
          </w:p>
        </w:tc>
      </w:tr>
      <w:tr w:rsidR="009946A8" w:rsidRPr="00BB3C18" w14:paraId="47A177F5" w14:textId="77777777" w:rsidTr="00A27F53">
        <w:trPr>
          <w:trHeight w:val="266"/>
        </w:trPr>
        <w:tc>
          <w:tcPr>
            <w:tcW w:w="4962" w:type="dxa"/>
            <w:gridSpan w:val="4"/>
          </w:tcPr>
          <w:p w14:paraId="68C4C7E1" w14:textId="77777777" w:rsidR="009946A8" w:rsidRPr="00BB3C18" w:rsidRDefault="009946A8" w:rsidP="009946A8">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 xml:space="preserve">                                                                                                  Cash and cash equivalents at beginning of period</w:t>
            </w:r>
          </w:p>
        </w:tc>
        <w:tc>
          <w:tcPr>
            <w:tcW w:w="239" w:type="dxa"/>
          </w:tcPr>
          <w:p w14:paraId="603503FD"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6CE6E769"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71489390" w14:textId="77777777" w:rsidR="009946A8" w:rsidRPr="007B6961" w:rsidRDefault="009946A8" w:rsidP="009946A8">
            <w:pPr>
              <w:jc w:val="center"/>
              <w:rPr>
                <w:rFonts w:asciiTheme="minorHAnsi" w:hAnsiTheme="minorHAnsi" w:cstheme="minorHAnsi"/>
                <w:sz w:val="20"/>
                <w:szCs w:val="20"/>
              </w:rPr>
            </w:pPr>
          </w:p>
        </w:tc>
        <w:tc>
          <w:tcPr>
            <w:tcW w:w="258" w:type="dxa"/>
            <w:gridSpan w:val="2"/>
            <w:shd w:val="clear" w:color="auto" w:fill="auto"/>
          </w:tcPr>
          <w:p w14:paraId="0851F539" w14:textId="77777777" w:rsidR="009946A8" w:rsidRPr="000B20D5" w:rsidRDefault="009946A8" w:rsidP="009946A8">
            <w:pPr>
              <w:jc w:val="right"/>
              <w:rPr>
                <w:rFonts w:asciiTheme="minorHAnsi" w:hAnsiTheme="minorHAnsi" w:cstheme="minorHAnsi"/>
                <w:sz w:val="20"/>
                <w:szCs w:val="20"/>
                <w:highlight w:val="yellow"/>
              </w:rPr>
            </w:pPr>
          </w:p>
        </w:tc>
        <w:tc>
          <w:tcPr>
            <w:tcW w:w="1343" w:type="dxa"/>
            <w:shd w:val="clear" w:color="auto" w:fill="auto"/>
          </w:tcPr>
          <w:p w14:paraId="4B395390" w14:textId="77777777" w:rsidR="009946A8" w:rsidRPr="00446B65" w:rsidRDefault="009946A8" w:rsidP="009946A8">
            <w:pPr>
              <w:jc w:val="right"/>
              <w:rPr>
                <w:rFonts w:asciiTheme="minorHAnsi" w:hAnsiTheme="minorHAnsi" w:cstheme="minorHAnsi"/>
                <w:sz w:val="20"/>
                <w:szCs w:val="20"/>
              </w:rPr>
            </w:pPr>
          </w:p>
          <w:p w14:paraId="71479C91" w14:textId="77777777" w:rsidR="009946A8" w:rsidRPr="00446B65" w:rsidRDefault="009946A8" w:rsidP="009946A8">
            <w:pPr>
              <w:jc w:val="right"/>
              <w:rPr>
                <w:rFonts w:asciiTheme="minorHAnsi" w:hAnsiTheme="minorHAnsi" w:cstheme="minorHAnsi"/>
                <w:sz w:val="20"/>
                <w:szCs w:val="20"/>
              </w:rPr>
            </w:pPr>
            <w:r>
              <w:rPr>
                <w:rFonts w:asciiTheme="minorHAnsi" w:hAnsiTheme="minorHAnsi" w:cstheme="minorHAnsi"/>
                <w:sz w:val="20"/>
                <w:szCs w:val="20"/>
              </w:rPr>
              <w:t>50,929</w:t>
            </w:r>
          </w:p>
        </w:tc>
        <w:tc>
          <w:tcPr>
            <w:tcW w:w="264" w:type="dxa"/>
          </w:tcPr>
          <w:p w14:paraId="634E5E09" w14:textId="77777777" w:rsidR="009946A8" w:rsidRPr="00BB3C18" w:rsidRDefault="009946A8" w:rsidP="009946A8">
            <w:pPr>
              <w:jc w:val="right"/>
              <w:rPr>
                <w:rFonts w:asciiTheme="minorHAnsi" w:hAnsiTheme="minorHAnsi" w:cstheme="minorHAnsi"/>
                <w:sz w:val="20"/>
                <w:szCs w:val="20"/>
              </w:rPr>
            </w:pPr>
          </w:p>
        </w:tc>
        <w:tc>
          <w:tcPr>
            <w:tcW w:w="1353" w:type="dxa"/>
          </w:tcPr>
          <w:p w14:paraId="507A66BF" w14:textId="77777777" w:rsidR="009946A8" w:rsidRPr="00446B65" w:rsidRDefault="009946A8" w:rsidP="009946A8">
            <w:pPr>
              <w:jc w:val="right"/>
              <w:rPr>
                <w:rFonts w:asciiTheme="minorHAnsi" w:hAnsiTheme="minorHAnsi" w:cstheme="minorHAnsi"/>
                <w:sz w:val="20"/>
                <w:szCs w:val="20"/>
              </w:rPr>
            </w:pPr>
          </w:p>
          <w:p w14:paraId="02C4814F" w14:textId="77777777" w:rsidR="009946A8" w:rsidRPr="00BB3C1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180,397</w:t>
            </w:r>
          </w:p>
        </w:tc>
      </w:tr>
      <w:tr w:rsidR="009946A8" w:rsidRPr="00BB3C18" w14:paraId="36FEB789" w14:textId="77777777" w:rsidTr="00A27F53">
        <w:trPr>
          <w:trHeight w:val="104"/>
        </w:trPr>
        <w:tc>
          <w:tcPr>
            <w:tcW w:w="4962" w:type="dxa"/>
            <w:gridSpan w:val="4"/>
          </w:tcPr>
          <w:p w14:paraId="1883DE0E" w14:textId="77777777" w:rsidR="009946A8" w:rsidRPr="00BB3C18" w:rsidRDefault="009946A8" w:rsidP="009946A8">
            <w:pPr>
              <w:spacing w:line="276" w:lineRule="auto"/>
              <w:rPr>
                <w:rFonts w:asciiTheme="minorHAnsi" w:hAnsiTheme="minorHAnsi" w:cstheme="minorHAnsi"/>
                <w:sz w:val="20"/>
                <w:szCs w:val="20"/>
              </w:rPr>
            </w:pPr>
            <w:r w:rsidRPr="00BB3C18">
              <w:rPr>
                <w:rFonts w:asciiTheme="minorHAnsi" w:hAnsiTheme="minorHAnsi" w:cstheme="minorHAnsi"/>
                <w:b/>
                <w:sz w:val="20"/>
                <w:szCs w:val="20"/>
              </w:rPr>
              <w:t>Cash and cash equivalents at period end</w:t>
            </w:r>
          </w:p>
        </w:tc>
        <w:tc>
          <w:tcPr>
            <w:tcW w:w="239" w:type="dxa"/>
          </w:tcPr>
          <w:p w14:paraId="15EA86B8" w14:textId="77777777" w:rsidR="009946A8" w:rsidRPr="00BB3C18" w:rsidRDefault="009946A8" w:rsidP="009946A8">
            <w:pPr>
              <w:spacing w:line="276" w:lineRule="auto"/>
              <w:jc w:val="right"/>
              <w:rPr>
                <w:rFonts w:asciiTheme="minorHAnsi" w:hAnsiTheme="minorHAnsi" w:cstheme="minorHAnsi"/>
                <w:sz w:val="20"/>
                <w:szCs w:val="20"/>
              </w:rPr>
            </w:pPr>
          </w:p>
        </w:tc>
        <w:tc>
          <w:tcPr>
            <w:tcW w:w="291" w:type="dxa"/>
          </w:tcPr>
          <w:p w14:paraId="613F0D32" w14:textId="77777777" w:rsidR="009946A8" w:rsidRPr="00BB3C18" w:rsidRDefault="009946A8" w:rsidP="009946A8">
            <w:pPr>
              <w:jc w:val="right"/>
              <w:rPr>
                <w:rFonts w:asciiTheme="minorHAnsi" w:hAnsiTheme="minorHAnsi" w:cstheme="minorHAnsi"/>
                <w:sz w:val="20"/>
                <w:szCs w:val="20"/>
              </w:rPr>
            </w:pPr>
          </w:p>
        </w:tc>
        <w:tc>
          <w:tcPr>
            <w:tcW w:w="865" w:type="dxa"/>
            <w:gridSpan w:val="2"/>
          </w:tcPr>
          <w:p w14:paraId="4AEA1486" w14:textId="576A99C6" w:rsidR="009946A8" w:rsidRPr="007B6961" w:rsidRDefault="009946A8" w:rsidP="009946A8">
            <w:pPr>
              <w:jc w:val="center"/>
              <w:rPr>
                <w:rFonts w:asciiTheme="minorHAnsi" w:hAnsiTheme="minorHAnsi" w:cstheme="minorHAnsi"/>
                <w:sz w:val="20"/>
                <w:szCs w:val="20"/>
              </w:rPr>
            </w:pPr>
            <w:r w:rsidRPr="007B6961">
              <w:rPr>
                <w:rFonts w:asciiTheme="minorHAnsi" w:hAnsiTheme="minorHAnsi" w:cstheme="minorHAnsi"/>
                <w:sz w:val="20"/>
                <w:szCs w:val="20"/>
              </w:rPr>
              <w:t>1</w:t>
            </w:r>
            <w:r w:rsidR="00BE060D">
              <w:rPr>
                <w:rFonts w:asciiTheme="minorHAnsi" w:hAnsiTheme="minorHAnsi" w:cstheme="minorHAnsi"/>
                <w:sz w:val="20"/>
                <w:szCs w:val="20"/>
              </w:rPr>
              <w:t>2</w:t>
            </w:r>
          </w:p>
        </w:tc>
        <w:tc>
          <w:tcPr>
            <w:tcW w:w="258" w:type="dxa"/>
            <w:gridSpan w:val="2"/>
            <w:shd w:val="clear" w:color="auto" w:fill="auto"/>
          </w:tcPr>
          <w:p w14:paraId="11223EF6" w14:textId="77777777" w:rsidR="009946A8" w:rsidRPr="000B20D5" w:rsidRDefault="009946A8" w:rsidP="009946A8">
            <w:pPr>
              <w:jc w:val="right"/>
              <w:rPr>
                <w:rFonts w:asciiTheme="minorHAnsi" w:hAnsiTheme="minorHAnsi" w:cstheme="minorHAnsi"/>
                <w:sz w:val="20"/>
                <w:szCs w:val="20"/>
                <w:highlight w:val="yellow"/>
              </w:rPr>
            </w:pPr>
          </w:p>
        </w:tc>
        <w:tc>
          <w:tcPr>
            <w:tcW w:w="1343" w:type="dxa"/>
            <w:tcBorders>
              <w:top w:val="single" w:sz="4" w:space="0" w:color="auto"/>
              <w:bottom w:val="single" w:sz="4" w:space="0" w:color="auto"/>
            </w:tcBorders>
            <w:shd w:val="clear" w:color="auto" w:fill="auto"/>
          </w:tcPr>
          <w:p w14:paraId="69D61485" w14:textId="662C7D29" w:rsidR="009946A8" w:rsidRPr="00D64AD0" w:rsidRDefault="00410F31" w:rsidP="009946A8">
            <w:pPr>
              <w:jc w:val="right"/>
              <w:rPr>
                <w:rFonts w:asciiTheme="minorHAnsi" w:hAnsiTheme="minorHAnsi" w:cstheme="minorHAnsi"/>
                <w:sz w:val="20"/>
                <w:szCs w:val="20"/>
              </w:rPr>
            </w:pPr>
            <w:r>
              <w:rPr>
                <w:rFonts w:asciiTheme="minorHAnsi" w:hAnsiTheme="minorHAnsi" w:cstheme="minorHAnsi"/>
                <w:sz w:val="20"/>
                <w:szCs w:val="20"/>
              </w:rPr>
              <w:t>5</w:t>
            </w:r>
          </w:p>
        </w:tc>
        <w:tc>
          <w:tcPr>
            <w:tcW w:w="264" w:type="dxa"/>
          </w:tcPr>
          <w:p w14:paraId="54DE1226" w14:textId="77777777" w:rsidR="009946A8" w:rsidRPr="00BB3C18" w:rsidRDefault="009946A8" w:rsidP="009946A8">
            <w:pPr>
              <w:jc w:val="right"/>
              <w:rPr>
                <w:rFonts w:asciiTheme="minorHAnsi" w:hAnsiTheme="minorHAnsi" w:cstheme="minorHAnsi"/>
                <w:sz w:val="20"/>
                <w:szCs w:val="20"/>
              </w:rPr>
            </w:pPr>
          </w:p>
        </w:tc>
        <w:tc>
          <w:tcPr>
            <w:tcW w:w="1353" w:type="dxa"/>
            <w:tcBorders>
              <w:top w:val="single" w:sz="4" w:space="0" w:color="auto"/>
              <w:bottom w:val="single" w:sz="4" w:space="0" w:color="auto"/>
            </w:tcBorders>
          </w:tcPr>
          <w:p w14:paraId="666B21DB" w14:textId="77777777" w:rsidR="009946A8" w:rsidRPr="00BB3C18" w:rsidRDefault="009946A8" w:rsidP="009946A8">
            <w:pPr>
              <w:ind w:right="-91"/>
              <w:jc w:val="right"/>
              <w:rPr>
                <w:rFonts w:asciiTheme="minorHAnsi" w:hAnsiTheme="minorHAnsi" w:cstheme="minorHAnsi"/>
                <w:sz w:val="20"/>
                <w:szCs w:val="20"/>
              </w:rPr>
            </w:pPr>
            <w:r>
              <w:rPr>
                <w:rFonts w:asciiTheme="minorHAnsi" w:hAnsiTheme="minorHAnsi" w:cstheme="minorHAnsi"/>
                <w:sz w:val="20"/>
                <w:szCs w:val="20"/>
              </w:rPr>
              <w:t>50,929</w:t>
            </w:r>
          </w:p>
        </w:tc>
      </w:tr>
    </w:tbl>
    <w:p w14:paraId="64D3C89A" w14:textId="0A81568F" w:rsidR="00BB3D8E" w:rsidRPr="00BB3C18" w:rsidRDefault="00BB3D8E" w:rsidP="00BB3D8E">
      <w:pPr>
        <w:tabs>
          <w:tab w:val="left" w:pos="4508"/>
        </w:tabs>
        <w:jc w:val="both"/>
        <w:rPr>
          <w:rFonts w:asciiTheme="minorHAnsi" w:hAnsiTheme="minorHAnsi" w:cstheme="minorHAnsi"/>
          <w:sz w:val="20"/>
          <w:szCs w:val="20"/>
        </w:rPr>
        <w:sectPr w:rsidR="00BB3D8E" w:rsidRPr="00BB3C18" w:rsidSect="00E3408B">
          <w:headerReference w:type="default" r:id="rId64"/>
          <w:type w:val="continuous"/>
          <w:pgSz w:w="11906" w:h="16838"/>
          <w:pgMar w:top="720" w:right="720" w:bottom="720" w:left="720" w:header="708" w:footer="708" w:gutter="0"/>
          <w:cols w:space="708"/>
          <w:docGrid w:linePitch="360"/>
        </w:sectPr>
      </w:pPr>
    </w:p>
    <w:tbl>
      <w:tblPr>
        <w:tblpPr w:leftFromText="180" w:rightFromText="180" w:vertAnchor="text" w:horzAnchor="margin" w:tblpY="-185"/>
        <w:tblW w:w="10598" w:type="dxa"/>
        <w:tblLayout w:type="fixed"/>
        <w:tblLook w:val="00A0" w:firstRow="1" w:lastRow="0" w:firstColumn="1" w:lastColumn="0" w:noHBand="0" w:noVBand="0"/>
      </w:tblPr>
      <w:tblGrid>
        <w:gridCol w:w="1608"/>
        <w:gridCol w:w="790"/>
        <w:gridCol w:w="1571"/>
        <w:gridCol w:w="993"/>
        <w:gridCol w:w="1242"/>
        <w:gridCol w:w="708"/>
        <w:gridCol w:w="426"/>
        <w:gridCol w:w="1559"/>
        <w:gridCol w:w="283"/>
        <w:gridCol w:w="1418"/>
      </w:tblGrid>
      <w:tr w:rsidR="00F92330" w:rsidRPr="00BB3C18" w14:paraId="3638F2E8" w14:textId="77777777" w:rsidTr="00DA613B">
        <w:tc>
          <w:tcPr>
            <w:tcW w:w="1608" w:type="dxa"/>
          </w:tcPr>
          <w:p w14:paraId="644358BF" w14:textId="77777777" w:rsidR="00F92330" w:rsidRPr="00BB3C18" w:rsidRDefault="00F92330" w:rsidP="00F92330">
            <w:pPr>
              <w:spacing w:line="276" w:lineRule="auto"/>
              <w:rPr>
                <w:rFonts w:asciiTheme="minorHAnsi" w:hAnsiTheme="minorHAnsi" w:cstheme="minorHAnsi"/>
                <w:b/>
                <w:sz w:val="20"/>
                <w:szCs w:val="20"/>
              </w:rPr>
            </w:pPr>
          </w:p>
        </w:tc>
        <w:tc>
          <w:tcPr>
            <w:tcW w:w="790" w:type="dxa"/>
          </w:tcPr>
          <w:p w14:paraId="06B070B4" w14:textId="77777777" w:rsidR="00F92330" w:rsidRPr="00BB3C18" w:rsidRDefault="00F92330" w:rsidP="00F92330">
            <w:pPr>
              <w:spacing w:line="276" w:lineRule="auto"/>
              <w:jc w:val="right"/>
              <w:rPr>
                <w:rFonts w:asciiTheme="minorHAnsi" w:hAnsiTheme="minorHAnsi" w:cstheme="minorHAnsi"/>
                <w:b/>
                <w:sz w:val="20"/>
                <w:szCs w:val="20"/>
              </w:rPr>
            </w:pPr>
          </w:p>
        </w:tc>
        <w:tc>
          <w:tcPr>
            <w:tcW w:w="3806" w:type="dxa"/>
            <w:gridSpan w:val="3"/>
          </w:tcPr>
          <w:p w14:paraId="39E070A6" w14:textId="77777777" w:rsidR="00F92330" w:rsidRPr="00BB3C18" w:rsidRDefault="00F92330" w:rsidP="00F92330">
            <w:pPr>
              <w:spacing w:line="276" w:lineRule="auto"/>
              <w:jc w:val="right"/>
              <w:rPr>
                <w:rFonts w:asciiTheme="minorHAnsi" w:hAnsiTheme="minorHAnsi" w:cstheme="minorHAnsi"/>
                <w:b/>
                <w:sz w:val="20"/>
                <w:szCs w:val="20"/>
              </w:rPr>
            </w:pPr>
          </w:p>
        </w:tc>
        <w:tc>
          <w:tcPr>
            <w:tcW w:w="708" w:type="dxa"/>
            <w:vAlign w:val="bottom"/>
          </w:tcPr>
          <w:p w14:paraId="724E602D" w14:textId="77777777" w:rsidR="00F92330" w:rsidRPr="00BB3C18" w:rsidRDefault="00F92330" w:rsidP="00F92330">
            <w:pPr>
              <w:spacing w:line="276" w:lineRule="auto"/>
              <w:jc w:val="right"/>
              <w:rPr>
                <w:rFonts w:asciiTheme="minorHAnsi" w:hAnsiTheme="minorHAnsi" w:cstheme="minorHAnsi"/>
                <w:b/>
                <w:sz w:val="20"/>
                <w:szCs w:val="20"/>
              </w:rPr>
            </w:pPr>
            <w:r w:rsidRPr="00BB3C18">
              <w:rPr>
                <w:rFonts w:asciiTheme="minorHAnsi" w:hAnsiTheme="minorHAnsi" w:cstheme="minorHAnsi"/>
                <w:b/>
                <w:sz w:val="20"/>
                <w:szCs w:val="20"/>
              </w:rPr>
              <w:t>Notes</w:t>
            </w:r>
          </w:p>
        </w:tc>
        <w:tc>
          <w:tcPr>
            <w:tcW w:w="426" w:type="dxa"/>
            <w:vAlign w:val="bottom"/>
          </w:tcPr>
          <w:p w14:paraId="43CC9050" w14:textId="77777777" w:rsidR="00F92330" w:rsidRPr="00BB3C18" w:rsidRDefault="00F92330" w:rsidP="00F92330">
            <w:pPr>
              <w:spacing w:line="276" w:lineRule="auto"/>
              <w:jc w:val="right"/>
              <w:rPr>
                <w:rFonts w:asciiTheme="minorHAnsi" w:hAnsiTheme="minorHAnsi" w:cstheme="minorHAnsi"/>
                <w:b/>
                <w:sz w:val="20"/>
                <w:szCs w:val="20"/>
              </w:rPr>
            </w:pPr>
          </w:p>
        </w:tc>
        <w:tc>
          <w:tcPr>
            <w:tcW w:w="1559" w:type="dxa"/>
            <w:vAlign w:val="bottom"/>
          </w:tcPr>
          <w:p w14:paraId="19C9318B" w14:textId="77777777" w:rsidR="00F92330" w:rsidRPr="00BB3C18" w:rsidRDefault="00F92330" w:rsidP="00F92330">
            <w:pPr>
              <w:spacing w:line="276" w:lineRule="auto"/>
              <w:ind w:left="-203" w:right="-68"/>
              <w:jc w:val="right"/>
              <w:rPr>
                <w:rFonts w:asciiTheme="minorHAnsi" w:hAnsiTheme="minorHAnsi" w:cstheme="minorHAnsi"/>
                <w:b/>
                <w:sz w:val="20"/>
                <w:szCs w:val="20"/>
              </w:rPr>
            </w:pPr>
            <w:r w:rsidRPr="00BB3C18">
              <w:rPr>
                <w:rFonts w:asciiTheme="minorHAnsi" w:hAnsiTheme="minorHAnsi" w:cstheme="minorHAnsi"/>
                <w:b/>
                <w:sz w:val="20"/>
                <w:szCs w:val="20"/>
              </w:rPr>
              <w:t>30 June</w:t>
            </w:r>
            <w:r w:rsidRPr="00BB3C18">
              <w:rPr>
                <w:rFonts w:asciiTheme="minorHAnsi" w:hAnsiTheme="minorHAnsi" w:cstheme="minorHAnsi"/>
                <w:b/>
                <w:sz w:val="20"/>
                <w:szCs w:val="20"/>
              </w:rPr>
              <w:br/>
              <w:t>20</w:t>
            </w:r>
            <w:r>
              <w:rPr>
                <w:rFonts w:asciiTheme="minorHAnsi" w:hAnsiTheme="minorHAnsi" w:cstheme="minorHAnsi"/>
                <w:b/>
                <w:sz w:val="20"/>
                <w:szCs w:val="20"/>
              </w:rPr>
              <w:t>22</w:t>
            </w:r>
            <w:r w:rsidRPr="00BB3C18">
              <w:rPr>
                <w:rFonts w:asciiTheme="minorHAnsi" w:hAnsiTheme="minorHAnsi" w:cstheme="minorHAnsi"/>
                <w:b/>
                <w:sz w:val="20"/>
                <w:szCs w:val="20"/>
              </w:rPr>
              <w:br/>
              <w:t>£</w:t>
            </w:r>
          </w:p>
        </w:tc>
        <w:tc>
          <w:tcPr>
            <w:tcW w:w="283" w:type="dxa"/>
            <w:vAlign w:val="bottom"/>
          </w:tcPr>
          <w:p w14:paraId="567E6B39" w14:textId="77777777" w:rsidR="00F92330" w:rsidRPr="00BB3C18" w:rsidRDefault="00F92330" w:rsidP="00F92330">
            <w:pPr>
              <w:spacing w:line="276" w:lineRule="auto"/>
              <w:jc w:val="right"/>
              <w:rPr>
                <w:rFonts w:asciiTheme="minorHAnsi" w:hAnsiTheme="minorHAnsi" w:cstheme="minorHAnsi"/>
                <w:b/>
                <w:sz w:val="20"/>
                <w:szCs w:val="20"/>
              </w:rPr>
            </w:pPr>
          </w:p>
        </w:tc>
        <w:tc>
          <w:tcPr>
            <w:tcW w:w="1418" w:type="dxa"/>
            <w:vAlign w:val="bottom"/>
          </w:tcPr>
          <w:p w14:paraId="4AE45FB8" w14:textId="77777777" w:rsidR="00F92330" w:rsidRPr="00BB3C18" w:rsidRDefault="00F92330" w:rsidP="00F92330">
            <w:pPr>
              <w:spacing w:line="276" w:lineRule="auto"/>
              <w:jc w:val="right"/>
              <w:rPr>
                <w:rFonts w:asciiTheme="minorHAnsi" w:hAnsiTheme="minorHAnsi" w:cstheme="minorHAnsi"/>
                <w:b/>
                <w:sz w:val="20"/>
                <w:szCs w:val="20"/>
              </w:rPr>
            </w:pPr>
            <w:r w:rsidRPr="00BB3C18">
              <w:rPr>
                <w:rFonts w:asciiTheme="minorHAnsi" w:hAnsiTheme="minorHAnsi" w:cstheme="minorHAnsi"/>
                <w:b/>
                <w:sz w:val="20"/>
                <w:szCs w:val="20"/>
              </w:rPr>
              <w:t>3</w:t>
            </w:r>
            <w:r>
              <w:rPr>
                <w:rFonts w:asciiTheme="minorHAnsi" w:hAnsiTheme="minorHAnsi" w:cstheme="minorHAnsi"/>
                <w:b/>
                <w:sz w:val="20"/>
                <w:szCs w:val="20"/>
              </w:rPr>
              <w:t>0 June</w:t>
            </w:r>
            <w:r w:rsidRPr="00BB3C18">
              <w:rPr>
                <w:rFonts w:asciiTheme="minorHAnsi" w:hAnsiTheme="minorHAnsi" w:cstheme="minorHAnsi"/>
                <w:b/>
                <w:sz w:val="20"/>
                <w:szCs w:val="20"/>
              </w:rPr>
              <w:br/>
              <w:t>20</w:t>
            </w:r>
            <w:r>
              <w:rPr>
                <w:rFonts w:asciiTheme="minorHAnsi" w:hAnsiTheme="minorHAnsi" w:cstheme="minorHAnsi"/>
                <w:b/>
                <w:sz w:val="20"/>
                <w:szCs w:val="20"/>
              </w:rPr>
              <w:t>21</w:t>
            </w:r>
            <w:r w:rsidRPr="00BB3C18">
              <w:rPr>
                <w:rFonts w:asciiTheme="minorHAnsi" w:hAnsiTheme="minorHAnsi" w:cstheme="minorHAnsi"/>
                <w:b/>
                <w:sz w:val="20"/>
                <w:szCs w:val="20"/>
              </w:rPr>
              <w:br/>
              <w:t>£</w:t>
            </w:r>
          </w:p>
        </w:tc>
      </w:tr>
      <w:tr w:rsidR="00997FB6" w:rsidRPr="00BB3C18" w14:paraId="2A96AB60" w14:textId="77777777" w:rsidTr="00DA613B">
        <w:tc>
          <w:tcPr>
            <w:tcW w:w="6204" w:type="dxa"/>
            <w:gridSpan w:val="5"/>
          </w:tcPr>
          <w:p w14:paraId="30A2E0C3" w14:textId="77777777" w:rsidR="00997FB6" w:rsidRDefault="00997FB6" w:rsidP="00F92330">
            <w:pPr>
              <w:spacing w:line="276" w:lineRule="auto"/>
              <w:rPr>
                <w:rFonts w:asciiTheme="minorHAnsi" w:hAnsiTheme="minorHAnsi" w:cstheme="minorHAnsi"/>
                <w:b/>
                <w:sz w:val="20"/>
                <w:szCs w:val="20"/>
              </w:rPr>
            </w:pPr>
          </w:p>
        </w:tc>
        <w:tc>
          <w:tcPr>
            <w:tcW w:w="708" w:type="dxa"/>
          </w:tcPr>
          <w:p w14:paraId="73957393" w14:textId="77777777" w:rsidR="00997FB6" w:rsidRPr="007B6961" w:rsidRDefault="00997FB6" w:rsidP="00F92330">
            <w:pPr>
              <w:spacing w:line="276" w:lineRule="auto"/>
              <w:jc w:val="center"/>
              <w:rPr>
                <w:rFonts w:asciiTheme="minorHAnsi" w:hAnsiTheme="minorHAnsi" w:cstheme="minorHAnsi"/>
                <w:sz w:val="20"/>
                <w:szCs w:val="20"/>
              </w:rPr>
            </w:pPr>
          </w:p>
        </w:tc>
        <w:tc>
          <w:tcPr>
            <w:tcW w:w="426" w:type="dxa"/>
          </w:tcPr>
          <w:p w14:paraId="477FCD55" w14:textId="77777777" w:rsidR="00997FB6" w:rsidRPr="007B6961" w:rsidRDefault="00997FB6" w:rsidP="00F92330">
            <w:pPr>
              <w:spacing w:line="276" w:lineRule="auto"/>
              <w:jc w:val="right"/>
              <w:rPr>
                <w:rFonts w:asciiTheme="minorHAnsi" w:hAnsiTheme="minorHAnsi" w:cstheme="minorHAnsi"/>
                <w:sz w:val="20"/>
                <w:szCs w:val="20"/>
              </w:rPr>
            </w:pPr>
          </w:p>
        </w:tc>
        <w:tc>
          <w:tcPr>
            <w:tcW w:w="1559" w:type="dxa"/>
          </w:tcPr>
          <w:p w14:paraId="0CF50455" w14:textId="77777777" w:rsidR="00997FB6" w:rsidRPr="000B4E51" w:rsidRDefault="00997FB6" w:rsidP="00F92330">
            <w:pPr>
              <w:spacing w:line="276" w:lineRule="auto"/>
              <w:ind w:right="-68"/>
              <w:jc w:val="right"/>
              <w:rPr>
                <w:rFonts w:asciiTheme="minorHAnsi" w:hAnsiTheme="minorHAnsi" w:cstheme="minorHAnsi"/>
                <w:b/>
                <w:sz w:val="20"/>
                <w:szCs w:val="20"/>
                <w:highlight w:val="yellow"/>
              </w:rPr>
            </w:pPr>
          </w:p>
        </w:tc>
        <w:tc>
          <w:tcPr>
            <w:tcW w:w="283" w:type="dxa"/>
          </w:tcPr>
          <w:p w14:paraId="2EB3EB2D" w14:textId="77777777" w:rsidR="00997FB6" w:rsidRPr="00BB3C18" w:rsidRDefault="00997FB6" w:rsidP="00F92330">
            <w:pPr>
              <w:spacing w:line="276" w:lineRule="auto"/>
              <w:jc w:val="right"/>
              <w:rPr>
                <w:rFonts w:asciiTheme="minorHAnsi" w:hAnsiTheme="minorHAnsi" w:cstheme="minorHAnsi"/>
                <w:sz w:val="20"/>
                <w:szCs w:val="20"/>
              </w:rPr>
            </w:pPr>
          </w:p>
        </w:tc>
        <w:tc>
          <w:tcPr>
            <w:tcW w:w="1418" w:type="dxa"/>
          </w:tcPr>
          <w:p w14:paraId="4751DCF6" w14:textId="77777777" w:rsidR="00997FB6" w:rsidRPr="0014672E" w:rsidRDefault="00997FB6" w:rsidP="00F92330">
            <w:pPr>
              <w:spacing w:line="276" w:lineRule="auto"/>
              <w:jc w:val="right"/>
              <w:rPr>
                <w:rFonts w:asciiTheme="minorHAnsi" w:hAnsiTheme="minorHAnsi" w:cstheme="minorHAnsi"/>
                <w:bCs/>
                <w:sz w:val="20"/>
                <w:szCs w:val="20"/>
              </w:rPr>
            </w:pPr>
          </w:p>
        </w:tc>
      </w:tr>
      <w:tr w:rsidR="00997FB6" w:rsidRPr="00BB3C18" w14:paraId="163D0220" w14:textId="77777777" w:rsidTr="00DA613B">
        <w:tc>
          <w:tcPr>
            <w:tcW w:w="6204" w:type="dxa"/>
            <w:gridSpan w:val="5"/>
          </w:tcPr>
          <w:p w14:paraId="6F173B1B" w14:textId="31B0200C" w:rsidR="00997FB6" w:rsidRDefault="00B33F58" w:rsidP="00F92330">
            <w:pPr>
              <w:spacing w:line="276" w:lineRule="auto"/>
              <w:rPr>
                <w:rFonts w:asciiTheme="minorHAnsi" w:hAnsiTheme="minorHAnsi" w:cstheme="minorHAnsi"/>
                <w:b/>
                <w:sz w:val="20"/>
                <w:szCs w:val="20"/>
              </w:rPr>
            </w:pPr>
            <w:r>
              <w:rPr>
                <w:rFonts w:asciiTheme="minorHAnsi" w:hAnsiTheme="minorHAnsi" w:cstheme="minorHAnsi"/>
                <w:b/>
                <w:sz w:val="20"/>
                <w:szCs w:val="20"/>
              </w:rPr>
              <w:t>Non-current assets</w:t>
            </w:r>
          </w:p>
        </w:tc>
        <w:tc>
          <w:tcPr>
            <w:tcW w:w="708" w:type="dxa"/>
          </w:tcPr>
          <w:p w14:paraId="69437E88" w14:textId="77777777" w:rsidR="00997FB6" w:rsidRPr="007B6961" w:rsidRDefault="00997FB6" w:rsidP="00F92330">
            <w:pPr>
              <w:spacing w:line="276" w:lineRule="auto"/>
              <w:jc w:val="center"/>
              <w:rPr>
                <w:rFonts w:asciiTheme="minorHAnsi" w:hAnsiTheme="minorHAnsi" w:cstheme="minorHAnsi"/>
                <w:sz w:val="20"/>
                <w:szCs w:val="20"/>
              </w:rPr>
            </w:pPr>
          </w:p>
        </w:tc>
        <w:tc>
          <w:tcPr>
            <w:tcW w:w="426" w:type="dxa"/>
          </w:tcPr>
          <w:p w14:paraId="5D5A0DD5" w14:textId="77777777" w:rsidR="00997FB6" w:rsidRPr="007B6961" w:rsidRDefault="00997FB6" w:rsidP="00F92330">
            <w:pPr>
              <w:spacing w:line="276" w:lineRule="auto"/>
              <w:jc w:val="right"/>
              <w:rPr>
                <w:rFonts w:asciiTheme="minorHAnsi" w:hAnsiTheme="minorHAnsi" w:cstheme="minorHAnsi"/>
                <w:sz w:val="20"/>
                <w:szCs w:val="20"/>
              </w:rPr>
            </w:pPr>
          </w:p>
        </w:tc>
        <w:tc>
          <w:tcPr>
            <w:tcW w:w="1559" w:type="dxa"/>
          </w:tcPr>
          <w:p w14:paraId="62D189D4" w14:textId="77777777" w:rsidR="00997FB6" w:rsidRPr="000B4E51" w:rsidRDefault="00997FB6" w:rsidP="00F92330">
            <w:pPr>
              <w:spacing w:line="276" w:lineRule="auto"/>
              <w:ind w:right="-68"/>
              <w:jc w:val="right"/>
              <w:rPr>
                <w:rFonts w:asciiTheme="minorHAnsi" w:hAnsiTheme="minorHAnsi" w:cstheme="minorHAnsi"/>
                <w:b/>
                <w:sz w:val="20"/>
                <w:szCs w:val="20"/>
                <w:highlight w:val="yellow"/>
              </w:rPr>
            </w:pPr>
          </w:p>
        </w:tc>
        <w:tc>
          <w:tcPr>
            <w:tcW w:w="283" w:type="dxa"/>
          </w:tcPr>
          <w:p w14:paraId="1BA187F9" w14:textId="77777777" w:rsidR="00997FB6" w:rsidRPr="00BB3C18" w:rsidRDefault="00997FB6" w:rsidP="00F92330">
            <w:pPr>
              <w:spacing w:line="276" w:lineRule="auto"/>
              <w:jc w:val="right"/>
              <w:rPr>
                <w:rFonts w:asciiTheme="minorHAnsi" w:hAnsiTheme="minorHAnsi" w:cstheme="minorHAnsi"/>
                <w:sz w:val="20"/>
                <w:szCs w:val="20"/>
              </w:rPr>
            </w:pPr>
          </w:p>
        </w:tc>
        <w:tc>
          <w:tcPr>
            <w:tcW w:w="1418" w:type="dxa"/>
          </w:tcPr>
          <w:p w14:paraId="1EEA1BE6" w14:textId="77777777" w:rsidR="00997FB6" w:rsidRPr="0014672E" w:rsidRDefault="00997FB6" w:rsidP="00F92330">
            <w:pPr>
              <w:spacing w:line="276" w:lineRule="auto"/>
              <w:jc w:val="right"/>
              <w:rPr>
                <w:rFonts w:asciiTheme="minorHAnsi" w:hAnsiTheme="minorHAnsi" w:cstheme="minorHAnsi"/>
                <w:bCs/>
                <w:sz w:val="20"/>
                <w:szCs w:val="20"/>
              </w:rPr>
            </w:pPr>
          </w:p>
        </w:tc>
      </w:tr>
      <w:tr w:rsidR="00641E9A" w:rsidRPr="00BB3C18" w14:paraId="52405C0D" w14:textId="77777777" w:rsidTr="00641E9A">
        <w:tc>
          <w:tcPr>
            <w:tcW w:w="6204" w:type="dxa"/>
            <w:gridSpan w:val="5"/>
          </w:tcPr>
          <w:p w14:paraId="17A83709" w14:textId="29F1F100" w:rsidR="00641E9A" w:rsidRPr="00B85B0A" w:rsidRDefault="00641E9A" w:rsidP="00997FB6">
            <w:pPr>
              <w:spacing w:line="276" w:lineRule="auto"/>
              <w:rPr>
                <w:rFonts w:asciiTheme="minorHAnsi" w:hAnsiTheme="minorHAnsi" w:cstheme="minorHAnsi"/>
                <w:bCs/>
                <w:sz w:val="20"/>
                <w:szCs w:val="20"/>
              </w:rPr>
            </w:pPr>
            <w:r w:rsidRPr="00B85B0A">
              <w:rPr>
                <w:rFonts w:asciiTheme="minorHAnsi" w:hAnsiTheme="minorHAnsi" w:cstheme="minorHAnsi"/>
                <w:bCs/>
                <w:sz w:val="20"/>
                <w:szCs w:val="20"/>
              </w:rPr>
              <w:t>Investments</w:t>
            </w:r>
          </w:p>
        </w:tc>
        <w:tc>
          <w:tcPr>
            <w:tcW w:w="708" w:type="dxa"/>
          </w:tcPr>
          <w:p w14:paraId="2B54092C" w14:textId="33E6CA1D" w:rsidR="00641E9A" w:rsidRPr="007B6961" w:rsidRDefault="00E3408B" w:rsidP="00997FB6">
            <w:pPr>
              <w:spacing w:line="27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426" w:type="dxa"/>
          </w:tcPr>
          <w:p w14:paraId="51F0999A" w14:textId="77777777" w:rsidR="00641E9A" w:rsidRPr="007B6961" w:rsidRDefault="00641E9A" w:rsidP="00997FB6">
            <w:pPr>
              <w:spacing w:line="276" w:lineRule="auto"/>
              <w:jc w:val="right"/>
              <w:rPr>
                <w:rFonts w:asciiTheme="minorHAnsi" w:hAnsiTheme="minorHAnsi" w:cstheme="minorHAnsi"/>
                <w:sz w:val="20"/>
                <w:szCs w:val="20"/>
              </w:rPr>
            </w:pPr>
          </w:p>
        </w:tc>
        <w:tc>
          <w:tcPr>
            <w:tcW w:w="1559" w:type="dxa"/>
            <w:tcBorders>
              <w:bottom w:val="single" w:sz="4" w:space="0" w:color="auto"/>
            </w:tcBorders>
          </w:tcPr>
          <w:p w14:paraId="164180C4" w14:textId="41B7609F" w:rsidR="00641E9A" w:rsidRPr="00997FB6" w:rsidRDefault="00641E9A"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2</w:t>
            </w:r>
          </w:p>
        </w:tc>
        <w:tc>
          <w:tcPr>
            <w:tcW w:w="283" w:type="dxa"/>
          </w:tcPr>
          <w:p w14:paraId="69F58E2E" w14:textId="77777777" w:rsidR="00641E9A" w:rsidRPr="00997FB6" w:rsidRDefault="00641E9A" w:rsidP="00997FB6">
            <w:pPr>
              <w:spacing w:line="276" w:lineRule="auto"/>
              <w:jc w:val="right"/>
              <w:rPr>
                <w:rFonts w:asciiTheme="minorHAnsi" w:hAnsiTheme="minorHAnsi" w:cstheme="minorHAnsi"/>
                <w:sz w:val="20"/>
                <w:szCs w:val="20"/>
              </w:rPr>
            </w:pPr>
          </w:p>
        </w:tc>
        <w:tc>
          <w:tcPr>
            <w:tcW w:w="1418" w:type="dxa"/>
            <w:tcBorders>
              <w:bottom w:val="single" w:sz="4" w:space="0" w:color="auto"/>
            </w:tcBorders>
          </w:tcPr>
          <w:p w14:paraId="0C5C76A5" w14:textId="33028283" w:rsidR="00641E9A" w:rsidRPr="0014672E" w:rsidRDefault="00641E9A" w:rsidP="00997FB6">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2</w:t>
            </w:r>
          </w:p>
        </w:tc>
      </w:tr>
      <w:tr w:rsidR="00641E9A" w:rsidRPr="00BB3C18" w14:paraId="40431771" w14:textId="77777777" w:rsidTr="00641E9A">
        <w:tc>
          <w:tcPr>
            <w:tcW w:w="6204" w:type="dxa"/>
            <w:gridSpan w:val="5"/>
          </w:tcPr>
          <w:p w14:paraId="6094572F" w14:textId="15547046" w:rsidR="00641E9A" w:rsidRPr="00BB3C18" w:rsidRDefault="00641E9A" w:rsidP="00997FB6">
            <w:pPr>
              <w:spacing w:line="276" w:lineRule="auto"/>
              <w:rPr>
                <w:rFonts w:asciiTheme="minorHAnsi" w:hAnsiTheme="minorHAnsi" w:cstheme="minorHAnsi"/>
                <w:b/>
                <w:sz w:val="20"/>
                <w:szCs w:val="20"/>
              </w:rPr>
            </w:pPr>
            <w:r>
              <w:rPr>
                <w:rFonts w:asciiTheme="minorHAnsi" w:hAnsiTheme="minorHAnsi" w:cstheme="minorHAnsi"/>
                <w:b/>
                <w:sz w:val="20"/>
                <w:szCs w:val="20"/>
              </w:rPr>
              <w:t>Non-current assets</w:t>
            </w:r>
          </w:p>
        </w:tc>
        <w:tc>
          <w:tcPr>
            <w:tcW w:w="708" w:type="dxa"/>
          </w:tcPr>
          <w:p w14:paraId="35E1A1B5" w14:textId="77777777" w:rsidR="00641E9A" w:rsidRPr="007B6961" w:rsidRDefault="00641E9A" w:rsidP="00997FB6">
            <w:pPr>
              <w:spacing w:line="276" w:lineRule="auto"/>
              <w:jc w:val="center"/>
              <w:rPr>
                <w:rFonts w:asciiTheme="minorHAnsi" w:hAnsiTheme="minorHAnsi" w:cstheme="minorHAnsi"/>
                <w:sz w:val="20"/>
                <w:szCs w:val="20"/>
              </w:rPr>
            </w:pPr>
          </w:p>
        </w:tc>
        <w:tc>
          <w:tcPr>
            <w:tcW w:w="426" w:type="dxa"/>
          </w:tcPr>
          <w:p w14:paraId="2C056B5B" w14:textId="77777777" w:rsidR="00641E9A" w:rsidRPr="007B6961" w:rsidRDefault="00641E9A" w:rsidP="00997FB6">
            <w:pPr>
              <w:spacing w:line="276" w:lineRule="auto"/>
              <w:jc w:val="right"/>
              <w:rPr>
                <w:rFonts w:asciiTheme="minorHAnsi" w:hAnsiTheme="minorHAnsi" w:cstheme="minorHAnsi"/>
                <w:sz w:val="20"/>
                <w:szCs w:val="20"/>
              </w:rPr>
            </w:pPr>
          </w:p>
        </w:tc>
        <w:tc>
          <w:tcPr>
            <w:tcW w:w="1559" w:type="dxa"/>
            <w:tcBorders>
              <w:top w:val="single" w:sz="4" w:space="0" w:color="auto"/>
              <w:bottom w:val="single" w:sz="4" w:space="0" w:color="auto"/>
            </w:tcBorders>
          </w:tcPr>
          <w:p w14:paraId="66F44A4A" w14:textId="6CF2EFAB" w:rsidR="00641E9A" w:rsidRPr="00997FB6" w:rsidRDefault="00802FA9"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2</w:t>
            </w:r>
          </w:p>
        </w:tc>
        <w:tc>
          <w:tcPr>
            <w:tcW w:w="283" w:type="dxa"/>
          </w:tcPr>
          <w:p w14:paraId="44D2D69E" w14:textId="77777777" w:rsidR="00641E9A" w:rsidRPr="00997FB6" w:rsidRDefault="00641E9A" w:rsidP="00997FB6">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67804E27" w14:textId="495E599B" w:rsidR="00641E9A" w:rsidRPr="0014672E" w:rsidRDefault="00E3408B" w:rsidP="00997FB6">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2</w:t>
            </w:r>
          </w:p>
        </w:tc>
      </w:tr>
      <w:tr w:rsidR="00997FB6" w:rsidRPr="00BB3C18" w14:paraId="7756E8B7" w14:textId="77777777" w:rsidTr="00641E9A">
        <w:tc>
          <w:tcPr>
            <w:tcW w:w="6204" w:type="dxa"/>
            <w:gridSpan w:val="5"/>
          </w:tcPr>
          <w:p w14:paraId="1F70EC01" w14:textId="77777777" w:rsidR="00997FB6" w:rsidRPr="00BB3C18" w:rsidRDefault="00997FB6" w:rsidP="00997FB6">
            <w:pPr>
              <w:spacing w:line="276" w:lineRule="auto"/>
              <w:rPr>
                <w:rFonts w:asciiTheme="minorHAnsi" w:hAnsiTheme="minorHAnsi" w:cstheme="minorHAnsi"/>
                <w:b/>
                <w:sz w:val="20"/>
                <w:szCs w:val="20"/>
              </w:rPr>
            </w:pPr>
          </w:p>
          <w:p w14:paraId="4911B0E6" w14:textId="41E97B3A" w:rsidR="00997FB6" w:rsidRPr="005859AD" w:rsidRDefault="00997FB6" w:rsidP="00997FB6">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Current assets</w:t>
            </w:r>
          </w:p>
        </w:tc>
        <w:tc>
          <w:tcPr>
            <w:tcW w:w="708" w:type="dxa"/>
          </w:tcPr>
          <w:p w14:paraId="46BC3E06"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3EA4372F"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tcBorders>
          </w:tcPr>
          <w:p w14:paraId="3CE5D918" w14:textId="41A4AC4B" w:rsidR="00997FB6" w:rsidRPr="00997FB6" w:rsidRDefault="00997FB6" w:rsidP="00997FB6">
            <w:pPr>
              <w:spacing w:line="276" w:lineRule="auto"/>
              <w:ind w:right="-68"/>
              <w:jc w:val="right"/>
              <w:rPr>
                <w:rFonts w:asciiTheme="minorHAnsi" w:hAnsiTheme="minorHAnsi" w:cstheme="minorHAnsi"/>
                <w:b/>
                <w:sz w:val="20"/>
                <w:szCs w:val="20"/>
              </w:rPr>
            </w:pPr>
          </w:p>
        </w:tc>
        <w:tc>
          <w:tcPr>
            <w:tcW w:w="283" w:type="dxa"/>
          </w:tcPr>
          <w:p w14:paraId="58C65172" w14:textId="7C32BAB4" w:rsidR="00997FB6" w:rsidRPr="00997FB6"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tcBorders>
          </w:tcPr>
          <w:p w14:paraId="4B2F798D" w14:textId="657298C7" w:rsidR="00997FB6" w:rsidRPr="0014672E" w:rsidRDefault="00997FB6" w:rsidP="00997FB6">
            <w:pPr>
              <w:spacing w:line="276" w:lineRule="auto"/>
              <w:jc w:val="right"/>
              <w:rPr>
                <w:rFonts w:asciiTheme="minorHAnsi" w:hAnsiTheme="minorHAnsi" w:cstheme="minorHAnsi"/>
                <w:bCs/>
                <w:sz w:val="20"/>
                <w:szCs w:val="20"/>
              </w:rPr>
            </w:pPr>
          </w:p>
        </w:tc>
      </w:tr>
      <w:tr w:rsidR="00997FB6" w:rsidRPr="00BB3C18" w14:paraId="4905A68D" w14:textId="77777777" w:rsidTr="00F92330">
        <w:tc>
          <w:tcPr>
            <w:tcW w:w="6204" w:type="dxa"/>
            <w:gridSpan w:val="5"/>
          </w:tcPr>
          <w:p w14:paraId="5C2AB428" w14:textId="77777777" w:rsidR="00997FB6" w:rsidRPr="005859AD" w:rsidRDefault="00997FB6" w:rsidP="00997FB6">
            <w:pPr>
              <w:spacing w:line="276" w:lineRule="auto"/>
              <w:rPr>
                <w:rFonts w:asciiTheme="minorHAnsi" w:hAnsiTheme="minorHAnsi" w:cstheme="minorHAnsi"/>
                <w:bCs/>
                <w:sz w:val="20"/>
                <w:szCs w:val="20"/>
              </w:rPr>
            </w:pPr>
            <w:r w:rsidRPr="005859AD">
              <w:rPr>
                <w:rFonts w:asciiTheme="minorHAnsi" w:hAnsiTheme="minorHAnsi" w:cstheme="minorHAnsi"/>
                <w:bCs/>
                <w:sz w:val="20"/>
                <w:szCs w:val="20"/>
              </w:rPr>
              <w:t xml:space="preserve">Trade and other receivables </w:t>
            </w:r>
          </w:p>
        </w:tc>
        <w:tc>
          <w:tcPr>
            <w:tcW w:w="708" w:type="dxa"/>
          </w:tcPr>
          <w:p w14:paraId="6D4E5026" w14:textId="565F4115" w:rsidR="00997FB6" w:rsidRPr="007B6961" w:rsidRDefault="00997FB6" w:rsidP="00997FB6">
            <w:pPr>
              <w:spacing w:line="276" w:lineRule="auto"/>
              <w:jc w:val="center"/>
              <w:rPr>
                <w:rFonts w:asciiTheme="minorHAnsi" w:hAnsiTheme="minorHAnsi" w:cstheme="minorHAnsi"/>
                <w:sz w:val="20"/>
                <w:szCs w:val="20"/>
              </w:rPr>
            </w:pPr>
            <w:r w:rsidRPr="007B6961">
              <w:rPr>
                <w:rFonts w:asciiTheme="minorHAnsi" w:hAnsiTheme="minorHAnsi" w:cstheme="minorHAnsi"/>
                <w:sz w:val="20"/>
                <w:szCs w:val="20"/>
              </w:rPr>
              <w:t>1</w:t>
            </w:r>
            <w:r w:rsidR="00E3408B">
              <w:rPr>
                <w:rFonts w:asciiTheme="minorHAnsi" w:hAnsiTheme="minorHAnsi" w:cstheme="minorHAnsi"/>
                <w:sz w:val="20"/>
                <w:szCs w:val="20"/>
              </w:rPr>
              <w:t>1</w:t>
            </w:r>
          </w:p>
        </w:tc>
        <w:tc>
          <w:tcPr>
            <w:tcW w:w="426" w:type="dxa"/>
          </w:tcPr>
          <w:p w14:paraId="7065B80A"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Pr>
          <w:p w14:paraId="095249C1" w14:textId="5F93BF82" w:rsidR="00997FB6" w:rsidRPr="00EC35D6" w:rsidRDefault="00997FB6" w:rsidP="00997FB6">
            <w:pPr>
              <w:tabs>
                <w:tab w:val="center" w:pos="705"/>
                <w:tab w:val="right" w:pos="1411"/>
              </w:tabs>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w:t>
            </w:r>
          </w:p>
        </w:tc>
        <w:tc>
          <w:tcPr>
            <w:tcW w:w="283" w:type="dxa"/>
          </w:tcPr>
          <w:p w14:paraId="34E416CE"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Pr>
          <w:p w14:paraId="2D4B9E53"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400,795</w:t>
            </w:r>
          </w:p>
        </w:tc>
      </w:tr>
      <w:tr w:rsidR="00997FB6" w:rsidRPr="00BB3C18" w14:paraId="5AA0BA4C" w14:textId="77777777" w:rsidTr="00F92330">
        <w:tc>
          <w:tcPr>
            <w:tcW w:w="6204" w:type="dxa"/>
            <w:gridSpan w:val="5"/>
          </w:tcPr>
          <w:p w14:paraId="78D3453D" w14:textId="77777777" w:rsidR="00997FB6" w:rsidRPr="005859AD" w:rsidRDefault="00997FB6" w:rsidP="00997FB6">
            <w:pPr>
              <w:spacing w:line="276" w:lineRule="auto"/>
              <w:rPr>
                <w:rFonts w:asciiTheme="minorHAnsi" w:hAnsiTheme="minorHAnsi" w:cstheme="minorHAnsi"/>
                <w:bCs/>
                <w:sz w:val="20"/>
                <w:szCs w:val="20"/>
              </w:rPr>
            </w:pPr>
            <w:r w:rsidRPr="005859AD">
              <w:rPr>
                <w:rFonts w:asciiTheme="minorHAnsi" w:hAnsiTheme="minorHAnsi" w:cstheme="minorHAnsi"/>
                <w:bCs/>
                <w:sz w:val="20"/>
                <w:szCs w:val="20"/>
              </w:rPr>
              <w:t>Cash and cash equivalents</w:t>
            </w:r>
          </w:p>
        </w:tc>
        <w:tc>
          <w:tcPr>
            <w:tcW w:w="708" w:type="dxa"/>
          </w:tcPr>
          <w:p w14:paraId="5C142314" w14:textId="73027417" w:rsidR="00997FB6" w:rsidRPr="007B6961" w:rsidRDefault="00997FB6" w:rsidP="00997FB6">
            <w:pPr>
              <w:spacing w:line="276" w:lineRule="auto"/>
              <w:jc w:val="center"/>
              <w:rPr>
                <w:rFonts w:asciiTheme="minorHAnsi" w:hAnsiTheme="minorHAnsi" w:cstheme="minorHAnsi"/>
                <w:sz w:val="20"/>
                <w:szCs w:val="20"/>
              </w:rPr>
            </w:pPr>
            <w:r w:rsidRPr="007B6961">
              <w:rPr>
                <w:rFonts w:asciiTheme="minorHAnsi" w:hAnsiTheme="minorHAnsi" w:cstheme="minorHAnsi"/>
                <w:sz w:val="20"/>
                <w:szCs w:val="20"/>
              </w:rPr>
              <w:t>1</w:t>
            </w:r>
            <w:r w:rsidR="00E3408B">
              <w:rPr>
                <w:rFonts w:asciiTheme="minorHAnsi" w:hAnsiTheme="minorHAnsi" w:cstheme="minorHAnsi"/>
                <w:sz w:val="20"/>
                <w:szCs w:val="20"/>
              </w:rPr>
              <w:t>2</w:t>
            </w:r>
          </w:p>
        </w:tc>
        <w:tc>
          <w:tcPr>
            <w:tcW w:w="426" w:type="dxa"/>
          </w:tcPr>
          <w:p w14:paraId="0B92A217"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bottom w:val="single" w:sz="4" w:space="0" w:color="auto"/>
            </w:tcBorders>
          </w:tcPr>
          <w:p w14:paraId="13610E72" w14:textId="5E7C227E" w:rsidR="00997FB6" w:rsidRPr="00EC35D6" w:rsidRDefault="00997FB6"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w:t>
            </w:r>
          </w:p>
        </w:tc>
        <w:tc>
          <w:tcPr>
            <w:tcW w:w="283" w:type="dxa"/>
          </w:tcPr>
          <w:p w14:paraId="0D73E6D6"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bottom w:val="single" w:sz="4" w:space="0" w:color="auto"/>
            </w:tcBorders>
          </w:tcPr>
          <w:p w14:paraId="326B54CB"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838</w:t>
            </w:r>
          </w:p>
        </w:tc>
      </w:tr>
      <w:tr w:rsidR="00997FB6" w:rsidRPr="00BB3C18" w14:paraId="67D83465" w14:textId="77777777" w:rsidTr="00F92330">
        <w:tc>
          <w:tcPr>
            <w:tcW w:w="6204" w:type="dxa"/>
            <w:gridSpan w:val="5"/>
          </w:tcPr>
          <w:p w14:paraId="6317EB8B" w14:textId="77777777" w:rsidR="00997FB6" w:rsidRPr="00BB3C18" w:rsidRDefault="00997FB6" w:rsidP="00997FB6">
            <w:pPr>
              <w:spacing w:line="276" w:lineRule="auto"/>
              <w:rPr>
                <w:rFonts w:asciiTheme="minorHAnsi" w:hAnsiTheme="minorHAnsi" w:cstheme="minorHAnsi"/>
                <w:b/>
                <w:sz w:val="20"/>
                <w:szCs w:val="20"/>
              </w:rPr>
            </w:pPr>
          </w:p>
        </w:tc>
        <w:tc>
          <w:tcPr>
            <w:tcW w:w="708" w:type="dxa"/>
          </w:tcPr>
          <w:p w14:paraId="27B42FF4"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46A0722A"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bottom w:val="single" w:sz="4" w:space="0" w:color="auto"/>
            </w:tcBorders>
          </w:tcPr>
          <w:p w14:paraId="14489CE3" w14:textId="656B6603" w:rsidR="00997FB6" w:rsidRPr="00EC35D6" w:rsidRDefault="003B350D"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w:t>
            </w:r>
          </w:p>
        </w:tc>
        <w:tc>
          <w:tcPr>
            <w:tcW w:w="283" w:type="dxa"/>
          </w:tcPr>
          <w:p w14:paraId="40B76BF5"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57B57862"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401,633</w:t>
            </w:r>
          </w:p>
        </w:tc>
      </w:tr>
      <w:tr w:rsidR="00997FB6" w:rsidRPr="00BB3C18" w14:paraId="1E3C5EF6" w14:textId="77777777" w:rsidTr="00F92330">
        <w:tc>
          <w:tcPr>
            <w:tcW w:w="6204" w:type="dxa"/>
            <w:gridSpan w:val="5"/>
          </w:tcPr>
          <w:p w14:paraId="6C5EFD00" w14:textId="77777777" w:rsidR="00997FB6" w:rsidRPr="00BB3C18" w:rsidRDefault="00997FB6" w:rsidP="00997FB6">
            <w:pPr>
              <w:spacing w:line="276" w:lineRule="auto"/>
              <w:rPr>
                <w:rFonts w:asciiTheme="minorHAnsi" w:hAnsiTheme="minorHAnsi" w:cstheme="minorHAnsi"/>
                <w:b/>
                <w:sz w:val="20"/>
                <w:szCs w:val="20"/>
              </w:rPr>
            </w:pPr>
          </w:p>
        </w:tc>
        <w:tc>
          <w:tcPr>
            <w:tcW w:w="708" w:type="dxa"/>
          </w:tcPr>
          <w:p w14:paraId="131CE1F0"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56146E42"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bottom w:val="single" w:sz="4" w:space="0" w:color="auto"/>
            </w:tcBorders>
          </w:tcPr>
          <w:p w14:paraId="68D6AB0C" w14:textId="77777777" w:rsidR="00997FB6" w:rsidRPr="00EC35D6" w:rsidRDefault="00997FB6" w:rsidP="00997FB6">
            <w:pPr>
              <w:spacing w:line="276" w:lineRule="auto"/>
              <w:ind w:right="-68"/>
              <w:jc w:val="right"/>
              <w:rPr>
                <w:rFonts w:asciiTheme="minorHAnsi" w:hAnsiTheme="minorHAnsi" w:cstheme="minorHAnsi"/>
                <w:b/>
                <w:sz w:val="20"/>
                <w:szCs w:val="20"/>
              </w:rPr>
            </w:pPr>
          </w:p>
        </w:tc>
        <w:tc>
          <w:tcPr>
            <w:tcW w:w="283" w:type="dxa"/>
          </w:tcPr>
          <w:p w14:paraId="0E6CD9BB"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00E9A3C5" w14:textId="77777777" w:rsidR="00997FB6" w:rsidRPr="0014672E" w:rsidRDefault="00997FB6" w:rsidP="00997FB6">
            <w:pPr>
              <w:spacing w:line="276" w:lineRule="auto"/>
              <w:ind w:right="-68"/>
              <w:jc w:val="right"/>
              <w:rPr>
                <w:rFonts w:asciiTheme="minorHAnsi" w:hAnsiTheme="minorHAnsi" w:cstheme="minorHAnsi"/>
                <w:bCs/>
                <w:sz w:val="20"/>
                <w:szCs w:val="20"/>
              </w:rPr>
            </w:pPr>
          </w:p>
        </w:tc>
      </w:tr>
      <w:tr w:rsidR="00997FB6" w:rsidRPr="00BB3C18" w14:paraId="11ADB708" w14:textId="77777777" w:rsidTr="00F92330">
        <w:tc>
          <w:tcPr>
            <w:tcW w:w="6204" w:type="dxa"/>
            <w:gridSpan w:val="5"/>
          </w:tcPr>
          <w:p w14:paraId="0D13C529" w14:textId="77777777" w:rsidR="00997FB6" w:rsidRPr="00BB3C18" w:rsidRDefault="00997FB6" w:rsidP="00997FB6">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Total assets</w:t>
            </w:r>
          </w:p>
        </w:tc>
        <w:tc>
          <w:tcPr>
            <w:tcW w:w="708" w:type="dxa"/>
          </w:tcPr>
          <w:p w14:paraId="4A7F60F1"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13B6D1BC"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bottom w:val="double" w:sz="4" w:space="0" w:color="auto"/>
            </w:tcBorders>
          </w:tcPr>
          <w:p w14:paraId="6798E2B9" w14:textId="65663EB2" w:rsidR="00997FB6" w:rsidRPr="00EC35D6" w:rsidRDefault="00802FA9"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2</w:t>
            </w:r>
          </w:p>
        </w:tc>
        <w:tc>
          <w:tcPr>
            <w:tcW w:w="283" w:type="dxa"/>
          </w:tcPr>
          <w:p w14:paraId="6F3ED3B5" w14:textId="77777777" w:rsidR="00997FB6" w:rsidRPr="00BB3C18" w:rsidRDefault="00997FB6" w:rsidP="00997FB6">
            <w:pPr>
              <w:spacing w:line="276" w:lineRule="auto"/>
              <w:jc w:val="right"/>
              <w:rPr>
                <w:rFonts w:asciiTheme="minorHAnsi" w:hAnsiTheme="minorHAnsi" w:cstheme="minorHAnsi"/>
                <w:b/>
                <w:sz w:val="20"/>
                <w:szCs w:val="20"/>
              </w:rPr>
            </w:pPr>
          </w:p>
        </w:tc>
        <w:tc>
          <w:tcPr>
            <w:tcW w:w="1418" w:type="dxa"/>
            <w:tcBorders>
              <w:top w:val="single" w:sz="4" w:space="0" w:color="auto"/>
              <w:bottom w:val="double" w:sz="4" w:space="0" w:color="auto"/>
            </w:tcBorders>
          </w:tcPr>
          <w:p w14:paraId="584CB44C"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401,635</w:t>
            </w:r>
          </w:p>
        </w:tc>
      </w:tr>
      <w:tr w:rsidR="00997FB6" w:rsidRPr="00BB3C18" w14:paraId="7A4AA1E9" w14:textId="77777777" w:rsidTr="00F92330">
        <w:tc>
          <w:tcPr>
            <w:tcW w:w="6204" w:type="dxa"/>
            <w:gridSpan w:val="5"/>
          </w:tcPr>
          <w:p w14:paraId="50536534" w14:textId="77777777" w:rsidR="00997FB6" w:rsidRPr="00BB3C18" w:rsidRDefault="00997FB6" w:rsidP="00997FB6">
            <w:pPr>
              <w:spacing w:line="276" w:lineRule="auto"/>
              <w:rPr>
                <w:rFonts w:asciiTheme="minorHAnsi" w:hAnsiTheme="minorHAnsi" w:cstheme="minorHAnsi"/>
                <w:sz w:val="20"/>
                <w:szCs w:val="20"/>
              </w:rPr>
            </w:pPr>
          </w:p>
        </w:tc>
        <w:tc>
          <w:tcPr>
            <w:tcW w:w="708" w:type="dxa"/>
          </w:tcPr>
          <w:p w14:paraId="2A5E57AE"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0056753F"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top w:val="double" w:sz="4" w:space="0" w:color="auto"/>
            </w:tcBorders>
          </w:tcPr>
          <w:p w14:paraId="0FDCACDC" w14:textId="77777777" w:rsidR="00997FB6" w:rsidRPr="00EC35D6" w:rsidRDefault="00997FB6" w:rsidP="00997FB6">
            <w:pPr>
              <w:spacing w:line="276" w:lineRule="auto"/>
              <w:ind w:right="-68"/>
              <w:jc w:val="right"/>
              <w:rPr>
                <w:rFonts w:asciiTheme="minorHAnsi" w:hAnsiTheme="minorHAnsi" w:cstheme="minorHAnsi"/>
                <w:b/>
                <w:sz w:val="20"/>
                <w:szCs w:val="20"/>
              </w:rPr>
            </w:pPr>
          </w:p>
        </w:tc>
        <w:tc>
          <w:tcPr>
            <w:tcW w:w="283" w:type="dxa"/>
          </w:tcPr>
          <w:p w14:paraId="1FE02587"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double" w:sz="4" w:space="0" w:color="auto"/>
            </w:tcBorders>
          </w:tcPr>
          <w:p w14:paraId="750C7753" w14:textId="77777777" w:rsidR="00997FB6" w:rsidRPr="0014672E" w:rsidRDefault="00997FB6" w:rsidP="00997FB6">
            <w:pPr>
              <w:spacing w:line="276" w:lineRule="auto"/>
              <w:ind w:right="-68"/>
              <w:jc w:val="right"/>
              <w:rPr>
                <w:rFonts w:asciiTheme="minorHAnsi" w:hAnsiTheme="minorHAnsi" w:cstheme="minorHAnsi"/>
                <w:bCs/>
                <w:sz w:val="20"/>
                <w:szCs w:val="20"/>
              </w:rPr>
            </w:pPr>
          </w:p>
        </w:tc>
      </w:tr>
      <w:tr w:rsidR="00997FB6" w:rsidRPr="00BB3C18" w14:paraId="7F35379E" w14:textId="77777777" w:rsidTr="00F92330">
        <w:tc>
          <w:tcPr>
            <w:tcW w:w="6204" w:type="dxa"/>
            <w:gridSpan w:val="5"/>
          </w:tcPr>
          <w:p w14:paraId="1C32641A" w14:textId="77777777" w:rsidR="00997FB6" w:rsidRPr="00BB3C18" w:rsidRDefault="00997FB6" w:rsidP="00997FB6">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Equity</w:t>
            </w:r>
          </w:p>
        </w:tc>
        <w:tc>
          <w:tcPr>
            <w:tcW w:w="708" w:type="dxa"/>
          </w:tcPr>
          <w:p w14:paraId="5437080B"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5E3C7C97"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Pr>
          <w:p w14:paraId="51848A97" w14:textId="77777777" w:rsidR="00997FB6" w:rsidRPr="000B4E51" w:rsidRDefault="00997FB6" w:rsidP="00997FB6">
            <w:pPr>
              <w:spacing w:line="276" w:lineRule="auto"/>
              <w:ind w:right="-68"/>
              <w:jc w:val="right"/>
              <w:rPr>
                <w:rFonts w:asciiTheme="minorHAnsi" w:hAnsiTheme="minorHAnsi" w:cstheme="minorHAnsi"/>
                <w:b/>
                <w:sz w:val="20"/>
                <w:szCs w:val="20"/>
                <w:highlight w:val="yellow"/>
              </w:rPr>
            </w:pPr>
          </w:p>
        </w:tc>
        <w:tc>
          <w:tcPr>
            <w:tcW w:w="283" w:type="dxa"/>
          </w:tcPr>
          <w:p w14:paraId="64C5A59C"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Pr>
          <w:p w14:paraId="0D6F3AF3" w14:textId="77777777" w:rsidR="00997FB6" w:rsidRPr="0014672E" w:rsidRDefault="00997FB6" w:rsidP="00997FB6">
            <w:pPr>
              <w:spacing w:line="276" w:lineRule="auto"/>
              <w:ind w:right="-68"/>
              <w:jc w:val="right"/>
              <w:rPr>
                <w:rFonts w:asciiTheme="minorHAnsi" w:hAnsiTheme="minorHAnsi" w:cstheme="minorHAnsi"/>
                <w:bCs/>
                <w:sz w:val="20"/>
                <w:szCs w:val="20"/>
              </w:rPr>
            </w:pPr>
          </w:p>
        </w:tc>
      </w:tr>
      <w:tr w:rsidR="00997FB6" w:rsidRPr="00BB3C18" w14:paraId="084B14FE" w14:textId="77777777" w:rsidTr="00F92330">
        <w:tc>
          <w:tcPr>
            <w:tcW w:w="6204" w:type="dxa"/>
            <w:gridSpan w:val="5"/>
          </w:tcPr>
          <w:p w14:paraId="56758F8F" w14:textId="7FE5A513" w:rsidR="00997FB6" w:rsidRPr="00BB3C18" w:rsidRDefault="00997FB6" w:rsidP="00997FB6">
            <w:pPr>
              <w:spacing w:line="276" w:lineRule="auto"/>
              <w:rPr>
                <w:rFonts w:asciiTheme="minorHAnsi" w:hAnsiTheme="minorHAnsi" w:cstheme="minorHAnsi"/>
                <w:b/>
                <w:sz w:val="20"/>
                <w:szCs w:val="20"/>
              </w:rPr>
            </w:pPr>
            <w:r w:rsidRPr="00BB3C18">
              <w:rPr>
                <w:rFonts w:asciiTheme="minorHAnsi" w:hAnsiTheme="minorHAnsi" w:cstheme="minorHAnsi"/>
                <w:sz w:val="20"/>
                <w:szCs w:val="20"/>
              </w:rPr>
              <w:t>Share capital</w:t>
            </w:r>
          </w:p>
        </w:tc>
        <w:tc>
          <w:tcPr>
            <w:tcW w:w="708" w:type="dxa"/>
          </w:tcPr>
          <w:p w14:paraId="771150AA" w14:textId="07D29222" w:rsidR="00997FB6" w:rsidRPr="007B6961" w:rsidRDefault="00997FB6" w:rsidP="00997FB6">
            <w:pPr>
              <w:spacing w:line="276" w:lineRule="auto"/>
              <w:jc w:val="center"/>
              <w:rPr>
                <w:rFonts w:asciiTheme="minorHAnsi" w:hAnsiTheme="minorHAnsi" w:cstheme="minorHAnsi"/>
                <w:sz w:val="20"/>
                <w:szCs w:val="20"/>
              </w:rPr>
            </w:pPr>
            <w:r w:rsidRPr="007B6961">
              <w:rPr>
                <w:rFonts w:asciiTheme="minorHAnsi" w:hAnsiTheme="minorHAnsi" w:cstheme="minorHAnsi"/>
                <w:sz w:val="20"/>
                <w:szCs w:val="20"/>
              </w:rPr>
              <w:t>1</w:t>
            </w:r>
            <w:r w:rsidR="00E3408B">
              <w:rPr>
                <w:rFonts w:asciiTheme="minorHAnsi" w:hAnsiTheme="minorHAnsi" w:cstheme="minorHAnsi"/>
                <w:sz w:val="20"/>
                <w:szCs w:val="20"/>
              </w:rPr>
              <w:t>3</w:t>
            </w:r>
          </w:p>
        </w:tc>
        <w:tc>
          <w:tcPr>
            <w:tcW w:w="426" w:type="dxa"/>
          </w:tcPr>
          <w:p w14:paraId="6E50834A"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Pr>
          <w:p w14:paraId="21C99FB3" w14:textId="586DBEE8" w:rsidR="00997FB6" w:rsidRPr="000B4E51" w:rsidRDefault="00997FB6" w:rsidP="00997FB6">
            <w:pPr>
              <w:spacing w:line="276" w:lineRule="auto"/>
              <w:ind w:right="-68"/>
              <w:jc w:val="right"/>
              <w:rPr>
                <w:rFonts w:asciiTheme="minorHAnsi" w:hAnsiTheme="minorHAnsi" w:cstheme="minorHAnsi"/>
                <w:b/>
                <w:sz w:val="20"/>
                <w:szCs w:val="20"/>
                <w:highlight w:val="yellow"/>
              </w:rPr>
            </w:pPr>
            <w:r>
              <w:rPr>
                <w:rFonts w:asciiTheme="minorHAnsi" w:hAnsiTheme="minorHAnsi" w:cstheme="minorHAnsi"/>
                <w:b/>
                <w:sz w:val="20"/>
                <w:szCs w:val="20"/>
              </w:rPr>
              <w:t>4,450,506</w:t>
            </w:r>
          </w:p>
        </w:tc>
        <w:tc>
          <w:tcPr>
            <w:tcW w:w="283" w:type="dxa"/>
          </w:tcPr>
          <w:p w14:paraId="4F006C92"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Pr>
          <w:p w14:paraId="5E51EF02" w14:textId="0541A7A5" w:rsidR="00997FB6" w:rsidRPr="0014672E" w:rsidRDefault="00997FB6" w:rsidP="00997FB6">
            <w:pPr>
              <w:spacing w:line="276" w:lineRule="auto"/>
              <w:ind w:right="-68"/>
              <w:jc w:val="right"/>
              <w:rPr>
                <w:rFonts w:asciiTheme="minorHAnsi" w:hAnsiTheme="minorHAnsi" w:cstheme="minorHAnsi"/>
                <w:bCs/>
                <w:sz w:val="20"/>
                <w:szCs w:val="20"/>
              </w:rPr>
            </w:pPr>
            <w:r w:rsidRPr="0014672E">
              <w:rPr>
                <w:rFonts w:asciiTheme="minorHAnsi" w:hAnsiTheme="minorHAnsi" w:cstheme="minorHAnsi"/>
                <w:bCs/>
                <w:sz w:val="20"/>
                <w:szCs w:val="20"/>
              </w:rPr>
              <w:t>4,</w:t>
            </w:r>
            <w:r>
              <w:rPr>
                <w:rFonts w:asciiTheme="minorHAnsi" w:hAnsiTheme="minorHAnsi" w:cstheme="minorHAnsi"/>
                <w:bCs/>
                <w:sz w:val="20"/>
                <w:szCs w:val="20"/>
              </w:rPr>
              <w:t>450,506</w:t>
            </w:r>
          </w:p>
        </w:tc>
      </w:tr>
      <w:tr w:rsidR="00997FB6" w:rsidRPr="00BB3C18" w14:paraId="0E5DD713" w14:textId="77777777" w:rsidTr="00F92330">
        <w:tc>
          <w:tcPr>
            <w:tcW w:w="6204" w:type="dxa"/>
            <w:gridSpan w:val="5"/>
          </w:tcPr>
          <w:p w14:paraId="37A3A335" w14:textId="3997BD13" w:rsidR="00997FB6" w:rsidRPr="00BB3C18" w:rsidRDefault="00997FB6" w:rsidP="00997FB6">
            <w:pPr>
              <w:spacing w:line="276" w:lineRule="auto"/>
              <w:rPr>
                <w:rFonts w:asciiTheme="minorHAnsi" w:hAnsiTheme="minorHAnsi" w:cstheme="minorHAnsi"/>
                <w:sz w:val="20"/>
                <w:szCs w:val="20"/>
              </w:rPr>
            </w:pPr>
            <w:r w:rsidRPr="00BB3C18">
              <w:rPr>
                <w:rFonts w:asciiTheme="minorHAnsi" w:hAnsiTheme="minorHAnsi" w:cstheme="minorHAnsi"/>
                <w:sz w:val="20"/>
                <w:szCs w:val="20"/>
              </w:rPr>
              <w:t xml:space="preserve">Share premium </w:t>
            </w:r>
          </w:p>
        </w:tc>
        <w:tc>
          <w:tcPr>
            <w:tcW w:w="708" w:type="dxa"/>
          </w:tcPr>
          <w:p w14:paraId="1BB8F702" w14:textId="1DB5CE40" w:rsidR="00997FB6" w:rsidRPr="007B6961" w:rsidRDefault="00997FB6" w:rsidP="00997FB6">
            <w:pPr>
              <w:spacing w:line="276" w:lineRule="auto"/>
              <w:jc w:val="center"/>
              <w:rPr>
                <w:rFonts w:asciiTheme="minorHAnsi" w:hAnsiTheme="minorHAnsi" w:cstheme="minorHAnsi"/>
                <w:sz w:val="20"/>
                <w:szCs w:val="20"/>
              </w:rPr>
            </w:pPr>
            <w:r w:rsidRPr="007B6961">
              <w:rPr>
                <w:rFonts w:asciiTheme="minorHAnsi" w:hAnsiTheme="minorHAnsi" w:cstheme="minorHAnsi"/>
                <w:sz w:val="20"/>
                <w:szCs w:val="20"/>
              </w:rPr>
              <w:t>1</w:t>
            </w:r>
            <w:r w:rsidR="00E3408B">
              <w:rPr>
                <w:rFonts w:asciiTheme="minorHAnsi" w:hAnsiTheme="minorHAnsi" w:cstheme="minorHAnsi"/>
                <w:sz w:val="20"/>
                <w:szCs w:val="20"/>
              </w:rPr>
              <w:t>4</w:t>
            </w:r>
          </w:p>
        </w:tc>
        <w:tc>
          <w:tcPr>
            <w:tcW w:w="426" w:type="dxa"/>
          </w:tcPr>
          <w:p w14:paraId="21E8B788"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Pr>
          <w:p w14:paraId="77D5B1E5" w14:textId="157F8689" w:rsidR="00997FB6" w:rsidRPr="00EC6009" w:rsidRDefault="00997FB6"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7,900,778</w:t>
            </w:r>
          </w:p>
        </w:tc>
        <w:tc>
          <w:tcPr>
            <w:tcW w:w="283" w:type="dxa"/>
          </w:tcPr>
          <w:p w14:paraId="5C16A80F"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Pr>
          <w:p w14:paraId="6C3A29AE" w14:textId="67A2546B"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7,900,778</w:t>
            </w:r>
          </w:p>
        </w:tc>
      </w:tr>
      <w:tr w:rsidR="00997FB6" w:rsidRPr="00BB3C18" w14:paraId="32382DA1" w14:textId="77777777" w:rsidTr="009E4271">
        <w:tc>
          <w:tcPr>
            <w:tcW w:w="6204" w:type="dxa"/>
            <w:gridSpan w:val="5"/>
          </w:tcPr>
          <w:p w14:paraId="4110A5E1" w14:textId="212E5FD8" w:rsidR="00997FB6" w:rsidRPr="00BB3C18" w:rsidRDefault="00997FB6" w:rsidP="00997FB6">
            <w:pPr>
              <w:spacing w:line="276" w:lineRule="auto"/>
              <w:rPr>
                <w:rFonts w:asciiTheme="minorHAnsi" w:hAnsiTheme="minorHAnsi" w:cstheme="minorHAnsi"/>
                <w:sz w:val="20"/>
                <w:szCs w:val="20"/>
              </w:rPr>
            </w:pPr>
            <w:r w:rsidRPr="00BB3C18">
              <w:rPr>
                <w:rFonts w:asciiTheme="minorHAnsi" w:hAnsiTheme="minorHAnsi" w:cstheme="minorHAnsi"/>
                <w:sz w:val="20"/>
                <w:szCs w:val="20"/>
              </w:rPr>
              <w:t xml:space="preserve">Retained deficit </w:t>
            </w:r>
          </w:p>
        </w:tc>
        <w:tc>
          <w:tcPr>
            <w:tcW w:w="708" w:type="dxa"/>
          </w:tcPr>
          <w:p w14:paraId="36B8887F" w14:textId="00E9E78C" w:rsidR="00997FB6" w:rsidRPr="007B6961" w:rsidRDefault="00997FB6" w:rsidP="00997FB6">
            <w:pPr>
              <w:spacing w:line="276" w:lineRule="auto"/>
              <w:jc w:val="center"/>
              <w:rPr>
                <w:rFonts w:asciiTheme="minorHAnsi" w:hAnsiTheme="minorHAnsi" w:cstheme="minorHAnsi"/>
                <w:sz w:val="20"/>
                <w:szCs w:val="20"/>
              </w:rPr>
            </w:pPr>
            <w:r w:rsidRPr="007B6961">
              <w:rPr>
                <w:rFonts w:asciiTheme="minorHAnsi" w:hAnsiTheme="minorHAnsi" w:cstheme="minorHAnsi"/>
                <w:sz w:val="20"/>
                <w:szCs w:val="20"/>
              </w:rPr>
              <w:t>1</w:t>
            </w:r>
            <w:r w:rsidR="00E3408B">
              <w:rPr>
                <w:rFonts w:asciiTheme="minorHAnsi" w:hAnsiTheme="minorHAnsi" w:cstheme="minorHAnsi"/>
                <w:sz w:val="20"/>
                <w:szCs w:val="20"/>
              </w:rPr>
              <w:t>4</w:t>
            </w:r>
          </w:p>
        </w:tc>
        <w:tc>
          <w:tcPr>
            <w:tcW w:w="426" w:type="dxa"/>
          </w:tcPr>
          <w:p w14:paraId="60594F38"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Pr>
          <w:p w14:paraId="5D410470" w14:textId="48895B1B" w:rsidR="00997FB6" w:rsidRPr="00EC6009" w:rsidRDefault="00997FB6" w:rsidP="00997FB6">
            <w:pPr>
              <w:spacing w:line="276" w:lineRule="auto"/>
              <w:ind w:right="-68"/>
              <w:jc w:val="right"/>
              <w:rPr>
                <w:rFonts w:asciiTheme="minorHAnsi" w:hAnsiTheme="minorHAnsi" w:cstheme="minorHAnsi"/>
                <w:b/>
                <w:sz w:val="20"/>
                <w:szCs w:val="20"/>
              </w:rPr>
            </w:pPr>
            <w:r w:rsidRPr="009976C8">
              <w:rPr>
                <w:rFonts w:asciiTheme="minorHAnsi" w:hAnsiTheme="minorHAnsi" w:cstheme="minorHAnsi"/>
                <w:b/>
                <w:sz w:val="20"/>
                <w:szCs w:val="20"/>
              </w:rPr>
              <w:t>(</w:t>
            </w:r>
            <w:r w:rsidR="00E3408B">
              <w:rPr>
                <w:rFonts w:asciiTheme="minorHAnsi" w:hAnsiTheme="minorHAnsi" w:cstheme="minorHAnsi"/>
                <w:b/>
                <w:sz w:val="20"/>
                <w:szCs w:val="20"/>
              </w:rPr>
              <w:t>21,289,34</w:t>
            </w:r>
            <w:r w:rsidR="00802FA9">
              <w:rPr>
                <w:rFonts w:asciiTheme="minorHAnsi" w:hAnsiTheme="minorHAnsi" w:cstheme="minorHAnsi"/>
                <w:b/>
                <w:sz w:val="20"/>
                <w:szCs w:val="20"/>
              </w:rPr>
              <w:t>4</w:t>
            </w:r>
            <w:r w:rsidRPr="009976C8">
              <w:rPr>
                <w:rFonts w:asciiTheme="minorHAnsi" w:hAnsiTheme="minorHAnsi" w:cstheme="minorHAnsi"/>
                <w:b/>
                <w:sz w:val="20"/>
                <w:szCs w:val="20"/>
              </w:rPr>
              <w:t>)</w:t>
            </w:r>
          </w:p>
        </w:tc>
        <w:tc>
          <w:tcPr>
            <w:tcW w:w="283" w:type="dxa"/>
          </w:tcPr>
          <w:p w14:paraId="22542883"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Pr>
          <w:p w14:paraId="11A2EBAE" w14:textId="530CD6CC" w:rsidR="00997FB6" w:rsidRPr="0014672E" w:rsidRDefault="00997FB6" w:rsidP="00997FB6">
            <w:pPr>
              <w:spacing w:line="276" w:lineRule="auto"/>
              <w:ind w:right="-68"/>
              <w:jc w:val="right"/>
              <w:rPr>
                <w:rFonts w:asciiTheme="minorHAnsi" w:hAnsiTheme="minorHAnsi" w:cstheme="minorHAnsi"/>
                <w:bCs/>
                <w:sz w:val="20"/>
                <w:szCs w:val="20"/>
              </w:rPr>
            </w:pPr>
            <w:r w:rsidRPr="0014672E">
              <w:rPr>
                <w:rFonts w:asciiTheme="minorHAnsi" w:hAnsiTheme="minorHAnsi" w:cstheme="minorHAnsi"/>
                <w:bCs/>
                <w:sz w:val="20"/>
                <w:szCs w:val="20"/>
              </w:rPr>
              <w:t>(</w:t>
            </w:r>
            <w:r>
              <w:rPr>
                <w:rFonts w:asciiTheme="minorHAnsi" w:hAnsiTheme="minorHAnsi" w:cstheme="minorHAnsi"/>
                <w:bCs/>
                <w:sz w:val="20"/>
                <w:szCs w:val="20"/>
              </w:rPr>
              <w:t>19,886,206</w:t>
            </w:r>
            <w:r w:rsidRPr="0014672E">
              <w:rPr>
                <w:rFonts w:asciiTheme="minorHAnsi" w:hAnsiTheme="minorHAnsi" w:cstheme="minorHAnsi"/>
                <w:bCs/>
                <w:sz w:val="20"/>
                <w:szCs w:val="20"/>
              </w:rPr>
              <w:t>)</w:t>
            </w:r>
          </w:p>
        </w:tc>
      </w:tr>
      <w:tr w:rsidR="00997FB6" w:rsidRPr="00BB3C18" w14:paraId="7A4FCFA7" w14:textId="77777777" w:rsidTr="009E4271">
        <w:tc>
          <w:tcPr>
            <w:tcW w:w="3969" w:type="dxa"/>
            <w:gridSpan w:val="3"/>
          </w:tcPr>
          <w:p w14:paraId="710FCD6B" w14:textId="77777777" w:rsidR="00997FB6" w:rsidRPr="00BB3C18" w:rsidRDefault="00997FB6" w:rsidP="00997FB6">
            <w:pPr>
              <w:spacing w:line="276" w:lineRule="auto"/>
              <w:rPr>
                <w:rFonts w:asciiTheme="minorHAnsi" w:hAnsiTheme="minorHAnsi" w:cstheme="minorHAnsi"/>
                <w:b/>
                <w:sz w:val="20"/>
                <w:szCs w:val="20"/>
              </w:rPr>
            </w:pPr>
          </w:p>
        </w:tc>
        <w:tc>
          <w:tcPr>
            <w:tcW w:w="993" w:type="dxa"/>
          </w:tcPr>
          <w:p w14:paraId="06486BE6" w14:textId="77777777" w:rsidR="00997FB6" w:rsidRPr="00BB3C18" w:rsidRDefault="00997FB6" w:rsidP="00997FB6">
            <w:pPr>
              <w:spacing w:line="276" w:lineRule="auto"/>
              <w:jc w:val="right"/>
              <w:rPr>
                <w:rFonts w:asciiTheme="minorHAnsi" w:hAnsiTheme="minorHAnsi" w:cstheme="minorHAnsi"/>
                <w:b/>
                <w:sz w:val="20"/>
                <w:szCs w:val="20"/>
              </w:rPr>
            </w:pPr>
          </w:p>
        </w:tc>
        <w:tc>
          <w:tcPr>
            <w:tcW w:w="2376" w:type="dxa"/>
            <w:gridSpan w:val="3"/>
          </w:tcPr>
          <w:p w14:paraId="23600AEE" w14:textId="77777777" w:rsidR="00997FB6" w:rsidRPr="007B6961" w:rsidRDefault="00997FB6" w:rsidP="00997FB6">
            <w:pPr>
              <w:spacing w:line="276" w:lineRule="auto"/>
              <w:jc w:val="center"/>
              <w:rPr>
                <w:rFonts w:asciiTheme="minorHAnsi" w:hAnsiTheme="minorHAnsi" w:cstheme="minorHAnsi"/>
                <w:sz w:val="20"/>
                <w:szCs w:val="20"/>
              </w:rPr>
            </w:pPr>
          </w:p>
        </w:tc>
        <w:tc>
          <w:tcPr>
            <w:tcW w:w="1559" w:type="dxa"/>
            <w:tcBorders>
              <w:top w:val="single" w:sz="4" w:space="0" w:color="auto"/>
              <w:bottom w:val="single" w:sz="4" w:space="0" w:color="auto"/>
            </w:tcBorders>
          </w:tcPr>
          <w:p w14:paraId="36902507" w14:textId="0B210083" w:rsidR="00997FB6" w:rsidRPr="009976C8" w:rsidRDefault="00997FB6" w:rsidP="00997FB6">
            <w:pPr>
              <w:spacing w:line="276" w:lineRule="auto"/>
              <w:ind w:right="-68"/>
              <w:jc w:val="right"/>
              <w:rPr>
                <w:rFonts w:asciiTheme="minorHAnsi" w:hAnsiTheme="minorHAnsi" w:cstheme="minorHAnsi"/>
                <w:b/>
                <w:sz w:val="20"/>
                <w:szCs w:val="20"/>
              </w:rPr>
            </w:pPr>
            <w:r w:rsidRPr="009976C8">
              <w:rPr>
                <w:rFonts w:asciiTheme="minorHAnsi" w:hAnsiTheme="minorHAnsi" w:cstheme="minorHAnsi"/>
                <w:b/>
                <w:sz w:val="20"/>
                <w:szCs w:val="20"/>
              </w:rPr>
              <w:t>(8,</w:t>
            </w:r>
            <w:r>
              <w:rPr>
                <w:rFonts w:asciiTheme="minorHAnsi" w:hAnsiTheme="minorHAnsi" w:cstheme="minorHAnsi"/>
                <w:b/>
                <w:sz w:val="20"/>
                <w:szCs w:val="20"/>
              </w:rPr>
              <w:t>938</w:t>
            </w:r>
            <w:r w:rsidRPr="009976C8">
              <w:rPr>
                <w:rFonts w:asciiTheme="minorHAnsi" w:hAnsiTheme="minorHAnsi" w:cstheme="minorHAnsi"/>
                <w:b/>
                <w:sz w:val="20"/>
                <w:szCs w:val="20"/>
              </w:rPr>
              <w:t>,</w:t>
            </w:r>
            <w:r>
              <w:rPr>
                <w:rFonts w:asciiTheme="minorHAnsi" w:hAnsiTheme="minorHAnsi" w:cstheme="minorHAnsi"/>
                <w:b/>
                <w:sz w:val="20"/>
                <w:szCs w:val="20"/>
              </w:rPr>
              <w:t>0</w:t>
            </w:r>
            <w:r w:rsidR="00802FA9">
              <w:rPr>
                <w:rFonts w:asciiTheme="minorHAnsi" w:hAnsiTheme="minorHAnsi" w:cstheme="minorHAnsi"/>
                <w:b/>
                <w:sz w:val="20"/>
                <w:szCs w:val="20"/>
              </w:rPr>
              <w:t>60</w:t>
            </w:r>
            <w:r w:rsidRPr="009976C8">
              <w:rPr>
                <w:rFonts w:asciiTheme="minorHAnsi" w:hAnsiTheme="minorHAnsi" w:cstheme="minorHAnsi"/>
                <w:b/>
                <w:sz w:val="20"/>
                <w:szCs w:val="20"/>
              </w:rPr>
              <w:t>)</w:t>
            </w:r>
          </w:p>
        </w:tc>
        <w:tc>
          <w:tcPr>
            <w:tcW w:w="283" w:type="dxa"/>
          </w:tcPr>
          <w:p w14:paraId="52E94BD8"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5B0F7030" w14:textId="77777777" w:rsidR="00997FB6" w:rsidRPr="0014672E" w:rsidRDefault="00997FB6" w:rsidP="00997FB6">
            <w:pPr>
              <w:spacing w:line="276" w:lineRule="auto"/>
              <w:ind w:right="-68"/>
              <w:jc w:val="right"/>
              <w:rPr>
                <w:rFonts w:asciiTheme="minorHAnsi" w:hAnsiTheme="minorHAnsi" w:cstheme="minorHAnsi"/>
                <w:bCs/>
                <w:sz w:val="20"/>
                <w:szCs w:val="20"/>
              </w:rPr>
            </w:pPr>
            <w:r w:rsidRPr="0014672E">
              <w:rPr>
                <w:rFonts w:asciiTheme="minorHAnsi" w:hAnsiTheme="minorHAnsi" w:cstheme="minorHAnsi"/>
                <w:bCs/>
                <w:sz w:val="20"/>
                <w:szCs w:val="20"/>
              </w:rPr>
              <w:t>(</w:t>
            </w:r>
            <w:r>
              <w:rPr>
                <w:rFonts w:asciiTheme="minorHAnsi" w:hAnsiTheme="minorHAnsi" w:cstheme="minorHAnsi"/>
                <w:bCs/>
                <w:sz w:val="20"/>
                <w:szCs w:val="20"/>
              </w:rPr>
              <w:t>7,534,922</w:t>
            </w:r>
            <w:r w:rsidRPr="0014672E">
              <w:rPr>
                <w:rFonts w:asciiTheme="minorHAnsi" w:hAnsiTheme="minorHAnsi" w:cstheme="minorHAnsi"/>
                <w:bCs/>
                <w:sz w:val="20"/>
                <w:szCs w:val="20"/>
              </w:rPr>
              <w:t>)</w:t>
            </w:r>
          </w:p>
        </w:tc>
      </w:tr>
      <w:tr w:rsidR="00997FB6" w:rsidRPr="00BB3C18" w14:paraId="5139B434" w14:textId="77777777" w:rsidTr="009E4271">
        <w:tc>
          <w:tcPr>
            <w:tcW w:w="6204" w:type="dxa"/>
            <w:gridSpan w:val="5"/>
          </w:tcPr>
          <w:p w14:paraId="62DE4149" w14:textId="77777777" w:rsidR="00997FB6" w:rsidRPr="00BB3C18" w:rsidRDefault="00997FB6" w:rsidP="00997FB6">
            <w:pPr>
              <w:spacing w:line="276" w:lineRule="auto"/>
              <w:rPr>
                <w:rFonts w:asciiTheme="minorHAnsi" w:hAnsiTheme="minorHAnsi" w:cstheme="minorHAnsi"/>
                <w:b/>
                <w:sz w:val="20"/>
                <w:szCs w:val="20"/>
              </w:rPr>
            </w:pPr>
          </w:p>
        </w:tc>
        <w:tc>
          <w:tcPr>
            <w:tcW w:w="708" w:type="dxa"/>
          </w:tcPr>
          <w:p w14:paraId="037B8509"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34AB52E2"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tcBorders>
          </w:tcPr>
          <w:p w14:paraId="2B976CD0" w14:textId="77777777" w:rsidR="00997FB6" w:rsidRPr="00EC6009" w:rsidRDefault="00997FB6" w:rsidP="00997FB6">
            <w:pPr>
              <w:spacing w:line="276" w:lineRule="auto"/>
              <w:ind w:right="-68"/>
              <w:jc w:val="right"/>
              <w:rPr>
                <w:rFonts w:asciiTheme="minorHAnsi" w:hAnsiTheme="minorHAnsi" w:cstheme="minorHAnsi"/>
                <w:b/>
                <w:sz w:val="20"/>
                <w:szCs w:val="20"/>
              </w:rPr>
            </w:pPr>
          </w:p>
        </w:tc>
        <w:tc>
          <w:tcPr>
            <w:tcW w:w="283" w:type="dxa"/>
          </w:tcPr>
          <w:p w14:paraId="6B3630B1"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tcBorders>
          </w:tcPr>
          <w:p w14:paraId="18F6DAEF" w14:textId="77777777" w:rsidR="00997FB6" w:rsidRPr="0014672E" w:rsidRDefault="00997FB6" w:rsidP="00997FB6">
            <w:pPr>
              <w:spacing w:line="276" w:lineRule="auto"/>
              <w:ind w:right="-68"/>
              <w:jc w:val="right"/>
              <w:rPr>
                <w:rFonts w:asciiTheme="minorHAnsi" w:hAnsiTheme="minorHAnsi" w:cstheme="minorHAnsi"/>
                <w:bCs/>
                <w:sz w:val="20"/>
                <w:szCs w:val="20"/>
              </w:rPr>
            </w:pPr>
          </w:p>
        </w:tc>
      </w:tr>
      <w:tr w:rsidR="00997FB6" w:rsidRPr="00BB3C18" w14:paraId="18B6FAF4" w14:textId="77777777" w:rsidTr="00F92330">
        <w:tc>
          <w:tcPr>
            <w:tcW w:w="6204" w:type="dxa"/>
            <w:gridSpan w:val="5"/>
          </w:tcPr>
          <w:p w14:paraId="2DC2FD44" w14:textId="77777777" w:rsidR="00997FB6" w:rsidRPr="00BB3C18" w:rsidRDefault="00997FB6" w:rsidP="00997FB6">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Current liabilities</w:t>
            </w:r>
          </w:p>
        </w:tc>
        <w:tc>
          <w:tcPr>
            <w:tcW w:w="708" w:type="dxa"/>
          </w:tcPr>
          <w:p w14:paraId="2C7AF365"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03D82D6E"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Pr>
          <w:p w14:paraId="1753903B" w14:textId="77777777" w:rsidR="00997FB6" w:rsidRPr="00EC6009" w:rsidRDefault="00997FB6" w:rsidP="00997FB6">
            <w:pPr>
              <w:spacing w:line="276" w:lineRule="auto"/>
              <w:ind w:right="-68"/>
              <w:jc w:val="right"/>
              <w:rPr>
                <w:rFonts w:asciiTheme="minorHAnsi" w:hAnsiTheme="minorHAnsi" w:cstheme="minorHAnsi"/>
                <w:b/>
                <w:sz w:val="20"/>
                <w:szCs w:val="20"/>
              </w:rPr>
            </w:pPr>
          </w:p>
        </w:tc>
        <w:tc>
          <w:tcPr>
            <w:tcW w:w="283" w:type="dxa"/>
          </w:tcPr>
          <w:p w14:paraId="7BD0F4E8"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Pr>
          <w:p w14:paraId="1A506171" w14:textId="77777777" w:rsidR="00997FB6" w:rsidRPr="0014672E" w:rsidRDefault="00997FB6" w:rsidP="00997FB6">
            <w:pPr>
              <w:spacing w:line="276" w:lineRule="auto"/>
              <w:ind w:right="-68"/>
              <w:jc w:val="right"/>
              <w:rPr>
                <w:rFonts w:asciiTheme="minorHAnsi" w:hAnsiTheme="minorHAnsi" w:cstheme="minorHAnsi"/>
                <w:bCs/>
                <w:sz w:val="20"/>
                <w:szCs w:val="20"/>
              </w:rPr>
            </w:pPr>
          </w:p>
        </w:tc>
      </w:tr>
      <w:tr w:rsidR="00997FB6" w:rsidRPr="00BB3C18" w14:paraId="711AD039" w14:textId="77777777" w:rsidTr="00F92330">
        <w:tc>
          <w:tcPr>
            <w:tcW w:w="6204" w:type="dxa"/>
            <w:gridSpan w:val="5"/>
          </w:tcPr>
          <w:p w14:paraId="3EC62062" w14:textId="77777777" w:rsidR="00997FB6" w:rsidRPr="00BB3C18" w:rsidRDefault="00997FB6" w:rsidP="00997FB6">
            <w:pPr>
              <w:spacing w:line="276" w:lineRule="auto"/>
              <w:rPr>
                <w:rFonts w:asciiTheme="minorHAnsi" w:hAnsiTheme="minorHAnsi" w:cstheme="minorHAnsi"/>
                <w:sz w:val="20"/>
                <w:szCs w:val="20"/>
              </w:rPr>
            </w:pPr>
            <w:r w:rsidRPr="00BB3C18">
              <w:rPr>
                <w:rFonts w:asciiTheme="minorHAnsi" w:hAnsiTheme="minorHAnsi" w:cstheme="minorHAnsi"/>
                <w:sz w:val="20"/>
                <w:szCs w:val="20"/>
              </w:rPr>
              <w:t xml:space="preserve">Trade and other payables </w:t>
            </w:r>
          </w:p>
        </w:tc>
        <w:tc>
          <w:tcPr>
            <w:tcW w:w="708" w:type="dxa"/>
          </w:tcPr>
          <w:p w14:paraId="51D51CDA" w14:textId="35F6AE71" w:rsidR="00997FB6" w:rsidRPr="007B6961" w:rsidRDefault="00997FB6" w:rsidP="00997FB6">
            <w:pPr>
              <w:spacing w:line="276" w:lineRule="auto"/>
              <w:jc w:val="center"/>
              <w:rPr>
                <w:rFonts w:asciiTheme="minorHAnsi" w:hAnsiTheme="minorHAnsi" w:cstheme="minorHAnsi"/>
                <w:sz w:val="20"/>
                <w:szCs w:val="20"/>
              </w:rPr>
            </w:pPr>
            <w:r w:rsidRPr="007B6961">
              <w:rPr>
                <w:rFonts w:asciiTheme="minorHAnsi" w:hAnsiTheme="minorHAnsi" w:cstheme="minorHAnsi"/>
                <w:sz w:val="20"/>
                <w:szCs w:val="20"/>
              </w:rPr>
              <w:t>1</w:t>
            </w:r>
            <w:r w:rsidR="00E3408B">
              <w:rPr>
                <w:rFonts w:asciiTheme="minorHAnsi" w:hAnsiTheme="minorHAnsi" w:cstheme="minorHAnsi"/>
                <w:sz w:val="20"/>
                <w:szCs w:val="20"/>
              </w:rPr>
              <w:t>5</w:t>
            </w:r>
          </w:p>
        </w:tc>
        <w:tc>
          <w:tcPr>
            <w:tcW w:w="426" w:type="dxa"/>
          </w:tcPr>
          <w:p w14:paraId="77C0BB72"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Pr>
          <w:p w14:paraId="37E405F7" w14:textId="2AE1C888" w:rsidR="00997FB6" w:rsidRPr="00EC6009" w:rsidRDefault="00E3408B"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6,523,062</w:t>
            </w:r>
          </w:p>
        </w:tc>
        <w:tc>
          <w:tcPr>
            <w:tcW w:w="283" w:type="dxa"/>
          </w:tcPr>
          <w:p w14:paraId="41C5B0D1"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Pr>
          <w:p w14:paraId="581D24D4"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5,521,557</w:t>
            </w:r>
          </w:p>
        </w:tc>
      </w:tr>
      <w:tr w:rsidR="00997FB6" w:rsidRPr="00BB3C18" w14:paraId="66385E72" w14:textId="77777777" w:rsidTr="00F92330">
        <w:tc>
          <w:tcPr>
            <w:tcW w:w="6204" w:type="dxa"/>
            <w:gridSpan w:val="5"/>
          </w:tcPr>
          <w:p w14:paraId="2CB31A89" w14:textId="77777777" w:rsidR="00997FB6" w:rsidRPr="00BB3C18" w:rsidRDefault="00997FB6" w:rsidP="00997FB6">
            <w:pPr>
              <w:spacing w:line="276" w:lineRule="auto"/>
              <w:rPr>
                <w:rFonts w:asciiTheme="minorHAnsi" w:hAnsiTheme="minorHAnsi" w:cstheme="minorHAnsi"/>
                <w:sz w:val="20"/>
                <w:szCs w:val="20"/>
              </w:rPr>
            </w:pPr>
            <w:r w:rsidRPr="00BB3C18">
              <w:rPr>
                <w:rFonts w:asciiTheme="minorHAnsi" w:hAnsiTheme="minorHAnsi" w:cstheme="minorHAnsi"/>
                <w:sz w:val="20"/>
                <w:szCs w:val="20"/>
              </w:rPr>
              <w:t xml:space="preserve">Loans and borrowings </w:t>
            </w:r>
          </w:p>
        </w:tc>
        <w:tc>
          <w:tcPr>
            <w:tcW w:w="708" w:type="dxa"/>
            <w:shd w:val="clear" w:color="auto" w:fill="auto"/>
          </w:tcPr>
          <w:p w14:paraId="6E0DCF1C" w14:textId="301BAF4C" w:rsidR="00997FB6" w:rsidRPr="007B6961" w:rsidRDefault="00997FB6" w:rsidP="00997FB6">
            <w:pPr>
              <w:spacing w:line="276" w:lineRule="auto"/>
              <w:jc w:val="center"/>
              <w:rPr>
                <w:rFonts w:asciiTheme="minorHAnsi" w:hAnsiTheme="minorHAnsi" w:cstheme="minorHAnsi"/>
                <w:sz w:val="20"/>
                <w:szCs w:val="20"/>
              </w:rPr>
            </w:pPr>
            <w:r w:rsidRPr="007B6961">
              <w:rPr>
                <w:rFonts w:asciiTheme="minorHAnsi" w:hAnsiTheme="minorHAnsi" w:cstheme="minorHAnsi"/>
                <w:sz w:val="20"/>
                <w:szCs w:val="20"/>
              </w:rPr>
              <w:t>1</w:t>
            </w:r>
            <w:r w:rsidR="00E3408B">
              <w:rPr>
                <w:rFonts w:asciiTheme="minorHAnsi" w:hAnsiTheme="minorHAnsi" w:cstheme="minorHAnsi"/>
                <w:sz w:val="20"/>
                <w:szCs w:val="20"/>
              </w:rPr>
              <w:t>6</w:t>
            </w:r>
          </w:p>
        </w:tc>
        <w:tc>
          <w:tcPr>
            <w:tcW w:w="426" w:type="dxa"/>
            <w:shd w:val="clear" w:color="auto" w:fill="auto"/>
          </w:tcPr>
          <w:p w14:paraId="22CF611B"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bottom w:val="single" w:sz="4" w:space="0" w:color="auto"/>
            </w:tcBorders>
            <w:shd w:val="clear" w:color="auto" w:fill="auto"/>
          </w:tcPr>
          <w:p w14:paraId="08CD0D12" w14:textId="77777777" w:rsidR="00997FB6" w:rsidRPr="00EC6009" w:rsidRDefault="00997FB6"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2,415,000</w:t>
            </w:r>
          </w:p>
        </w:tc>
        <w:tc>
          <w:tcPr>
            <w:tcW w:w="283" w:type="dxa"/>
          </w:tcPr>
          <w:p w14:paraId="3D7B3139"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bottom w:val="single" w:sz="4" w:space="0" w:color="auto"/>
            </w:tcBorders>
          </w:tcPr>
          <w:p w14:paraId="3A1C2EB3"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2,415,000</w:t>
            </w:r>
          </w:p>
        </w:tc>
      </w:tr>
      <w:tr w:rsidR="00997FB6" w:rsidRPr="00BB3C18" w14:paraId="5375F127" w14:textId="77777777" w:rsidTr="00F92330">
        <w:tc>
          <w:tcPr>
            <w:tcW w:w="6204" w:type="dxa"/>
            <w:gridSpan w:val="5"/>
          </w:tcPr>
          <w:p w14:paraId="1B8C17F4" w14:textId="77777777" w:rsidR="00997FB6" w:rsidRPr="00BB3C18" w:rsidRDefault="00997FB6" w:rsidP="00997FB6">
            <w:pPr>
              <w:spacing w:line="276" w:lineRule="auto"/>
              <w:rPr>
                <w:rFonts w:asciiTheme="minorHAnsi" w:hAnsiTheme="minorHAnsi" w:cstheme="minorHAnsi"/>
                <w:b/>
                <w:sz w:val="20"/>
                <w:szCs w:val="20"/>
              </w:rPr>
            </w:pPr>
          </w:p>
        </w:tc>
        <w:tc>
          <w:tcPr>
            <w:tcW w:w="708" w:type="dxa"/>
          </w:tcPr>
          <w:p w14:paraId="687FABA1" w14:textId="77777777" w:rsidR="00997FB6" w:rsidRPr="007B6961" w:rsidRDefault="00997FB6" w:rsidP="00997FB6">
            <w:pPr>
              <w:spacing w:line="276" w:lineRule="auto"/>
              <w:jc w:val="center"/>
              <w:rPr>
                <w:rFonts w:asciiTheme="minorHAnsi" w:hAnsiTheme="minorHAnsi" w:cstheme="minorHAnsi"/>
                <w:sz w:val="20"/>
                <w:szCs w:val="20"/>
              </w:rPr>
            </w:pPr>
          </w:p>
        </w:tc>
        <w:tc>
          <w:tcPr>
            <w:tcW w:w="426" w:type="dxa"/>
          </w:tcPr>
          <w:p w14:paraId="04E81DFA" w14:textId="77777777" w:rsidR="00997FB6" w:rsidRPr="007B6961"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bottom w:val="single" w:sz="4" w:space="0" w:color="auto"/>
            </w:tcBorders>
          </w:tcPr>
          <w:p w14:paraId="57D2B52B" w14:textId="74C54880" w:rsidR="00997FB6" w:rsidRPr="00EC6009" w:rsidRDefault="00997FB6"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8,938,06</w:t>
            </w:r>
            <w:r w:rsidR="00E3408B">
              <w:rPr>
                <w:rFonts w:asciiTheme="minorHAnsi" w:hAnsiTheme="minorHAnsi" w:cstheme="minorHAnsi"/>
                <w:b/>
                <w:sz w:val="20"/>
                <w:szCs w:val="20"/>
              </w:rPr>
              <w:t>2</w:t>
            </w:r>
          </w:p>
        </w:tc>
        <w:tc>
          <w:tcPr>
            <w:tcW w:w="283" w:type="dxa"/>
          </w:tcPr>
          <w:p w14:paraId="497D190C"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5F36C6D0"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7,936,557</w:t>
            </w:r>
          </w:p>
        </w:tc>
      </w:tr>
      <w:tr w:rsidR="00997FB6" w:rsidRPr="00BB3C18" w14:paraId="06048189" w14:textId="77777777" w:rsidTr="00F92330">
        <w:tc>
          <w:tcPr>
            <w:tcW w:w="6204" w:type="dxa"/>
            <w:gridSpan w:val="5"/>
          </w:tcPr>
          <w:p w14:paraId="6EB14BF8" w14:textId="77777777" w:rsidR="00997FB6" w:rsidRPr="00BB3C18" w:rsidRDefault="00997FB6" w:rsidP="00997FB6">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Total liabilities</w:t>
            </w:r>
          </w:p>
        </w:tc>
        <w:tc>
          <w:tcPr>
            <w:tcW w:w="708" w:type="dxa"/>
          </w:tcPr>
          <w:p w14:paraId="22BC4B07" w14:textId="77777777" w:rsidR="00997FB6" w:rsidRPr="000B4E51" w:rsidRDefault="00997FB6" w:rsidP="00997FB6">
            <w:pPr>
              <w:spacing w:line="276" w:lineRule="auto"/>
              <w:jc w:val="center"/>
              <w:rPr>
                <w:rFonts w:asciiTheme="minorHAnsi" w:hAnsiTheme="minorHAnsi" w:cstheme="minorHAnsi"/>
                <w:sz w:val="20"/>
                <w:szCs w:val="20"/>
                <w:highlight w:val="yellow"/>
              </w:rPr>
            </w:pPr>
          </w:p>
        </w:tc>
        <w:tc>
          <w:tcPr>
            <w:tcW w:w="426" w:type="dxa"/>
          </w:tcPr>
          <w:p w14:paraId="2C970E9B" w14:textId="77777777" w:rsidR="00997FB6" w:rsidRPr="00BB3C18"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tcBorders>
            <w:shd w:val="clear" w:color="auto" w:fill="auto"/>
          </w:tcPr>
          <w:p w14:paraId="3A181997" w14:textId="49A02A60" w:rsidR="00997FB6" w:rsidRPr="00EC6009" w:rsidRDefault="00997FB6"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8,938,06</w:t>
            </w:r>
            <w:r w:rsidR="00E3408B">
              <w:rPr>
                <w:rFonts w:asciiTheme="minorHAnsi" w:hAnsiTheme="minorHAnsi" w:cstheme="minorHAnsi"/>
                <w:b/>
                <w:sz w:val="20"/>
                <w:szCs w:val="20"/>
              </w:rPr>
              <w:t>2</w:t>
            </w:r>
          </w:p>
        </w:tc>
        <w:tc>
          <w:tcPr>
            <w:tcW w:w="283" w:type="dxa"/>
          </w:tcPr>
          <w:p w14:paraId="499A820F"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477C48E0"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7,936,557</w:t>
            </w:r>
          </w:p>
        </w:tc>
      </w:tr>
      <w:tr w:rsidR="00997FB6" w:rsidRPr="00BB3C18" w14:paraId="006E8750" w14:textId="77777777" w:rsidTr="00F92330">
        <w:tc>
          <w:tcPr>
            <w:tcW w:w="6204" w:type="dxa"/>
            <w:gridSpan w:val="5"/>
          </w:tcPr>
          <w:p w14:paraId="75EA152C" w14:textId="77777777" w:rsidR="00997FB6" w:rsidRPr="00BB3C18" w:rsidRDefault="00997FB6" w:rsidP="00997FB6">
            <w:pPr>
              <w:spacing w:line="276" w:lineRule="auto"/>
              <w:rPr>
                <w:rFonts w:asciiTheme="minorHAnsi" w:hAnsiTheme="minorHAnsi" w:cstheme="minorHAnsi"/>
                <w:sz w:val="20"/>
                <w:szCs w:val="20"/>
              </w:rPr>
            </w:pPr>
          </w:p>
        </w:tc>
        <w:tc>
          <w:tcPr>
            <w:tcW w:w="708" w:type="dxa"/>
          </w:tcPr>
          <w:p w14:paraId="303B1FDD" w14:textId="77777777" w:rsidR="00997FB6" w:rsidRPr="00BB3C18" w:rsidRDefault="00997FB6" w:rsidP="00997FB6">
            <w:pPr>
              <w:spacing w:line="276" w:lineRule="auto"/>
              <w:jc w:val="center"/>
              <w:rPr>
                <w:rFonts w:asciiTheme="minorHAnsi" w:hAnsiTheme="minorHAnsi" w:cstheme="minorHAnsi"/>
                <w:sz w:val="20"/>
                <w:szCs w:val="20"/>
              </w:rPr>
            </w:pPr>
          </w:p>
        </w:tc>
        <w:tc>
          <w:tcPr>
            <w:tcW w:w="426" w:type="dxa"/>
          </w:tcPr>
          <w:p w14:paraId="674223E5" w14:textId="77777777" w:rsidR="00997FB6" w:rsidRPr="00BB3C18"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tcBorders>
          </w:tcPr>
          <w:p w14:paraId="6F67F463" w14:textId="77777777" w:rsidR="00997FB6" w:rsidRPr="00EC6009" w:rsidRDefault="00997FB6" w:rsidP="00997FB6">
            <w:pPr>
              <w:spacing w:line="276" w:lineRule="auto"/>
              <w:ind w:right="-68"/>
              <w:jc w:val="right"/>
              <w:rPr>
                <w:rFonts w:asciiTheme="minorHAnsi" w:hAnsiTheme="minorHAnsi" w:cstheme="minorHAnsi"/>
                <w:b/>
                <w:sz w:val="20"/>
                <w:szCs w:val="20"/>
              </w:rPr>
            </w:pPr>
          </w:p>
        </w:tc>
        <w:tc>
          <w:tcPr>
            <w:tcW w:w="283" w:type="dxa"/>
          </w:tcPr>
          <w:p w14:paraId="02175EE6" w14:textId="77777777" w:rsidR="00997FB6" w:rsidRPr="00BB3C18" w:rsidRDefault="00997FB6" w:rsidP="00997FB6">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55A04471" w14:textId="77777777" w:rsidR="00997FB6" w:rsidRPr="0014672E" w:rsidRDefault="00997FB6" w:rsidP="00997FB6">
            <w:pPr>
              <w:spacing w:line="276" w:lineRule="auto"/>
              <w:ind w:right="-68"/>
              <w:jc w:val="right"/>
              <w:rPr>
                <w:rFonts w:asciiTheme="minorHAnsi" w:hAnsiTheme="minorHAnsi" w:cstheme="minorHAnsi"/>
                <w:bCs/>
                <w:sz w:val="20"/>
                <w:szCs w:val="20"/>
              </w:rPr>
            </w:pPr>
          </w:p>
        </w:tc>
      </w:tr>
      <w:tr w:rsidR="00997FB6" w:rsidRPr="00BB3C18" w14:paraId="04BDF6C1" w14:textId="77777777" w:rsidTr="00F92330">
        <w:tc>
          <w:tcPr>
            <w:tcW w:w="6204" w:type="dxa"/>
            <w:gridSpan w:val="5"/>
          </w:tcPr>
          <w:p w14:paraId="2B49AD87" w14:textId="77777777" w:rsidR="00997FB6" w:rsidRPr="00BB3C18" w:rsidRDefault="00997FB6" w:rsidP="00997FB6">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Total equity and liabilities</w:t>
            </w:r>
          </w:p>
        </w:tc>
        <w:tc>
          <w:tcPr>
            <w:tcW w:w="708" w:type="dxa"/>
            <w:tcBorders>
              <w:bottom w:val="nil"/>
            </w:tcBorders>
          </w:tcPr>
          <w:p w14:paraId="4492E6FD" w14:textId="77777777" w:rsidR="00997FB6" w:rsidRPr="00BB3C18" w:rsidRDefault="00997FB6" w:rsidP="00997FB6">
            <w:pPr>
              <w:spacing w:line="276" w:lineRule="auto"/>
              <w:jc w:val="center"/>
              <w:rPr>
                <w:rFonts w:asciiTheme="minorHAnsi" w:hAnsiTheme="minorHAnsi" w:cstheme="minorHAnsi"/>
                <w:sz w:val="20"/>
                <w:szCs w:val="20"/>
              </w:rPr>
            </w:pPr>
          </w:p>
        </w:tc>
        <w:tc>
          <w:tcPr>
            <w:tcW w:w="426" w:type="dxa"/>
          </w:tcPr>
          <w:p w14:paraId="52B4602C" w14:textId="77777777" w:rsidR="00997FB6" w:rsidRPr="00BB3C18" w:rsidRDefault="00997FB6" w:rsidP="00997FB6">
            <w:pPr>
              <w:spacing w:line="276" w:lineRule="auto"/>
              <w:jc w:val="right"/>
              <w:rPr>
                <w:rFonts w:asciiTheme="minorHAnsi" w:hAnsiTheme="minorHAnsi" w:cstheme="minorHAnsi"/>
                <w:sz w:val="20"/>
                <w:szCs w:val="20"/>
              </w:rPr>
            </w:pPr>
          </w:p>
        </w:tc>
        <w:tc>
          <w:tcPr>
            <w:tcW w:w="1559" w:type="dxa"/>
            <w:tcBorders>
              <w:top w:val="single" w:sz="4" w:space="0" w:color="auto"/>
              <w:bottom w:val="double" w:sz="4" w:space="0" w:color="auto"/>
            </w:tcBorders>
          </w:tcPr>
          <w:p w14:paraId="6CDA5B7D" w14:textId="365A69C3" w:rsidR="00997FB6" w:rsidRPr="00EC6009" w:rsidRDefault="00802FA9" w:rsidP="00997FB6">
            <w:pPr>
              <w:spacing w:line="276" w:lineRule="auto"/>
              <w:ind w:right="-68"/>
              <w:jc w:val="right"/>
              <w:rPr>
                <w:rFonts w:asciiTheme="minorHAnsi" w:hAnsiTheme="minorHAnsi" w:cstheme="minorHAnsi"/>
                <w:b/>
                <w:sz w:val="20"/>
                <w:szCs w:val="20"/>
              </w:rPr>
            </w:pPr>
            <w:r>
              <w:rPr>
                <w:rFonts w:asciiTheme="minorHAnsi" w:hAnsiTheme="minorHAnsi" w:cstheme="minorHAnsi"/>
                <w:b/>
                <w:sz w:val="20"/>
                <w:szCs w:val="20"/>
              </w:rPr>
              <w:t>2</w:t>
            </w:r>
          </w:p>
        </w:tc>
        <w:tc>
          <w:tcPr>
            <w:tcW w:w="283" w:type="dxa"/>
          </w:tcPr>
          <w:p w14:paraId="0FF4ACA5" w14:textId="77777777" w:rsidR="00997FB6" w:rsidRPr="00BB3C18" w:rsidRDefault="00997FB6" w:rsidP="00997FB6">
            <w:pPr>
              <w:spacing w:line="276" w:lineRule="auto"/>
              <w:jc w:val="right"/>
              <w:rPr>
                <w:rFonts w:asciiTheme="minorHAnsi" w:hAnsiTheme="minorHAnsi" w:cstheme="minorHAnsi"/>
                <w:b/>
                <w:sz w:val="20"/>
                <w:szCs w:val="20"/>
              </w:rPr>
            </w:pPr>
          </w:p>
        </w:tc>
        <w:tc>
          <w:tcPr>
            <w:tcW w:w="1418" w:type="dxa"/>
            <w:tcBorders>
              <w:top w:val="single" w:sz="4" w:space="0" w:color="auto"/>
              <w:bottom w:val="double" w:sz="4" w:space="0" w:color="auto"/>
            </w:tcBorders>
          </w:tcPr>
          <w:p w14:paraId="388FEE83" w14:textId="77777777" w:rsidR="00997FB6" w:rsidRPr="0014672E" w:rsidRDefault="00997FB6" w:rsidP="00997FB6">
            <w:pPr>
              <w:spacing w:line="276" w:lineRule="auto"/>
              <w:ind w:right="-68"/>
              <w:jc w:val="right"/>
              <w:rPr>
                <w:rFonts w:asciiTheme="minorHAnsi" w:hAnsiTheme="minorHAnsi" w:cstheme="minorHAnsi"/>
                <w:bCs/>
                <w:sz w:val="20"/>
                <w:szCs w:val="20"/>
              </w:rPr>
            </w:pPr>
            <w:r>
              <w:rPr>
                <w:rFonts w:asciiTheme="minorHAnsi" w:hAnsiTheme="minorHAnsi" w:cstheme="minorHAnsi"/>
                <w:bCs/>
                <w:sz w:val="20"/>
                <w:szCs w:val="20"/>
              </w:rPr>
              <w:t>401,635</w:t>
            </w:r>
          </w:p>
        </w:tc>
      </w:tr>
    </w:tbl>
    <w:p w14:paraId="7B242EDE" w14:textId="77777777" w:rsidR="00F92330" w:rsidRDefault="00F92330" w:rsidP="00F92330">
      <w:pPr>
        <w:rPr>
          <w:rFonts w:asciiTheme="minorHAnsi" w:hAnsiTheme="minorHAnsi" w:cstheme="minorHAnsi"/>
          <w:sz w:val="20"/>
          <w:szCs w:val="20"/>
        </w:rPr>
      </w:pPr>
    </w:p>
    <w:p w14:paraId="1252596C" w14:textId="55ED9780" w:rsidR="00F92330" w:rsidRDefault="00F92330" w:rsidP="00F92330">
      <w:pPr>
        <w:tabs>
          <w:tab w:val="left" w:pos="1125"/>
        </w:tabs>
        <w:rPr>
          <w:rFonts w:asciiTheme="minorHAnsi" w:hAnsiTheme="minorHAnsi" w:cstheme="minorHAnsi"/>
          <w:sz w:val="20"/>
          <w:szCs w:val="20"/>
        </w:rPr>
      </w:pPr>
      <w:r>
        <w:rPr>
          <w:rFonts w:asciiTheme="minorHAnsi" w:hAnsiTheme="minorHAnsi" w:cstheme="minorHAnsi"/>
          <w:sz w:val="20"/>
          <w:szCs w:val="20"/>
        </w:rPr>
        <w:tab/>
      </w:r>
    </w:p>
    <w:p w14:paraId="49198A22" w14:textId="7E5033EA" w:rsidR="00F92330" w:rsidRPr="00BB3C18" w:rsidRDefault="00F92330" w:rsidP="00F92330">
      <w:pPr>
        <w:tabs>
          <w:tab w:val="left" w:pos="4508"/>
        </w:tabs>
        <w:spacing w:line="276" w:lineRule="auto"/>
        <w:ind w:right="543"/>
        <w:jc w:val="both"/>
        <w:rPr>
          <w:rFonts w:asciiTheme="minorHAnsi" w:hAnsiTheme="minorHAnsi" w:cstheme="minorHAnsi"/>
          <w:sz w:val="20"/>
          <w:szCs w:val="20"/>
        </w:rPr>
      </w:pPr>
      <w:r w:rsidRPr="000B4E51">
        <w:rPr>
          <w:rFonts w:asciiTheme="minorHAnsi" w:hAnsiTheme="minorHAnsi" w:cstheme="minorHAnsi"/>
          <w:sz w:val="20"/>
          <w:szCs w:val="20"/>
        </w:rPr>
        <w:t>The Company’s loss and total comprehensive loss for the year ended 30 June 202</w:t>
      </w:r>
      <w:r>
        <w:rPr>
          <w:rFonts w:asciiTheme="minorHAnsi" w:hAnsiTheme="minorHAnsi" w:cstheme="minorHAnsi"/>
          <w:sz w:val="20"/>
          <w:szCs w:val="20"/>
        </w:rPr>
        <w:t>2</w:t>
      </w:r>
      <w:r w:rsidRPr="000B4E51">
        <w:rPr>
          <w:rFonts w:asciiTheme="minorHAnsi" w:hAnsiTheme="minorHAnsi" w:cstheme="minorHAnsi"/>
          <w:sz w:val="20"/>
          <w:szCs w:val="20"/>
        </w:rPr>
        <w:t xml:space="preserve"> </w:t>
      </w:r>
      <w:r w:rsidRPr="00EC6009">
        <w:rPr>
          <w:rFonts w:asciiTheme="minorHAnsi" w:hAnsiTheme="minorHAnsi" w:cstheme="minorHAnsi"/>
          <w:sz w:val="20"/>
          <w:szCs w:val="20"/>
        </w:rPr>
        <w:t>was £</w:t>
      </w:r>
      <w:r w:rsidR="004205B1">
        <w:rPr>
          <w:rFonts w:asciiTheme="minorHAnsi" w:hAnsiTheme="minorHAnsi" w:cstheme="minorHAnsi"/>
          <w:sz w:val="20"/>
          <w:szCs w:val="20"/>
        </w:rPr>
        <w:t>1,403,13</w:t>
      </w:r>
      <w:r w:rsidR="00802FA9">
        <w:rPr>
          <w:rFonts w:asciiTheme="minorHAnsi" w:hAnsiTheme="minorHAnsi" w:cstheme="minorHAnsi"/>
          <w:sz w:val="20"/>
          <w:szCs w:val="20"/>
        </w:rPr>
        <w:t>8</w:t>
      </w:r>
      <w:r w:rsidR="004205B1" w:rsidRPr="00EC6009">
        <w:rPr>
          <w:rFonts w:asciiTheme="minorHAnsi" w:hAnsiTheme="minorHAnsi" w:cstheme="minorHAnsi"/>
          <w:sz w:val="20"/>
          <w:szCs w:val="20"/>
        </w:rPr>
        <w:t xml:space="preserve"> </w:t>
      </w:r>
      <w:r w:rsidRPr="00EC6009">
        <w:rPr>
          <w:rFonts w:asciiTheme="minorHAnsi" w:hAnsiTheme="minorHAnsi" w:cstheme="minorHAnsi"/>
          <w:sz w:val="20"/>
          <w:szCs w:val="20"/>
        </w:rPr>
        <w:t>(</w:t>
      </w:r>
      <w:r w:rsidRPr="000B4E51">
        <w:rPr>
          <w:rFonts w:asciiTheme="minorHAnsi" w:hAnsiTheme="minorHAnsi" w:cstheme="minorHAnsi"/>
          <w:sz w:val="20"/>
          <w:szCs w:val="20"/>
        </w:rPr>
        <w:t>30 June 20</w:t>
      </w:r>
      <w:r>
        <w:rPr>
          <w:rFonts w:asciiTheme="minorHAnsi" w:hAnsiTheme="minorHAnsi" w:cstheme="minorHAnsi"/>
          <w:sz w:val="20"/>
          <w:szCs w:val="20"/>
        </w:rPr>
        <w:t>21</w:t>
      </w:r>
      <w:r w:rsidRPr="000B4E51">
        <w:rPr>
          <w:rFonts w:asciiTheme="minorHAnsi" w:hAnsiTheme="minorHAnsi" w:cstheme="minorHAnsi"/>
          <w:sz w:val="20"/>
          <w:szCs w:val="20"/>
        </w:rPr>
        <w:t>: £</w:t>
      </w:r>
      <w:r>
        <w:rPr>
          <w:rFonts w:asciiTheme="minorHAnsi" w:hAnsiTheme="minorHAnsi" w:cstheme="minorHAnsi"/>
          <w:sz w:val="20"/>
          <w:szCs w:val="20"/>
        </w:rPr>
        <w:t>7,361,</w:t>
      </w:r>
      <w:r w:rsidR="001D3317">
        <w:rPr>
          <w:rFonts w:asciiTheme="minorHAnsi" w:hAnsiTheme="minorHAnsi" w:cstheme="minorHAnsi"/>
          <w:sz w:val="20"/>
          <w:szCs w:val="20"/>
        </w:rPr>
        <w:t>6</w:t>
      </w:r>
      <w:r>
        <w:rPr>
          <w:rFonts w:asciiTheme="minorHAnsi" w:hAnsiTheme="minorHAnsi" w:cstheme="minorHAnsi"/>
          <w:sz w:val="20"/>
          <w:szCs w:val="20"/>
        </w:rPr>
        <w:t>11</w:t>
      </w:r>
      <w:r w:rsidRPr="000B4E51">
        <w:rPr>
          <w:rFonts w:asciiTheme="minorHAnsi" w:hAnsiTheme="minorHAnsi" w:cstheme="minorHAnsi"/>
          <w:sz w:val="20"/>
          <w:szCs w:val="20"/>
        </w:rPr>
        <w:t>)</w:t>
      </w:r>
    </w:p>
    <w:p w14:paraId="73D50F9E" w14:textId="77777777" w:rsidR="00F92330" w:rsidRPr="00BB3C18" w:rsidRDefault="00F92330" w:rsidP="00F92330">
      <w:pPr>
        <w:tabs>
          <w:tab w:val="left" w:pos="4508"/>
        </w:tabs>
        <w:spacing w:line="276" w:lineRule="auto"/>
        <w:ind w:right="-24"/>
        <w:jc w:val="both"/>
        <w:rPr>
          <w:rFonts w:asciiTheme="minorHAnsi" w:hAnsiTheme="minorHAnsi" w:cstheme="minorHAnsi"/>
        </w:rPr>
      </w:pPr>
    </w:p>
    <w:p w14:paraId="4FC5155C" w14:textId="06C4D646" w:rsidR="00F92330" w:rsidRPr="00BB3C18" w:rsidRDefault="00F92330" w:rsidP="00F92330">
      <w:pPr>
        <w:tabs>
          <w:tab w:val="left" w:pos="4508"/>
        </w:tabs>
        <w:spacing w:line="276" w:lineRule="auto"/>
        <w:ind w:right="401"/>
        <w:jc w:val="both"/>
        <w:rPr>
          <w:rFonts w:asciiTheme="minorHAnsi" w:hAnsiTheme="minorHAnsi" w:cstheme="minorHAnsi"/>
          <w:sz w:val="20"/>
          <w:szCs w:val="20"/>
        </w:rPr>
      </w:pPr>
      <w:r w:rsidRPr="00BB3C18">
        <w:rPr>
          <w:rFonts w:asciiTheme="minorHAnsi" w:hAnsiTheme="minorHAnsi" w:cstheme="minorHAnsi"/>
          <w:sz w:val="20"/>
          <w:szCs w:val="20"/>
        </w:rPr>
        <w:t xml:space="preserve">The financial statements of Iconic Labs plc, company number 10197256, were approved by the Board and authorised for issue </w:t>
      </w:r>
      <w:r w:rsidRPr="007B6961">
        <w:rPr>
          <w:rFonts w:asciiTheme="minorHAnsi" w:hAnsiTheme="minorHAnsi" w:cstheme="minorHAnsi"/>
          <w:sz w:val="20"/>
          <w:szCs w:val="20"/>
        </w:rPr>
        <w:t>on</w:t>
      </w:r>
      <w:r w:rsidR="00AB1910">
        <w:rPr>
          <w:rFonts w:asciiTheme="minorHAnsi" w:hAnsiTheme="minorHAnsi" w:cstheme="minorHAnsi"/>
          <w:sz w:val="20"/>
          <w:szCs w:val="20"/>
        </w:rPr>
        <w:t xml:space="preserve"> 27 </w:t>
      </w:r>
      <w:r w:rsidR="00F91FC3">
        <w:rPr>
          <w:rFonts w:asciiTheme="minorHAnsi" w:hAnsiTheme="minorHAnsi" w:cstheme="minorHAnsi"/>
          <w:sz w:val="20"/>
          <w:szCs w:val="20"/>
        </w:rPr>
        <w:t>December 2022.  T</w:t>
      </w:r>
      <w:r w:rsidRPr="007B6961">
        <w:rPr>
          <w:rFonts w:asciiTheme="minorHAnsi" w:hAnsiTheme="minorHAnsi" w:cstheme="minorHAnsi"/>
          <w:sz w:val="20"/>
          <w:szCs w:val="20"/>
        </w:rPr>
        <w:t>hey were</w:t>
      </w:r>
      <w:r w:rsidRPr="00BB3C18">
        <w:rPr>
          <w:rFonts w:asciiTheme="minorHAnsi" w:hAnsiTheme="minorHAnsi" w:cstheme="minorHAnsi"/>
          <w:sz w:val="20"/>
          <w:szCs w:val="20"/>
        </w:rPr>
        <w:t xml:space="preserve"> signed on its behalf by:</w:t>
      </w:r>
    </w:p>
    <w:p w14:paraId="56D15917" w14:textId="77777777" w:rsidR="00F92330" w:rsidRPr="00BB3C18" w:rsidRDefault="00F92330" w:rsidP="00F92330">
      <w:pPr>
        <w:tabs>
          <w:tab w:val="left" w:pos="4508"/>
        </w:tabs>
        <w:spacing w:line="276" w:lineRule="auto"/>
        <w:jc w:val="both"/>
        <w:rPr>
          <w:rFonts w:asciiTheme="minorHAnsi" w:hAnsiTheme="minorHAnsi" w:cstheme="minorHAnsi"/>
          <w:sz w:val="20"/>
          <w:szCs w:val="20"/>
        </w:rPr>
      </w:pPr>
    </w:p>
    <w:p w14:paraId="3853AC0F" w14:textId="147D75F2" w:rsidR="00F92330" w:rsidRDefault="00F92330" w:rsidP="00F92330">
      <w:pPr>
        <w:tabs>
          <w:tab w:val="left" w:pos="4508"/>
        </w:tabs>
        <w:spacing w:line="276" w:lineRule="auto"/>
        <w:jc w:val="both"/>
        <w:rPr>
          <w:rFonts w:asciiTheme="minorHAnsi" w:hAnsiTheme="minorHAnsi" w:cstheme="minorHAnsi"/>
          <w:sz w:val="20"/>
          <w:szCs w:val="20"/>
        </w:rPr>
      </w:pPr>
    </w:p>
    <w:p w14:paraId="2C2283DB" w14:textId="43293237" w:rsidR="00AB1910" w:rsidRDefault="00AB1910" w:rsidP="00F92330">
      <w:pPr>
        <w:tabs>
          <w:tab w:val="left" w:pos="4508"/>
        </w:tabs>
        <w:spacing w:line="276" w:lineRule="auto"/>
        <w:jc w:val="both"/>
        <w:rPr>
          <w:rFonts w:asciiTheme="minorHAnsi" w:hAnsiTheme="minorHAnsi" w:cstheme="minorHAnsi"/>
          <w:sz w:val="20"/>
          <w:szCs w:val="20"/>
        </w:rPr>
      </w:pPr>
    </w:p>
    <w:p w14:paraId="1E7830AA" w14:textId="7163D9F0" w:rsidR="00AB1910" w:rsidRDefault="00AB1910" w:rsidP="00F92330">
      <w:pPr>
        <w:tabs>
          <w:tab w:val="left" w:pos="4508"/>
        </w:tabs>
        <w:spacing w:line="276" w:lineRule="auto"/>
        <w:jc w:val="both"/>
        <w:rPr>
          <w:rFonts w:asciiTheme="minorHAnsi" w:hAnsiTheme="minorHAnsi" w:cstheme="minorHAnsi"/>
          <w:sz w:val="20"/>
          <w:szCs w:val="20"/>
        </w:rPr>
      </w:pPr>
    </w:p>
    <w:p w14:paraId="1B898BCC" w14:textId="476A67F3" w:rsidR="00AB1910" w:rsidRDefault="00AB1910" w:rsidP="00F92330">
      <w:pPr>
        <w:tabs>
          <w:tab w:val="left" w:pos="4508"/>
        </w:tabs>
        <w:spacing w:line="276" w:lineRule="auto"/>
        <w:jc w:val="both"/>
        <w:rPr>
          <w:rFonts w:asciiTheme="minorHAnsi" w:hAnsiTheme="minorHAnsi" w:cstheme="minorHAnsi"/>
          <w:sz w:val="20"/>
          <w:szCs w:val="20"/>
        </w:rPr>
      </w:pPr>
    </w:p>
    <w:p w14:paraId="19957079" w14:textId="1EACC4E6" w:rsidR="00F91FC3" w:rsidRDefault="00F91FC3" w:rsidP="00F92330">
      <w:pPr>
        <w:tabs>
          <w:tab w:val="left" w:pos="4508"/>
        </w:tabs>
        <w:spacing w:line="276" w:lineRule="auto"/>
        <w:jc w:val="both"/>
        <w:rPr>
          <w:rFonts w:asciiTheme="minorHAnsi" w:hAnsiTheme="minorHAnsi" w:cstheme="minorHAnsi"/>
          <w:sz w:val="20"/>
          <w:szCs w:val="20"/>
        </w:rPr>
      </w:pPr>
    </w:p>
    <w:p w14:paraId="04A5D179" w14:textId="556D51D8" w:rsidR="00F91FC3" w:rsidRPr="00BB3C18" w:rsidRDefault="00F91FC3" w:rsidP="00F92330">
      <w:pPr>
        <w:tabs>
          <w:tab w:val="left" w:pos="4508"/>
        </w:tabs>
        <w:spacing w:line="276" w:lineRule="auto"/>
        <w:jc w:val="both"/>
        <w:rPr>
          <w:rFonts w:asciiTheme="minorHAnsi" w:hAnsiTheme="minorHAnsi" w:cstheme="minorHAnsi"/>
          <w:sz w:val="20"/>
          <w:szCs w:val="20"/>
        </w:rPr>
      </w:pPr>
    </w:p>
    <w:p w14:paraId="7CFC9A15" w14:textId="77777777" w:rsidR="00F92330" w:rsidRPr="00BB3C18" w:rsidRDefault="00F92330" w:rsidP="00F92330">
      <w:pPr>
        <w:tabs>
          <w:tab w:val="left" w:pos="4508"/>
        </w:tabs>
        <w:jc w:val="both"/>
        <w:rPr>
          <w:rFonts w:asciiTheme="minorHAnsi" w:hAnsiTheme="minorHAnsi" w:cstheme="minorHAnsi"/>
          <w:sz w:val="20"/>
          <w:szCs w:val="20"/>
        </w:rPr>
      </w:pPr>
      <w:r w:rsidRPr="00BB3C18">
        <w:rPr>
          <w:rFonts w:asciiTheme="minorHAnsi" w:hAnsiTheme="minorHAnsi" w:cstheme="minorHAnsi"/>
          <w:sz w:val="20"/>
          <w:szCs w:val="20"/>
        </w:rPr>
        <w:t>…………………………………………</w:t>
      </w:r>
    </w:p>
    <w:p w14:paraId="01B00148" w14:textId="520A04E7" w:rsidR="00F92330" w:rsidRPr="00F008B0" w:rsidRDefault="00F92330" w:rsidP="00F92330">
      <w:pPr>
        <w:tabs>
          <w:tab w:val="left" w:pos="4508"/>
        </w:tabs>
        <w:jc w:val="both"/>
        <w:rPr>
          <w:rFonts w:asciiTheme="minorHAnsi" w:hAnsiTheme="minorHAnsi" w:cstheme="minorHAnsi"/>
          <w:b/>
          <w:bCs/>
          <w:sz w:val="20"/>
          <w:szCs w:val="20"/>
        </w:rPr>
      </w:pPr>
      <w:r w:rsidRPr="00F008B0">
        <w:rPr>
          <w:rFonts w:asciiTheme="minorHAnsi" w:hAnsiTheme="minorHAnsi" w:cstheme="minorHAnsi"/>
          <w:b/>
          <w:bCs/>
          <w:sz w:val="20"/>
          <w:szCs w:val="20"/>
        </w:rPr>
        <w:t>B</w:t>
      </w:r>
      <w:r w:rsidR="00F91FC3">
        <w:rPr>
          <w:rFonts w:asciiTheme="minorHAnsi" w:hAnsiTheme="minorHAnsi" w:cstheme="minorHAnsi"/>
          <w:b/>
          <w:bCs/>
          <w:sz w:val="20"/>
          <w:szCs w:val="20"/>
        </w:rPr>
        <w:t>rad</w:t>
      </w:r>
      <w:r w:rsidRPr="00F008B0">
        <w:rPr>
          <w:rFonts w:asciiTheme="minorHAnsi" w:hAnsiTheme="minorHAnsi" w:cstheme="minorHAnsi"/>
          <w:b/>
          <w:bCs/>
          <w:sz w:val="20"/>
          <w:szCs w:val="20"/>
        </w:rPr>
        <w:t xml:space="preserve"> Taylor</w:t>
      </w:r>
    </w:p>
    <w:p w14:paraId="0312F3F8" w14:textId="5F5A406E" w:rsidR="00F92330" w:rsidRPr="00F92330" w:rsidRDefault="00F92330" w:rsidP="00F503E0">
      <w:pPr>
        <w:tabs>
          <w:tab w:val="left" w:pos="4508"/>
        </w:tabs>
        <w:rPr>
          <w:rFonts w:asciiTheme="minorHAnsi" w:hAnsiTheme="minorHAnsi" w:cstheme="minorHAnsi"/>
          <w:sz w:val="20"/>
          <w:szCs w:val="20"/>
        </w:rPr>
        <w:sectPr w:rsidR="00F92330" w:rsidRPr="00F92330" w:rsidSect="004C00D6">
          <w:headerReference w:type="even" r:id="rId65"/>
          <w:headerReference w:type="default" r:id="rId66"/>
          <w:headerReference w:type="first" r:id="rId67"/>
          <w:pgSz w:w="11906" w:h="16838"/>
          <w:pgMar w:top="720" w:right="720" w:bottom="720" w:left="720" w:header="708" w:footer="708" w:gutter="0"/>
          <w:cols w:space="708"/>
          <w:docGrid w:linePitch="360"/>
        </w:sectPr>
      </w:pPr>
      <w:r w:rsidRPr="00BB3C18">
        <w:rPr>
          <w:rFonts w:asciiTheme="minorHAnsi" w:hAnsiTheme="minorHAnsi" w:cstheme="minorHAnsi"/>
          <w:sz w:val="20"/>
          <w:szCs w:val="20"/>
        </w:rPr>
        <w:t>Directo</w:t>
      </w:r>
      <w:r w:rsidR="00F503E0">
        <w:rPr>
          <w:rFonts w:asciiTheme="minorHAnsi" w:hAnsiTheme="minorHAnsi" w:cstheme="minorHAnsi"/>
          <w:sz w:val="20"/>
          <w:szCs w:val="20"/>
        </w:rPr>
        <w:t>r</w:t>
      </w:r>
    </w:p>
    <w:tbl>
      <w:tblPr>
        <w:tblW w:w="9356" w:type="dxa"/>
        <w:tblLayout w:type="fixed"/>
        <w:tblLook w:val="00A0" w:firstRow="1" w:lastRow="0" w:firstColumn="1" w:lastColumn="0" w:noHBand="0" w:noVBand="0"/>
      </w:tblPr>
      <w:tblGrid>
        <w:gridCol w:w="3969"/>
        <w:gridCol w:w="1418"/>
        <w:gridCol w:w="1276"/>
        <w:gridCol w:w="1275"/>
        <w:gridCol w:w="1418"/>
      </w:tblGrid>
      <w:tr w:rsidR="001B109C" w:rsidRPr="00BB3C18" w14:paraId="0312F5F9" w14:textId="77777777" w:rsidTr="001B109C">
        <w:tc>
          <w:tcPr>
            <w:tcW w:w="3969" w:type="dxa"/>
          </w:tcPr>
          <w:p w14:paraId="0312F5EB" w14:textId="77777777" w:rsidR="001B109C" w:rsidRPr="00BB3C18" w:rsidRDefault="001B109C" w:rsidP="001F29BA">
            <w:pPr>
              <w:jc w:val="right"/>
              <w:rPr>
                <w:rFonts w:asciiTheme="minorHAnsi" w:hAnsiTheme="minorHAnsi" w:cstheme="minorHAnsi"/>
                <w:sz w:val="20"/>
                <w:szCs w:val="20"/>
              </w:rPr>
            </w:pPr>
            <w:bookmarkStart w:id="2" w:name="_Hlk119415729"/>
          </w:p>
        </w:tc>
        <w:tc>
          <w:tcPr>
            <w:tcW w:w="1418" w:type="dxa"/>
          </w:tcPr>
          <w:p w14:paraId="13018634" w14:textId="034EC0A7" w:rsidR="001B109C" w:rsidRPr="00BB3C18" w:rsidRDefault="001B109C" w:rsidP="00BF410B">
            <w:pPr>
              <w:jc w:val="right"/>
              <w:rPr>
                <w:rFonts w:asciiTheme="minorHAnsi" w:hAnsiTheme="minorHAnsi" w:cstheme="minorHAnsi"/>
                <w:b/>
                <w:sz w:val="20"/>
                <w:szCs w:val="20"/>
              </w:rPr>
            </w:pPr>
          </w:p>
          <w:p w14:paraId="0312F5ED" w14:textId="65FF6CE5" w:rsidR="001B109C" w:rsidRPr="00BB3C18" w:rsidRDefault="001B109C" w:rsidP="00BF410B">
            <w:pPr>
              <w:jc w:val="right"/>
              <w:rPr>
                <w:rFonts w:asciiTheme="minorHAnsi" w:hAnsiTheme="minorHAnsi" w:cstheme="minorHAnsi"/>
                <w:b/>
                <w:sz w:val="20"/>
                <w:szCs w:val="20"/>
              </w:rPr>
            </w:pPr>
            <w:r w:rsidRPr="00BB3C18">
              <w:rPr>
                <w:rFonts w:asciiTheme="minorHAnsi" w:hAnsiTheme="minorHAnsi" w:cstheme="minorHAnsi"/>
                <w:b/>
                <w:sz w:val="20"/>
                <w:szCs w:val="20"/>
              </w:rPr>
              <w:t xml:space="preserve">Share </w:t>
            </w:r>
          </w:p>
          <w:p w14:paraId="0312F5EE" w14:textId="77777777" w:rsidR="001B109C" w:rsidRPr="00BB3C18" w:rsidRDefault="001B109C" w:rsidP="00BF410B">
            <w:pPr>
              <w:jc w:val="right"/>
              <w:rPr>
                <w:rFonts w:asciiTheme="minorHAnsi" w:hAnsiTheme="minorHAnsi" w:cstheme="minorHAnsi"/>
                <w:b/>
                <w:sz w:val="20"/>
                <w:szCs w:val="20"/>
              </w:rPr>
            </w:pPr>
            <w:r w:rsidRPr="00BB3C18">
              <w:rPr>
                <w:rFonts w:asciiTheme="minorHAnsi" w:hAnsiTheme="minorHAnsi" w:cstheme="minorHAnsi"/>
                <w:b/>
                <w:sz w:val="20"/>
                <w:szCs w:val="20"/>
              </w:rPr>
              <w:t>capital</w:t>
            </w:r>
          </w:p>
          <w:p w14:paraId="0312F5EF" w14:textId="77777777" w:rsidR="001B109C" w:rsidRPr="00BB3C18" w:rsidRDefault="001B109C" w:rsidP="00BF410B">
            <w:pPr>
              <w:jc w:val="right"/>
              <w:rPr>
                <w:rFonts w:asciiTheme="minorHAnsi" w:hAnsiTheme="minorHAnsi" w:cstheme="minorHAnsi"/>
                <w:b/>
                <w:sz w:val="20"/>
                <w:szCs w:val="20"/>
              </w:rPr>
            </w:pPr>
            <w:r w:rsidRPr="00BB3C18">
              <w:rPr>
                <w:rFonts w:asciiTheme="minorHAnsi" w:hAnsiTheme="minorHAnsi" w:cstheme="minorHAnsi"/>
                <w:b/>
                <w:sz w:val="20"/>
                <w:szCs w:val="20"/>
              </w:rPr>
              <w:t>£</w:t>
            </w:r>
          </w:p>
        </w:tc>
        <w:tc>
          <w:tcPr>
            <w:tcW w:w="1276" w:type="dxa"/>
          </w:tcPr>
          <w:p w14:paraId="5B08FFEB" w14:textId="77777777" w:rsidR="001B109C" w:rsidRPr="00BB3C18" w:rsidRDefault="001B109C" w:rsidP="00973723">
            <w:pPr>
              <w:jc w:val="right"/>
              <w:rPr>
                <w:rFonts w:asciiTheme="minorHAnsi" w:hAnsiTheme="minorHAnsi" w:cstheme="minorHAnsi"/>
                <w:b/>
                <w:sz w:val="20"/>
                <w:szCs w:val="20"/>
              </w:rPr>
            </w:pPr>
          </w:p>
          <w:p w14:paraId="22D70155" w14:textId="0695A9AB" w:rsidR="001B109C" w:rsidRPr="00BB3C18" w:rsidRDefault="001B109C" w:rsidP="00973723">
            <w:pPr>
              <w:jc w:val="right"/>
              <w:rPr>
                <w:rFonts w:asciiTheme="minorHAnsi" w:hAnsiTheme="minorHAnsi" w:cstheme="minorHAnsi"/>
                <w:b/>
                <w:sz w:val="20"/>
                <w:szCs w:val="20"/>
              </w:rPr>
            </w:pPr>
            <w:r w:rsidRPr="00BB3C18">
              <w:rPr>
                <w:rFonts w:asciiTheme="minorHAnsi" w:hAnsiTheme="minorHAnsi" w:cstheme="minorHAnsi"/>
                <w:b/>
                <w:sz w:val="20"/>
                <w:szCs w:val="20"/>
              </w:rPr>
              <w:t>Share premium</w:t>
            </w:r>
          </w:p>
          <w:p w14:paraId="0312F5F0" w14:textId="2D5AD513" w:rsidR="001B109C" w:rsidRPr="00BB3C18" w:rsidRDefault="001B109C" w:rsidP="00973723">
            <w:pPr>
              <w:jc w:val="right"/>
              <w:rPr>
                <w:rFonts w:asciiTheme="minorHAnsi" w:hAnsiTheme="minorHAnsi" w:cstheme="minorHAnsi"/>
                <w:b/>
                <w:sz w:val="20"/>
                <w:szCs w:val="20"/>
              </w:rPr>
            </w:pPr>
            <w:r w:rsidRPr="00BB3C18">
              <w:rPr>
                <w:rFonts w:asciiTheme="minorHAnsi" w:hAnsiTheme="minorHAnsi" w:cstheme="minorHAnsi"/>
                <w:b/>
                <w:sz w:val="20"/>
                <w:szCs w:val="20"/>
              </w:rPr>
              <w:t>£</w:t>
            </w:r>
          </w:p>
        </w:tc>
        <w:tc>
          <w:tcPr>
            <w:tcW w:w="1275" w:type="dxa"/>
          </w:tcPr>
          <w:p w14:paraId="271B981B" w14:textId="77777777" w:rsidR="001B109C" w:rsidRPr="00BB3C18" w:rsidRDefault="001B109C" w:rsidP="001F29BA">
            <w:pPr>
              <w:jc w:val="right"/>
              <w:rPr>
                <w:rFonts w:asciiTheme="minorHAnsi" w:hAnsiTheme="minorHAnsi" w:cstheme="minorHAnsi"/>
                <w:b/>
                <w:sz w:val="20"/>
                <w:szCs w:val="20"/>
              </w:rPr>
            </w:pPr>
          </w:p>
          <w:p w14:paraId="0312F5F3" w14:textId="77777777" w:rsidR="001B109C" w:rsidRPr="00BB3C18" w:rsidRDefault="001B109C" w:rsidP="001F29BA">
            <w:pPr>
              <w:jc w:val="right"/>
              <w:rPr>
                <w:rFonts w:asciiTheme="minorHAnsi" w:hAnsiTheme="minorHAnsi" w:cstheme="minorHAnsi"/>
                <w:b/>
                <w:sz w:val="20"/>
                <w:szCs w:val="20"/>
              </w:rPr>
            </w:pPr>
            <w:r w:rsidRPr="00BB3C18">
              <w:rPr>
                <w:rFonts w:asciiTheme="minorHAnsi" w:hAnsiTheme="minorHAnsi" w:cstheme="minorHAnsi"/>
                <w:b/>
                <w:sz w:val="20"/>
                <w:szCs w:val="20"/>
              </w:rPr>
              <w:t>Retained deficit</w:t>
            </w:r>
          </w:p>
          <w:p w14:paraId="0312F5F4" w14:textId="77777777" w:rsidR="001B109C" w:rsidRPr="00BB3C18" w:rsidRDefault="001B109C" w:rsidP="001F29BA">
            <w:pPr>
              <w:jc w:val="right"/>
              <w:rPr>
                <w:rFonts w:asciiTheme="minorHAnsi" w:hAnsiTheme="minorHAnsi" w:cstheme="minorHAnsi"/>
                <w:b/>
                <w:sz w:val="20"/>
                <w:szCs w:val="20"/>
              </w:rPr>
            </w:pPr>
            <w:r w:rsidRPr="00BB3C18">
              <w:rPr>
                <w:rFonts w:asciiTheme="minorHAnsi" w:hAnsiTheme="minorHAnsi" w:cstheme="minorHAnsi"/>
                <w:b/>
                <w:sz w:val="20"/>
                <w:szCs w:val="20"/>
              </w:rPr>
              <w:t>£</w:t>
            </w:r>
          </w:p>
        </w:tc>
        <w:tc>
          <w:tcPr>
            <w:tcW w:w="1418" w:type="dxa"/>
          </w:tcPr>
          <w:p w14:paraId="68A70FC9" w14:textId="77777777" w:rsidR="001B109C" w:rsidRPr="00BB3C18" w:rsidRDefault="001B109C" w:rsidP="001F29BA">
            <w:pPr>
              <w:jc w:val="right"/>
              <w:rPr>
                <w:rFonts w:asciiTheme="minorHAnsi" w:hAnsiTheme="minorHAnsi" w:cstheme="minorHAnsi"/>
                <w:b/>
                <w:sz w:val="20"/>
                <w:szCs w:val="20"/>
              </w:rPr>
            </w:pPr>
          </w:p>
          <w:p w14:paraId="0312F5F6" w14:textId="77777777" w:rsidR="001B109C" w:rsidRPr="00BB3C18" w:rsidRDefault="001B109C" w:rsidP="001F29BA">
            <w:pPr>
              <w:jc w:val="right"/>
              <w:rPr>
                <w:rFonts w:asciiTheme="minorHAnsi" w:hAnsiTheme="minorHAnsi" w:cstheme="minorHAnsi"/>
                <w:b/>
                <w:sz w:val="20"/>
                <w:szCs w:val="20"/>
              </w:rPr>
            </w:pPr>
            <w:r w:rsidRPr="00BB3C18">
              <w:rPr>
                <w:rFonts w:asciiTheme="minorHAnsi" w:hAnsiTheme="minorHAnsi" w:cstheme="minorHAnsi"/>
                <w:b/>
                <w:sz w:val="20"/>
                <w:szCs w:val="20"/>
              </w:rPr>
              <w:t>Total</w:t>
            </w:r>
          </w:p>
          <w:p w14:paraId="0312F5F7" w14:textId="77777777" w:rsidR="001B109C" w:rsidRPr="00BB3C18" w:rsidRDefault="001B109C" w:rsidP="001F29BA">
            <w:pPr>
              <w:jc w:val="right"/>
              <w:rPr>
                <w:rFonts w:asciiTheme="minorHAnsi" w:hAnsiTheme="minorHAnsi" w:cstheme="minorHAnsi"/>
                <w:b/>
                <w:sz w:val="20"/>
                <w:szCs w:val="20"/>
              </w:rPr>
            </w:pPr>
            <w:r w:rsidRPr="00BB3C18">
              <w:rPr>
                <w:rFonts w:asciiTheme="minorHAnsi" w:hAnsiTheme="minorHAnsi" w:cstheme="minorHAnsi"/>
                <w:b/>
                <w:sz w:val="20"/>
                <w:szCs w:val="20"/>
              </w:rPr>
              <w:t>equity</w:t>
            </w:r>
          </w:p>
          <w:p w14:paraId="0312F5F8" w14:textId="77777777" w:rsidR="001B109C" w:rsidRPr="00BB3C18" w:rsidRDefault="001B109C" w:rsidP="001F29BA">
            <w:pPr>
              <w:jc w:val="right"/>
              <w:rPr>
                <w:rFonts w:asciiTheme="minorHAnsi" w:hAnsiTheme="minorHAnsi" w:cstheme="minorHAnsi"/>
                <w:b/>
                <w:sz w:val="20"/>
                <w:szCs w:val="20"/>
              </w:rPr>
            </w:pPr>
            <w:r w:rsidRPr="00BB3C18">
              <w:rPr>
                <w:rFonts w:asciiTheme="minorHAnsi" w:hAnsiTheme="minorHAnsi" w:cstheme="minorHAnsi"/>
                <w:b/>
                <w:sz w:val="20"/>
                <w:szCs w:val="20"/>
              </w:rPr>
              <w:t xml:space="preserve">£ </w:t>
            </w:r>
          </w:p>
        </w:tc>
      </w:tr>
      <w:tr w:rsidR="001B109C" w:rsidRPr="00BB3C18" w14:paraId="0312F602" w14:textId="77777777" w:rsidTr="001B109C">
        <w:tc>
          <w:tcPr>
            <w:tcW w:w="3969" w:type="dxa"/>
          </w:tcPr>
          <w:p w14:paraId="0312F5FA" w14:textId="77777777" w:rsidR="001B109C" w:rsidRPr="00BB3C18" w:rsidRDefault="001B109C">
            <w:pPr>
              <w:rPr>
                <w:rFonts w:asciiTheme="minorHAnsi" w:hAnsiTheme="minorHAnsi" w:cstheme="minorHAnsi"/>
                <w:sz w:val="20"/>
                <w:szCs w:val="20"/>
              </w:rPr>
            </w:pPr>
          </w:p>
        </w:tc>
        <w:tc>
          <w:tcPr>
            <w:tcW w:w="1418" w:type="dxa"/>
          </w:tcPr>
          <w:p w14:paraId="0312F5FC" w14:textId="77777777" w:rsidR="001B109C" w:rsidRPr="00BB3C18" w:rsidRDefault="001B109C" w:rsidP="00BF410B">
            <w:pPr>
              <w:jc w:val="right"/>
              <w:rPr>
                <w:rFonts w:asciiTheme="minorHAnsi" w:hAnsiTheme="minorHAnsi" w:cstheme="minorHAnsi"/>
                <w:sz w:val="20"/>
                <w:szCs w:val="20"/>
              </w:rPr>
            </w:pPr>
          </w:p>
        </w:tc>
        <w:tc>
          <w:tcPr>
            <w:tcW w:w="1276" w:type="dxa"/>
          </w:tcPr>
          <w:p w14:paraId="0312F5FD" w14:textId="77777777" w:rsidR="001B109C" w:rsidRPr="00BB3C18" w:rsidRDefault="001B109C" w:rsidP="00BF410B">
            <w:pPr>
              <w:jc w:val="right"/>
              <w:rPr>
                <w:rFonts w:asciiTheme="minorHAnsi" w:hAnsiTheme="minorHAnsi" w:cstheme="minorHAnsi"/>
                <w:sz w:val="20"/>
                <w:szCs w:val="20"/>
              </w:rPr>
            </w:pPr>
          </w:p>
        </w:tc>
        <w:tc>
          <w:tcPr>
            <w:tcW w:w="1275" w:type="dxa"/>
          </w:tcPr>
          <w:p w14:paraId="0312F5FF" w14:textId="77777777" w:rsidR="001B109C" w:rsidRPr="00BB3C18" w:rsidRDefault="001B109C" w:rsidP="001F29BA">
            <w:pPr>
              <w:jc w:val="right"/>
              <w:rPr>
                <w:rFonts w:asciiTheme="minorHAnsi" w:hAnsiTheme="minorHAnsi" w:cstheme="minorHAnsi"/>
                <w:sz w:val="20"/>
                <w:szCs w:val="20"/>
              </w:rPr>
            </w:pPr>
          </w:p>
        </w:tc>
        <w:tc>
          <w:tcPr>
            <w:tcW w:w="1418" w:type="dxa"/>
          </w:tcPr>
          <w:p w14:paraId="0312F601" w14:textId="77777777" w:rsidR="001B109C" w:rsidRPr="00BB3C18" w:rsidRDefault="001B109C" w:rsidP="001F29BA">
            <w:pPr>
              <w:jc w:val="right"/>
              <w:rPr>
                <w:rFonts w:asciiTheme="minorHAnsi" w:hAnsiTheme="minorHAnsi" w:cstheme="minorHAnsi"/>
                <w:sz w:val="20"/>
                <w:szCs w:val="20"/>
              </w:rPr>
            </w:pPr>
          </w:p>
        </w:tc>
      </w:tr>
      <w:tr w:rsidR="001B109C" w:rsidRPr="00BB3C18" w14:paraId="0312F60B" w14:textId="77777777" w:rsidTr="001B109C">
        <w:tc>
          <w:tcPr>
            <w:tcW w:w="3969" w:type="dxa"/>
          </w:tcPr>
          <w:p w14:paraId="0312F603" w14:textId="185361B6" w:rsidR="001B109C" w:rsidRPr="00BB3C18" w:rsidRDefault="001B109C" w:rsidP="004E2CAD">
            <w:pPr>
              <w:spacing w:line="276" w:lineRule="auto"/>
              <w:rPr>
                <w:rFonts w:asciiTheme="minorHAnsi" w:hAnsiTheme="minorHAnsi" w:cstheme="minorHAnsi"/>
                <w:sz w:val="20"/>
                <w:szCs w:val="20"/>
              </w:rPr>
            </w:pPr>
            <w:r w:rsidRPr="00BB3C18">
              <w:rPr>
                <w:rFonts w:asciiTheme="minorHAnsi" w:hAnsiTheme="minorHAnsi" w:cstheme="minorHAnsi"/>
                <w:sz w:val="20"/>
                <w:szCs w:val="20"/>
              </w:rPr>
              <w:t xml:space="preserve">Balance at </w:t>
            </w:r>
            <w:r w:rsidRPr="004E2CAD">
              <w:rPr>
                <w:rFonts w:asciiTheme="minorHAnsi" w:hAnsiTheme="minorHAnsi" w:cstheme="minorHAnsi"/>
                <w:bCs/>
                <w:sz w:val="20"/>
                <w:szCs w:val="20"/>
              </w:rPr>
              <w:t>30 June 20</w:t>
            </w:r>
            <w:r w:rsidR="0097120F">
              <w:rPr>
                <w:rFonts w:asciiTheme="minorHAnsi" w:hAnsiTheme="minorHAnsi" w:cstheme="minorHAnsi"/>
                <w:bCs/>
                <w:sz w:val="20"/>
                <w:szCs w:val="20"/>
              </w:rPr>
              <w:t>20</w:t>
            </w:r>
          </w:p>
        </w:tc>
        <w:tc>
          <w:tcPr>
            <w:tcW w:w="1418" w:type="dxa"/>
            <w:tcBorders>
              <w:bottom w:val="single" w:sz="4" w:space="0" w:color="auto"/>
            </w:tcBorders>
          </w:tcPr>
          <w:p w14:paraId="0312F605" w14:textId="167DF2C6" w:rsidR="001B109C" w:rsidRPr="00BB3C18" w:rsidRDefault="0097120F" w:rsidP="004E2CAD">
            <w:pPr>
              <w:spacing w:line="276" w:lineRule="auto"/>
              <w:jc w:val="right"/>
              <w:rPr>
                <w:rFonts w:asciiTheme="minorHAnsi" w:hAnsiTheme="minorHAnsi" w:cstheme="minorHAnsi"/>
                <w:sz w:val="20"/>
                <w:szCs w:val="20"/>
              </w:rPr>
            </w:pPr>
            <w:r>
              <w:rPr>
                <w:rFonts w:asciiTheme="minorHAnsi" w:hAnsiTheme="minorHAnsi" w:cstheme="minorHAnsi"/>
                <w:sz w:val="20"/>
                <w:szCs w:val="20"/>
              </w:rPr>
              <w:t>4,138,936</w:t>
            </w:r>
          </w:p>
        </w:tc>
        <w:tc>
          <w:tcPr>
            <w:tcW w:w="1276" w:type="dxa"/>
            <w:tcBorders>
              <w:bottom w:val="single" w:sz="4" w:space="0" w:color="auto"/>
            </w:tcBorders>
          </w:tcPr>
          <w:p w14:paraId="0312F606" w14:textId="2D6988F9" w:rsidR="001B109C" w:rsidRPr="00BB3C18" w:rsidRDefault="0097120F" w:rsidP="004E2CAD">
            <w:pPr>
              <w:spacing w:line="276" w:lineRule="auto"/>
              <w:jc w:val="right"/>
              <w:rPr>
                <w:rFonts w:asciiTheme="minorHAnsi" w:hAnsiTheme="minorHAnsi" w:cstheme="minorHAnsi"/>
                <w:sz w:val="20"/>
                <w:szCs w:val="20"/>
              </w:rPr>
            </w:pPr>
            <w:r>
              <w:rPr>
                <w:rFonts w:asciiTheme="minorHAnsi" w:hAnsiTheme="minorHAnsi" w:cstheme="minorHAnsi"/>
                <w:sz w:val="20"/>
                <w:szCs w:val="20"/>
              </w:rPr>
              <w:t>5,578,789</w:t>
            </w:r>
          </w:p>
        </w:tc>
        <w:tc>
          <w:tcPr>
            <w:tcW w:w="1275" w:type="dxa"/>
            <w:tcBorders>
              <w:bottom w:val="single" w:sz="4" w:space="0" w:color="auto"/>
            </w:tcBorders>
          </w:tcPr>
          <w:p w14:paraId="0312F608" w14:textId="3C6FD50C" w:rsidR="001B109C" w:rsidRPr="00BB3C18" w:rsidRDefault="001B109C" w:rsidP="004E2CAD">
            <w:pPr>
              <w:spacing w:line="276" w:lineRule="auto"/>
              <w:jc w:val="right"/>
              <w:rPr>
                <w:rFonts w:asciiTheme="minorHAnsi" w:hAnsiTheme="minorHAnsi" w:cstheme="minorHAnsi"/>
                <w:sz w:val="20"/>
                <w:szCs w:val="20"/>
              </w:rPr>
            </w:pPr>
            <w:r w:rsidRPr="00BB3C18">
              <w:rPr>
                <w:rFonts w:asciiTheme="minorHAnsi" w:hAnsiTheme="minorHAnsi" w:cstheme="minorHAnsi"/>
                <w:sz w:val="20"/>
                <w:szCs w:val="20"/>
              </w:rPr>
              <w:t>(</w:t>
            </w:r>
            <w:r w:rsidR="0097120F">
              <w:rPr>
                <w:rFonts w:asciiTheme="minorHAnsi" w:hAnsiTheme="minorHAnsi" w:cstheme="minorHAnsi"/>
                <w:sz w:val="20"/>
                <w:szCs w:val="20"/>
              </w:rPr>
              <w:t>12,524,595</w:t>
            </w:r>
            <w:r w:rsidRPr="00BB3C18">
              <w:rPr>
                <w:rFonts w:asciiTheme="minorHAnsi" w:hAnsiTheme="minorHAnsi" w:cstheme="minorHAnsi"/>
                <w:sz w:val="20"/>
                <w:szCs w:val="20"/>
              </w:rPr>
              <w:t>)</w:t>
            </w:r>
          </w:p>
        </w:tc>
        <w:tc>
          <w:tcPr>
            <w:tcW w:w="1418" w:type="dxa"/>
            <w:tcBorders>
              <w:bottom w:val="single" w:sz="4" w:space="0" w:color="auto"/>
            </w:tcBorders>
          </w:tcPr>
          <w:p w14:paraId="0312F60A" w14:textId="6298B23B" w:rsidR="001B109C" w:rsidRPr="00BB3C18" w:rsidRDefault="001B109C" w:rsidP="004E2CA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97120F">
              <w:rPr>
                <w:rFonts w:asciiTheme="minorHAnsi" w:hAnsiTheme="minorHAnsi" w:cstheme="minorHAnsi"/>
                <w:sz w:val="20"/>
                <w:szCs w:val="20"/>
              </w:rPr>
              <w:t>2,806,870</w:t>
            </w:r>
            <w:r>
              <w:rPr>
                <w:rFonts w:asciiTheme="minorHAnsi" w:hAnsiTheme="minorHAnsi" w:cstheme="minorHAnsi"/>
                <w:sz w:val="20"/>
                <w:szCs w:val="20"/>
              </w:rPr>
              <w:t>)</w:t>
            </w:r>
          </w:p>
        </w:tc>
      </w:tr>
      <w:tr w:rsidR="001B109C" w:rsidRPr="00BB3C18" w14:paraId="45F58580" w14:textId="77777777" w:rsidTr="001B109C">
        <w:trPr>
          <w:trHeight w:val="119"/>
        </w:trPr>
        <w:tc>
          <w:tcPr>
            <w:tcW w:w="3969" w:type="dxa"/>
          </w:tcPr>
          <w:p w14:paraId="3634C645" w14:textId="77777777" w:rsidR="001B109C" w:rsidRPr="00BB3C18" w:rsidRDefault="001B109C" w:rsidP="002E7523">
            <w:pPr>
              <w:spacing w:line="276" w:lineRule="auto"/>
              <w:rPr>
                <w:rFonts w:asciiTheme="minorHAnsi" w:hAnsiTheme="minorHAnsi" w:cstheme="minorHAnsi"/>
                <w:sz w:val="20"/>
                <w:szCs w:val="20"/>
              </w:rPr>
            </w:pPr>
          </w:p>
        </w:tc>
        <w:tc>
          <w:tcPr>
            <w:tcW w:w="1418" w:type="dxa"/>
            <w:tcBorders>
              <w:top w:val="single" w:sz="4" w:space="0" w:color="auto"/>
            </w:tcBorders>
            <w:vAlign w:val="bottom"/>
          </w:tcPr>
          <w:p w14:paraId="2381BA25" w14:textId="77777777" w:rsidR="001B109C" w:rsidRPr="00BB3C18" w:rsidRDefault="001B109C" w:rsidP="002E7523">
            <w:pPr>
              <w:spacing w:line="276" w:lineRule="auto"/>
              <w:jc w:val="right"/>
              <w:rPr>
                <w:rFonts w:asciiTheme="minorHAnsi" w:hAnsiTheme="minorHAnsi" w:cstheme="minorHAnsi"/>
                <w:sz w:val="20"/>
                <w:szCs w:val="20"/>
              </w:rPr>
            </w:pPr>
          </w:p>
        </w:tc>
        <w:tc>
          <w:tcPr>
            <w:tcW w:w="1276" w:type="dxa"/>
            <w:tcBorders>
              <w:top w:val="single" w:sz="4" w:space="0" w:color="auto"/>
              <w:left w:val="nil"/>
            </w:tcBorders>
            <w:vAlign w:val="bottom"/>
          </w:tcPr>
          <w:p w14:paraId="42CEE380" w14:textId="77777777" w:rsidR="001B109C" w:rsidRPr="00BB3C18" w:rsidRDefault="001B109C" w:rsidP="002E7523">
            <w:pPr>
              <w:spacing w:line="276" w:lineRule="auto"/>
              <w:jc w:val="right"/>
              <w:rPr>
                <w:rFonts w:asciiTheme="minorHAnsi" w:hAnsiTheme="minorHAnsi" w:cstheme="minorHAnsi"/>
                <w:sz w:val="20"/>
                <w:szCs w:val="20"/>
              </w:rPr>
            </w:pPr>
          </w:p>
        </w:tc>
        <w:tc>
          <w:tcPr>
            <w:tcW w:w="1275" w:type="dxa"/>
            <w:tcBorders>
              <w:top w:val="single" w:sz="4" w:space="0" w:color="auto"/>
              <w:left w:val="nil"/>
            </w:tcBorders>
            <w:vAlign w:val="bottom"/>
          </w:tcPr>
          <w:p w14:paraId="1F0D9A7A" w14:textId="77777777" w:rsidR="001B109C" w:rsidRPr="00BB3C18" w:rsidRDefault="001B109C" w:rsidP="002E7523">
            <w:pPr>
              <w:spacing w:line="276" w:lineRule="auto"/>
              <w:jc w:val="right"/>
              <w:rPr>
                <w:rFonts w:asciiTheme="minorHAnsi" w:hAnsiTheme="minorHAnsi" w:cstheme="minorHAnsi"/>
                <w:sz w:val="20"/>
                <w:szCs w:val="20"/>
              </w:rPr>
            </w:pPr>
          </w:p>
        </w:tc>
        <w:tc>
          <w:tcPr>
            <w:tcW w:w="1418" w:type="dxa"/>
            <w:tcBorders>
              <w:top w:val="single" w:sz="4" w:space="0" w:color="auto"/>
            </w:tcBorders>
            <w:vAlign w:val="bottom"/>
          </w:tcPr>
          <w:p w14:paraId="660AC35C" w14:textId="77777777" w:rsidR="001B109C" w:rsidRPr="00BB3C18" w:rsidRDefault="001B109C" w:rsidP="002E7523">
            <w:pPr>
              <w:spacing w:line="276" w:lineRule="auto"/>
              <w:jc w:val="right"/>
              <w:rPr>
                <w:rFonts w:asciiTheme="minorHAnsi" w:hAnsiTheme="minorHAnsi" w:cstheme="minorHAnsi"/>
                <w:sz w:val="20"/>
                <w:szCs w:val="20"/>
              </w:rPr>
            </w:pPr>
          </w:p>
        </w:tc>
      </w:tr>
      <w:tr w:rsidR="001B109C" w:rsidRPr="00BB3C18" w14:paraId="3F94470D" w14:textId="77777777" w:rsidTr="001B109C">
        <w:trPr>
          <w:trHeight w:val="119"/>
        </w:trPr>
        <w:tc>
          <w:tcPr>
            <w:tcW w:w="3969" w:type="dxa"/>
          </w:tcPr>
          <w:p w14:paraId="770F5A9C" w14:textId="0A318EAB" w:rsidR="001B109C" w:rsidRPr="00BB3C18" w:rsidRDefault="001B109C" w:rsidP="004E2CAD">
            <w:pPr>
              <w:spacing w:line="276" w:lineRule="auto"/>
              <w:rPr>
                <w:rFonts w:asciiTheme="minorHAnsi" w:hAnsiTheme="minorHAnsi" w:cstheme="minorHAnsi"/>
                <w:sz w:val="20"/>
                <w:szCs w:val="20"/>
              </w:rPr>
            </w:pPr>
            <w:r w:rsidRPr="00BB3C18">
              <w:rPr>
                <w:rFonts w:asciiTheme="minorHAnsi" w:hAnsiTheme="minorHAnsi" w:cstheme="minorHAnsi"/>
                <w:sz w:val="20"/>
                <w:szCs w:val="20"/>
              </w:rPr>
              <w:t xml:space="preserve">Loss for the </w:t>
            </w:r>
            <w:r>
              <w:rPr>
                <w:rFonts w:asciiTheme="minorHAnsi" w:hAnsiTheme="minorHAnsi" w:cstheme="minorHAnsi"/>
                <w:sz w:val="20"/>
                <w:szCs w:val="20"/>
              </w:rPr>
              <w:t>period</w:t>
            </w:r>
          </w:p>
        </w:tc>
        <w:tc>
          <w:tcPr>
            <w:tcW w:w="1418" w:type="dxa"/>
            <w:tcBorders>
              <w:bottom w:val="single" w:sz="4" w:space="0" w:color="auto"/>
            </w:tcBorders>
            <w:vAlign w:val="bottom"/>
          </w:tcPr>
          <w:p w14:paraId="536CF566" w14:textId="1A0F75E6" w:rsidR="001B109C" w:rsidRPr="00BB3C18" w:rsidRDefault="001B109C" w:rsidP="004E2CAD">
            <w:pPr>
              <w:spacing w:line="276" w:lineRule="auto"/>
              <w:jc w:val="right"/>
              <w:rPr>
                <w:rFonts w:asciiTheme="minorHAnsi" w:hAnsiTheme="minorHAnsi" w:cstheme="minorHAnsi"/>
                <w:sz w:val="20"/>
                <w:szCs w:val="20"/>
              </w:rPr>
            </w:pPr>
            <w:r w:rsidRPr="00BB3C18">
              <w:rPr>
                <w:rFonts w:asciiTheme="minorHAnsi" w:hAnsiTheme="minorHAnsi" w:cstheme="minorHAnsi"/>
                <w:sz w:val="20"/>
                <w:szCs w:val="20"/>
              </w:rPr>
              <w:t>-</w:t>
            </w:r>
          </w:p>
        </w:tc>
        <w:tc>
          <w:tcPr>
            <w:tcW w:w="1276" w:type="dxa"/>
            <w:tcBorders>
              <w:left w:val="nil"/>
              <w:bottom w:val="single" w:sz="4" w:space="0" w:color="auto"/>
            </w:tcBorders>
            <w:vAlign w:val="bottom"/>
          </w:tcPr>
          <w:p w14:paraId="160F259F" w14:textId="5E2AA8E2" w:rsidR="001B109C" w:rsidRPr="00BB3C18" w:rsidRDefault="001B109C" w:rsidP="004E2CAD">
            <w:pPr>
              <w:spacing w:line="276" w:lineRule="auto"/>
              <w:jc w:val="right"/>
              <w:rPr>
                <w:rFonts w:asciiTheme="minorHAnsi" w:hAnsiTheme="minorHAnsi" w:cstheme="minorHAnsi"/>
                <w:sz w:val="20"/>
                <w:szCs w:val="20"/>
              </w:rPr>
            </w:pPr>
            <w:r w:rsidRPr="00BB3C18">
              <w:rPr>
                <w:rFonts w:asciiTheme="minorHAnsi" w:hAnsiTheme="minorHAnsi" w:cstheme="minorHAnsi"/>
                <w:sz w:val="20"/>
                <w:szCs w:val="20"/>
              </w:rPr>
              <w:t>-</w:t>
            </w:r>
          </w:p>
        </w:tc>
        <w:tc>
          <w:tcPr>
            <w:tcW w:w="1275" w:type="dxa"/>
            <w:tcBorders>
              <w:left w:val="nil"/>
              <w:bottom w:val="single" w:sz="4" w:space="0" w:color="auto"/>
            </w:tcBorders>
          </w:tcPr>
          <w:p w14:paraId="361E0BBD" w14:textId="36C9FEBA" w:rsidR="001B109C" w:rsidRPr="00BB3C18" w:rsidRDefault="001B109C" w:rsidP="004E2CA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r w:rsidR="0097120F">
              <w:rPr>
                <w:rFonts w:asciiTheme="minorHAnsi" w:hAnsiTheme="minorHAnsi" w:cstheme="minorHAnsi"/>
                <w:sz w:val="20"/>
                <w:szCs w:val="20"/>
              </w:rPr>
              <w:t>7,36</w:t>
            </w:r>
            <w:r w:rsidR="00C91D00">
              <w:rPr>
                <w:rFonts w:asciiTheme="minorHAnsi" w:hAnsiTheme="minorHAnsi" w:cstheme="minorHAnsi"/>
                <w:sz w:val="20"/>
                <w:szCs w:val="20"/>
              </w:rPr>
              <w:t>1</w:t>
            </w:r>
            <w:r w:rsidR="0097120F">
              <w:rPr>
                <w:rFonts w:asciiTheme="minorHAnsi" w:hAnsiTheme="minorHAnsi" w:cstheme="minorHAnsi"/>
                <w:sz w:val="20"/>
                <w:szCs w:val="20"/>
              </w:rPr>
              <w:t>,</w:t>
            </w:r>
            <w:r w:rsidR="0047068D">
              <w:rPr>
                <w:rFonts w:asciiTheme="minorHAnsi" w:hAnsiTheme="minorHAnsi" w:cstheme="minorHAnsi"/>
                <w:sz w:val="20"/>
                <w:szCs w:val="20"/>
              </w:rPr>
              <w:t>6</w:t>
            </w:r>
            <w:r w:rsidR="00C91D00">
              <w:rPr>
                <w:rFonts w:asciiTheme="minorHAnsi" w:hAnsiTheme="minorHAnsi" w:cstheme="minorHAnsi"/>
                <w:sz w:val="20"/>
                <w:szCs w:val="20"/>
              </w:rPr>
              <w:t>11</w:t>
            </w:r>
            <w:r w:rsidRPr="00EC6009">
              <w:rPr>
                <w:rFonts w:asciiTheme="minorHAnsi" w:hAnsiTheme="minorHAnsi" w:cstheme="minorHAnsi"/>
                <w:sz w:val="20"/>
                <w:szCs w:val="20"/>
              </w:rPr>
              <w:t>)</w:t>
            </w:r>
          </w:p>
        </w:tc>
        <w:tc>
          <w:tcPr>
            <w:tcW w:w="1418" w:type="dxa"/>
            <w:tcBorders>
              <w:bottom w:val="single" w:sz="4" w:space="0" w:color="auto"/>
            </w:tcBorders>
          </w:tcPr>
          <w:p w14:paraId="73953EB9" w14:textId="297F7EB6" w:rsidR="001B109C" w:rsidRPr="00BB3C18" w:rsidRDefault="001B109C" w:rsidP="004E2CA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r w:rsidR="0097120F">
              <w:rPr>
                <w:rFonts w:asciiTheme="minorHAnsi" w:hAnsiTheme="minorHAnsi" w:cstheme="minorHAnsi"/>
                <w:sz w:val="20"/>
                <w:szCs w:val="20"/>
              </w:rPr>
              <w:t>7,36</w:t>
            </w:r>
            <w:r w:rsidR="00C91D00">
              <w:rPr>
                <w:rFonts w:asciiTheme="minorHAnsi" w:hAnsiTheme="minorHAnsi" w:cstheme="minorHAnsi"/>
                <w:sz w:val="20"/>
                <w:szCs w:val="20"/>
              </w:rPr>
              <w:t>1</w:t>
            </w:r>
            <w:r w:rsidR="0097120F">
              <w:rPr>
                <w:rFonts w:asciiTheme="minorHAnsi" w:hAnsiTheme="minorHAnsi" w:cstheme="minorHAnsi"/>
                <w:sz w:val="20"/>
                <w:szCs w:val="20"/>
              </w:rPr>
              <w:t>,</w:t>
            </w:r>
            <w:r w:rsidR="0047068D">
              <w:rPr>
                <w:rFonts w:asciiTheme="minorHAnsi" w:hAnsiTheme="minorHAnsi" w:cstheme="minorHAnsi"/>
                <w:sz w:val="20"/>
                <w:szCs w:val="20"/>
              </w:rPr>
              <w:t>6</w:t>
            </w:r>
            <w:r w:rsidR="00C91D00">
              <w:rPr>
                <w:rFonts w:asciiTheme="minorHAnsi" w:hAnsiTheme="minorHAnsi" w:cstheme="minorHAnsi"/>
                <w:sz w:val="20"/>
                <w:szCs w:val="20"/>
              </w:rPr>
              <w:t>11</w:t>
            </w:r>
            <w:r w:rsidRPr="00EC6009">
              <w:rPr>
                <w:rFonts w:asciiTheme="minorHAnsi" w:hAnsiTheme="minorHAnsi" w:cstheme="minorHAnsi"/>
                <w:sz w:val="20"/>
                <w:szCs w:val="20"/>
              </w:rPr>
              <w:t>)</w:t>
            </w:r>
          </w:p>
        </w:tc>
      </w:tr>
      <w:tr w:rsidR="001B109C" w:rsidRPr="00BB3C18" w14:paraId="3D719288" w14:textId="77777777" w:rsidTr="001B109C">
        <w:trPr>
          <w:trHeight w:val="119"/>
        </w:trPr>
        <w:tc>
          <w:tcPr>
            <w:tcW w:w="3969" w:type="dxa"/>
            <w:tcBorders>
              <w:right w:val="single" w:sz="4" w:space="0" w:color="auto"/>
            </w:tcBorders>
          </w:tcPr>
          <w:p w14:paraId="564690BE" w14:textId="11CA6E04" w:rsidR="001B109C" w:rsidRPr="00BB3C18" w:rsidRDefault="001B109C" w:rsidP="004E2CAD">
            <w:pPr>
              <w:spacing w:line="276" w:lineRule="auto"/>
              <w:rPr>
                <w:rFonts w:asciiTheme="minorHAnsi" w:hAnsiTheme="minorHAnsi" w:cstheme="minorHAnsi"/>
                <w:sz w:val="20"/>
                <w:szCs w:val="20"/>
              </w:rPr>
            </w:pPr>
            <w:r w:rsidRPr="00BB3C18">
              <w:rPr>
                <w:rFonts w:asciiTheme="minorHAnsi" w:hAnsiTheme="minorHAnsi" w:cstheme="minorHAnsi"/>
                <w:sz w:val="20"/>
                <w:szCs w:val="20"/>
              </w:rPr>
              <w:t>Total comprehensive loss for period</w:t>
            </w:r>
          </w:p>
        </w:tc>
        <w:tc>
          <w:tcPr>
            <w:tcW w:w="1418" w:type="dxa"/>
            <w:tcBorders>
              <w:top w:val="single" w:sz="4" w:space="0" w:color="auto"/>
              <w:left w:val="single" w:sz="4" w:space="0" w:color="auto"/>
              <w:bottom w:val="single" w:sz="4" w:space="0" w:color="auto"/>
            </w:tcBorders>
            <w:vAlign w:val="bottom"/>
          </w:tcPr>
          <w:p w14:paraId="61084A79" w14:textId="5CE10BAD" w:rsidR="001B109C" w:rsidRPr="00BB3C18" w:rsidRDefault="001B109C" w:rsidP="004E2CAD">
            <w:pPr>
              <w:spacing w:line="276" w:lineRule="auto"/>
              <w:jc w:val="right"/>
              <w:rPr>
                <w:rFonts w:asciiTheme="minorHAnsi" w:hAnsiTheme="minorHAnsi" w:cstheme="minorHAnsi"/>
                <w:sz w:val="20"/>
                <w:szCs w:val="20"/>
              </w:rPr>
            </w:pPr>
            <w:r w:rsidRPr="00BB3C18">
              <w:rPr>
                <w:rFonts w:asciiTheme="minorHAnsi" w:hAnsiTheme="minorHAnsi" w:cstheme="minorHAnsi"/>
                <w:sz w:val="20"/>
                <w:szCs w:val="20"/>
              </w:rPr>
              <w:t>-</w:t>
            </w:r>
          </w:p>
        </w:tc>
        <w:tc>
          <w:tcPr>
            <w:tcW w:w="1276" w:type="dxa"/>
            <w:tcBorders>
              <w:top w:val="single" w:sz="4" w:space="0" w:color="auto"/>
              <w:left w:val="nil"/>
              <w:bottom w:val="single" w:sz="4" w:space="0" w:color="auto"/>
            </w:tcBorders>
            <w:vAlign w:val="bottom"/>
          </w:tcPr>
          <w:p w14:paraId="161DEDFC" w14:textId="4089E0E3" w:rsidR="001B109C" w:rsidRPr="00BB3C18" w:rsidRDefault="001B109C" w:rsidP="004E2CAD">
            <w:pPr>
              <w:spacing w:line="276" w:lineRule="auto"/>
              <w:jc w:val="right"/>
              <w:rPr>
                <w:rFonts w:asciiTheme="minorHAnsi" w:hAnsiTheme="minorHAnsi" w:cstheme="minorHAnsi"/>
                <w:sz w:val="20"/>
                <w:szCs w:val="20"/>
              </w:rPr>
            </w:pPr>
            <w:r w:rsidRPr="00BB3C18">
              <w:rPr>
                <w:rFonts w:asciiTheme="minorHAnsi" w:hAnsiTheme="minorHAnsi" w:cstheme="minorHAnsi"/>
                <w:sz w:val="20"/>
                <w:szCs w:val="20"/>
              </w:rPr>
              <w:t>-</w:t>
            </w:r>
          </w:p>
        </w:tc>
        <w:tc>
          <w:tcPr>
            <w:tcW w:w="1275" w:type="dxa"/>
            <w:tcBorders>
              <w:top w:val="single" w:sz="4" w:space="0" w:color="auto"/>
              <w:left w:val="nil"/>
              <w:bottom w:val="single" w:sz="4" w:space="0" w:color="auto"/>
            </w:tcBorders>
          </w:tcPr>
          <w:p w14:paraId="41919C62" w14:textId="6ADE890D" w:rsidR="001B109C" w:rsidRPr="00BB3C18" w:rsidRDefault="001B109C" w:rsidP="004E2CA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r w:rsidR="00FC38F8">
              <w:rPr>
                <w:rFonts w:asciiTheme="minorHAnsi" w:hAnsiTheme="minorHAnsi" w:cstheme="minorHAnsi"/>
                <w:sz w:val="20"/>
                <w:szCs w:val="20"/>
              </w:rPr>
              <w:t>7,36</w:t>
            </w:r>
            <w:r w:rsidR="00C91D00">
              <w:rPr>
                <w:rFonts w:asciiTheme="minorHAnsi" w:hAnsiTheme="minorHAnsi" w:cstheme="minorHAnsi"/>
                <w:sz w:val="20"/>
                <w:szCs w:val="20"/>
              </w:rPr>
              <w:t>1,</w:t>
            </w:r>
            <w:r w:rsidR="0047068D">
              <w:rPr>
                <w:rFonts w:asciiTheme="minorHAnsi" w:hAnsiTheme="minorHAnsi" w:cstheme="minorHAnsi"/>
                <w:sz w:val="20"/>
                <w:szCs w:val="20"/>
              </w:rPr>
              <w:t>6</w:t>
            </w:r>
            <w:r w:rsidR="00C91D00">
              <w:rPr>
                <w:rFonts w:asciiTheme="minorHAnsi" w:hAnsiTheme="minorHAnsi" w:cstheme="minorHAnsi"/>
                <w:sz w:val="20"/>
                <w:szCs w:val="20"/>
              </w:rPr>
              <w:t>11</w:t>
            </w:r>
            <w:r w:rsidRPr="00EC6009">
              <w:rPr>
                <w:rFonts w:asciiTheme="minorHAnsi" w:hAnsiTheme="minorHAnsi" w:cstheme="minorHAnsi"/>
                <w:sz w:val="20"/>
                <w:szCs w:val="20"/>
              </w:rPr>
              <w:t>)</w:t>
            </w:r>
          </w:p>
        </w:tc>
        <w:tc>
          <w:tcPr>
            <w:tcW w:w="1418" w:type="dxa"/>
            <w:tcBorders>
              <w:top w:val="single" w:sz="4" w:space="0" w:color="auto"/>
              <w:bottom w:val="single" w:sz="4" w:space="0" w:color="auto"/>
              <w:right w:val="single" w:sz="4" w:space="0" w:color="auto"/>
            </w:tcBorders>
          </w:tcPr>
          <w:p w14:paraId="68D48EA7" w14:textId="2325C932" w:rsidR="001B109C" w:rsidRPr="00BB3C18" w:rsidRDefault="001B109C" w:rsidP="004E2CA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r w:rsidR="00FC38F8">
              <w:rPr>
                <w:rFonts w:asciiTheme="minorHAnsi" w:hAnsiTheme="minorHAnsi" w:cstheme="minorHAnsi"/>
                <w:sz w:val="20"/>
                <w:szCs w:val="20"/>
              </w:rPr>
              <w:t>7,36</w:t>
            </w:r>
            <w:r w:rsidR="00C91D00">
              <w:rPr>
                <w:rFonts w:asciiTheme="minorHAnsi" w:hAnsiTheme="minorHAnsi" w:cstheme="minorHAnsi"/>
                <w:sz w:val="20"/>
                <w:szCs w:val="20"/>
              </w:rPr>
              <w:t>1</w:t>
            </w:r>
            <w:r w:rsidR="00FC38F8">
              <w:rPr>
                <w:rFonts w:asciiTheme="minorHAnsi" w:hAnsiTheme="minorHAnsi" w:cstheme="minorHAnsi"/>
                <w:sz w:val="20"/>
                <w:szCs w:val="20"/>
              </w:rPr>
              <w:t>,</w:t>
            </w:r>
            <w:r w:rsidR="0047068D">
              <w:rPr>
                <w:rFonts w:asciiTheme="minorHAnsi" w:hAnsiTheme="minorHAnsi" w:cstheme="minorHAnsi"/>
                <w:sz w:val="20"/>
                <w:szCs w:val="20"/>
              </w:rPr>
              <w:t>6</w:t>
            </w:r>
            <w:r w:rsidR="00C91D00">
              <w:rPr>
                <w:rFonts w:asciiTheme="minorHAnsi" w:hAnsiTheme="minorHAnsi" w:cstheme="minorHAnsi"/>
                <w:sz w:val="20"/>
                <w:szCs w:val="20"/>
              </w:rPr>
              <w:t>11</w:t>
            </w:r>
            <w:r w:rsidRPr="00EC6009">
              <w:rPr>
                <w:rFonts w:asciiTheme="minorHAnsi" w:hAnsiTheme="minorHAnsi" w:cstheme="minorHAnsi"/>
                <w:sz w:val="20"/>
                <w:szCs w:val="20"/>
              </w:rPr>
              <w:t>)</w:t>
            </w:r>
          </w:p>
        </w:tc>
      </w:tr>
      <w:tr w:rsidR="001B109C" w:rsidRPr="00BB3C18" w14:paraId="788F2113" w14:textId="77777777" w:rsidTr="001B109C">
        <w:trPr>
          <w:trHeight w:val="119"/>
        </w:trPr>
        <w:tc>
          <w:tcPr>
            <w:tcW w:w="3969" w:type="dxa"/>
          </w:tcPr>
          <w:p w14:paraId="4A2FEE86" w14:textId="25F4DE0D" w:rsidR="001B109C" w:rsidRPr="00BB3C18" w:rsidRDefault="001B109C" w:rsidP="002E7523">
            <w:pPr>
              <w:spacing w:line="276" w:lineRule="auto"/>
              <w:rPr>
                <w:rFonts w:asciiTheme="minorHAnsi" w:hAnsiTheme="minorHAnsi" w:cstheme="minorHAnsi"/>
                <w:sz w:val="20"/>
                <w:szCs w:val="20"/>
              </w:rPr>
            </w:pPr>
            <w:r w:rsidRPr="00BB3C18">
              <w:rPr>
                <w:rFonts w:asciiTheme="minorHAnsi" w:hAnsiTheme="minorHAnsi" w:cstheme="minorHAnsi"/>
                <w:sz w:val="20"/>
                <w:szCs w:val="20"/>
              </w:rPr>
              <w:t>Transactions with owners</w:t>
            </w:r>
          </w:p>
        </w:tc>
        <w:tc>
          <w:tcPr>
            <w:tcW w:w="1418" w:type="dxa"/>
            <w:tcBorders>
              <w:top w:val="single" w:sz="4" w:space="0" w:color="auto"/>
            </w:tcBorders>
            <w:vAlign w:val="bottom"/>
          </w:tcPr>
          <w:p w14:paraId="2BDE72FB" w14:textId="77777777" w:rsidR="001B109C" w:rsidRPr="00BB3C18" w:rsidRDefault="001B109C" w:rsidP="002E7523">
            <w:pPr>
              <w:spacing w:line="276" w:lineRule="auto"/>
              <w:jc w:val="right"/>
              <w:rPr>
                <w:rFonts w:asciiTheme="minorHAnsi" w:hAnsiTheme="minorHAnsi" w:cstheme="minorHAnsi"/>
                <w:sz w:val="20"/>
                <w:szCs w:val="20"/>
              </w:rPr>
            </w:pPr>
          </w:p>
        </w:tc>
        <w:tc>
          <w:tcPr>
            <w:tcW w:w="1276" w:type="dxa"/>
            <w:tcBorders>
              <w:top w:val="single" w:sz="4" w:space="0" w:color="auto"/>
              <w:left w:val="nil"/>
            </w:tcBorders>
            <w:vAlign w:val="bottom"/>
          </w:tcPr>
          <w:p w14:paraId="0FEDDB08" w14:textId="77777777" w:rsidR="001B109C" w:rsidRPr="00BB3C18" w:rsidRDefault="001B109C" w:rsidP="002E7523">
            <w:pPr>
              <w:spacing w:line="276" w:lineRule="auto"/>
              <w:jc w:val="right"/>
              <w:rPr>
                <w:rFonts w:asciiTheme="minorHAnsi" w:hAnsiTheme="minorHAnsi" w:cstheme="minorHAnsi"/>
                <w:sz w:val="20"/>
                <w:szCs w:val="20"/>
              </w:rPr>
            </w:pPr>
          </w:p>
        </w:tc>
        <w:tc>
          <w:tcPr>
            <w:tcW w:w="1275" w:type="dxa"/>
            <w:tcBorders>
              <w:top w:val="single" w:sz="4" w:space="0" w:color="auto"/>
              <w:left w:val="nil"/>
            </w:tcBorders>
            <w:vAlign w:val="bottom"/>
          </w:tcPr>
          <w:p w14:paraId="02349156" w14:textId="77777777" w:rsidR="001B109C" w:rsidRPr="00BB3C18" w:rsidRDefault="001B109C" w:rsidP="002E7523">
            <w:pPr>
              <w:spacing w:line="276" w:lineRule="auto"/>
              <w:jc w:val="right"/>
              <w:rPr>
                <w:rFonts w:asciiTheme="minorHAnsi" w:hAnsiTheme="minorHAnsi" w:cstheme="minorHAnsi"/>
                <w:sz w:val="20"/>
                <w:szCs w:val="20"/>
              </w:rPr>
            </w:pPr>
          </w:p>
        </w:tc>
        <w:tc>
          <w:tcPr>
            <w:tcW w:w="1418" w:type="dxa"/>
            <w:tcBorders>
              <w:top w:val="single" w:sz="4" w:space="0" w:color="auto"/>
            </w:tcBorders>
            <w:vAlign w:val="bottom"/>
          </w:tcPr>
          <w:p w14:paraId="35B8407F" w14:textId="77777777" w:rsidR="001B109C" w:rsidRPr="00BB3C18" w:rsidRDefault="001B109C" w:rsidP="002E7523">
            <w:pPr>
              <w:spacing w:line="276" w:lineRule="auto"/>
              <w:jc w:val="right"/>
              <w:rPr>
                <w:rFonts w:asciiTheme="minorHAnsi" w:hAnsiTheme="minorHAnsi" w:cstheme="minorHAnsi"/>
                <w:sz w:val="20"/>
                <w:szCs w:val="20"/>
              </w:rPr>
            </w:pPr>
          </w:p>
        </w:tc>
      </w:tr>
      <w:tr w:rsidR="001B109C" w:rsidRPr="00BB3C18" w14:paraId="0312F615" w14:textId="77777777" w:rsidTr="001B109C">
        <w:trPr>
          <w:trHeight w:val="119"/>
        </w:trPr>
        <w:tc>
          <w:tcPr>
            <w:tcW w:w="3969" w:type="dxa"/>
          </w:tcPr>
          <w:p w14:paraId="0312F60C" w14:textId="779606E5" w:rsidR="001B109C" w:rsidRPr="00BB3C18" w:rsidRDefault="001B109C" w:rsidP="004E2CAD">
            <w:pPr>
              <w:spacing w:line="276" w:lineRule="auto"/>
              <w:rPr>
                <w:rFonts w:asciiTheme="minorHAnsi" w:hAnsiTheme="minorHAnsi" w:cstheme="minorHAnsi"/>
                <w:sz w:val="20"/>
                <w:szCs w:val="20"/>
              </w:rPr>
            </w:pPr>
            <w:r w:rsidRPr="00BB3C18">
              <w:rPr>
                <w:rFonts w:asciiTheme="minorHAnsi" w:hAnsiTheme="minorHAnsi" w:cstheme="minorHAnsi"/>
                <w:sz w:val="20"/>
                <w:szCs w:val="20"/>
              </w:rPr>
              <w:t>Issue of shares</w:t>
            </w:r>
          </w:p>
        </w:tc>
        <w:tc>
          <w:tcPr>
            <w:tcW w:w="1418" w:type="dxa"/>
            <w:vAlign w:val="bottom"/>
          </w:tcPr>
          <w:p w14:paraId="0312F60E" w14:textId="6C17C27E" w:rsidR="001B109C" w:rsidRPr="00BB3C18" w:rsidRDefault="00FC38F8" w:rsidP="004E2CAD">
            <w:pPr>
              <w:spacing w:line="276" w:lineRule="auto"/>
              <w:jc w:val="right"/>
              <w:rPr>
                <w:rFonts w:asciiTheme="minorHAnsi" w:hAnsiTheme="minorHAnsi" w:cstheme="minorHAnsi"/>
                <w:sz w:val="20"/>
                <w:szCs w:val="20"/>
              </w:rPr>
            </w:pPr>
            <w:r>
              <w:rPr>
                <w:rFonts w:asciiTheme="minorHAnsi" w:hAnsiTheme="minorHAnsi" w:cstheme="minorHAnsi"/>
                <w:sz w:val="20"/>
                <w:szCs w:val="20"/>
              </w:rPr>
              <w:t>311,570</w:t>
            </w:r>
          </w:p>
        </w:tc>
        <w:tc>
          <w:tcPr>
            <w:tcW w:w="1276" w:type="dxa"/>
            <w:tcBorders>
              <w:left w:val="nil"/>
            </w:tcBorders>
            <w:vAlign w:val="bottom"/>
          </w:tcPr>
          <w:p w14:paraId="0312F60F" w14:textId="0F8CBA52" w:rsidR="001B109C" w:rsidRPr="00BB3C18" w:rsidRDefault="00FC38F8" w:rsidP="004E2CAD">
            <w:pPr>
              <w:spacing w:line="276" w:lineRule="auto"/>
              <w:jc w:val="right"/>
              <w:rPr>
                <w:rFonts w:asciiTheme="minorHAnsi" w:hAnsiTheme="minorHAnsi" w:cstheme="minorHAnsi"/>
                <w:sz w:val="20"/>
                <w:szCs w:val="20"/>
              </w:rPr>
            </w:pPr>
            <w:r>
              <w:rPr>
                <w:rFonts w:asciiTheme="minorHAnsi" w:hAnsiTheme="minorHAnsi" w:cstheme="minorHAnsi"/>
                <w:sz w:val="20"/>
                <w:szCs w:val="20"/>
              </w:rPr>
              <w:t>2,</w:t>
            </w:r>
            <w:r w:rsidR="0047068D">
              <w:rPr>
                <w:rFonts w:asciiTheme="minorHAnsi" w:hAnsiTheme="minorHAnsi" w:cstheme="minorHAnsi"/>
                <w:sz w:val="20"/>
                <w:szCs w:val="20"/>
              </w:rPr>
              <w:t>406</w:t>
            </w:r>
            <w:r>
              <w:rPr>
                <w:rFonts w:asciiTheme="minorHAnsi" w:hAnsiTheme="minorHAnsi" w:cstheme="minorHAnsi"/>
                <w:sz w:val="20"/>
                <w:szCs w:val="20"/>
              </w:rPr>
              <w:t>,</w:t>
            </w:r>
            <w:r w:rsidR="0047068D">
              <w:rPr>
                <w:rFonts w:asciiTheme="minorHAnsi" w:hAnsiTheme="minorHAnsi" w:cstheme="minorHAnsi"/>
                <w:sz w:val="20"/>
                <w:szCs w:val="20"/>
              </w:rPr>
              <w:t>223</w:t>
            </w:r>
          </w:p>
        </w:tc>
        <w:tc>
          <w:tcPr>
            <w:tcW w:w="1275" w:type="dxa"/>
            <w:tcBorders>
              <w:left w:val="nil"/>
            </w:tcBorders>
            <w:vAlign w:val="bottom"/>
          </w:tcPr>
          <w:p w14:paraId="0312F612" w14:textId="6D6C5135" w:rsidR="001B109C" w:rsidRPr="00BB3C18" w:rsidRDefault="001B109C" w:rsidP="004E2CAD">
            <w:pPr>
              <w:spacing w:line="276" w:lineRule="auto"/>
              <w:jc w:val="right"/>
              <w:rPr>
                <w:rFonts w:asciiTheme="minorHAnsi" w:hAnsiTheme="minorHAnsi" w:cstheme="minorHAnsi"/>
                <w:sz w:val="20"/>
                <w:szCs w:val="20"/>
              </w:rPr>
            </w:pPr>
            <w:r w:rsidRPr="00C25B75">
              <w:rPr>
                <w:rFonts w:asciiTheme="minorHAnsi" w:hAnsiTheme="minorHAnsi" w:cstheme="minorHAnsi"/>
                <w:sz w:val="20"/>
                <w:szCs w:val="20"/>
              </w:rPr>
              <w:t>-</w:t>
            </w:r>
          </w:p>
        </w:tc>
        <w:tc>
          <w:tcPr>
            <w:tcW w:w="1418" w:type="dxa"/>
            <w:vAlign w:val="bottom"/>
          </w:tcPr>
          <w:p w14:paraId="0312F614" w14:textId="641E1363" w:rsidR="001B109C" w:rsidRPr="00BB3C18" w:rsidRDefault="00FC38F8" w:rsidP="004E2CAD">
            <w:pPr>
              <w:spacing w:line="276" w:lineRule="auto"/>
              <w:jc w:val="right"/>
              <w:rPr>
                <w:rFonts w:asciiTheme="minorHAnsi" w:hAnsiTheme="minorHAnsi" w:cstheme="minorHAnsi"/>
                <w:sz w:val="20"/>
                <w:szCs w:val="20"/>
              </w:rPr>
            </w:pPr>
            <w:r>
              <w:rPr>
                <w:rFonts w:asciiTheme="minorHAnsi" w:hAnsiTheme="minorHAnsi" w:cstheme="minorHAnsi"/>
                <w:sz w:val="20"/>
                <w:szCs w:val="20"/>
              </w:rPr>
              <w:t>2,</w:t>
            </w:r>
            <w:r w:rsidR="0047068D">
              <w:rPr>
                <w:rFonts w:asciiTheme="minorHAnsi" w:hAnsiTheme="minorHAnsi" w:cstheme="minorHAnsi"/>
                <w:sz w:val="20"/>
                <w:szCs w:val="20"/>
              </w:rPr>
              <w:t>717</w:t>
            </w:r>
            <w:r>
              <w:rPr>
                <w:rFonts w:asciiTheme="minorHAnsi" w:hAnsiTheme="minorHAnsi" w:cstheme="minorHAnsi"/>
                <w:sz w:val="20"/>
                <w:szCs w:val="20"/>
              </w:rPr>
              <w:t>,</w:t>
            </w:r>
            <w:r w:rsidR="0047068D">
              <w:rPr>
                <w:rFonts w:asciiTheme="minorHAnsi" w:hAnsiTheme="minorHAnsi" w:cstheme="minorHAnsi"/>
                <w:sz w:val="20"/>
                <w:szCs w:val="20"/>
              </w:rPr>
              <w:t>793</w:t>
            </w:r>
          </w:p>
        </w:tc>
      </w:tr>
      <w:tr w:rsidR="0047068D" w:rsidRPr="00BB3C18" w14:paraId="1AC3C708" w14:textId="77777777" w:rsidTr="002C5126">
        <w:trPr>
          <w:trHeight w:val="119"/>
        </w:trPr>
        <w:tc>
          <w:tcPr>
            <w:tcW w:w="3969" w:type="dxa"/>
          </w:tcPr>
          <w:p w14:paraId="05179A82" w14:textId="5CCF8103" w:rsidR="0047068D" w:rsidRPr="00BB3C18" w:rsidRDefault="0047068D" w:rsidP="0047068D">
            <w:pPr>
              <w:spacing w:line="276" w:lineRule="auto"/>
              <w:rPr>
                <w:rFonts w:asciiTheme="minorHAnsi" w:hAnsiTheme="minorHAnsi" w:cstheme="minorHAnsi"/>
                <w:sz w:val="20"/>
                <w:szCs w:val="20"/>
              </w:rPr>
            </w:pPr>
            <w:r>
              <w:rPr>
                <w:rFonts w:asciiTheme="minorHAnsi" w:hAnsiTheme="minorHAnsi" w:cstheme="minorHAnsi"/>
                <w:sz w:val="20"/>
                <w:szCs w:val="20"/>
              </w:rPr>
              <w:t>Cost of placings</w:t>
            </w:r>
          </w:p>
        </w:tc>
        <w:tc>
          <w:tcPr>
            <w:tcW w:w="1418" w:type="dxa"/>
            <w:tcBorders>
              <w:bottom w:val="single" w:sz="4" w:space="0" w:color="auto"/>
            </w:tcBorders>
            <w:vAlign w:val="bottom"/>
          </w:tcPr>
          <w:p w14:paraId="758F2426" w14:textId="1F95297B" w:rsidR="0047068D"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276" w:type="dxa"/>
            <w:tcBorders>
              <w:left w:val="nil"/>
              <w:bottom w:val="single" w:sz="4" w:space="0" w:color="auto"/>
            </w:tcBorders>
            <w:vAlign w:val="bottom"/>
          </w:tcPr>
          <w:p w14:paraId="0F6ABC1C" w14:textId="386521E9" w:rsidR="0047068D"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(84,234)</w:t>
            </w:r>
          </w:p>
        </w:tc>
        <w:tc>
          <w:tcPr>
            <w:tcW w:w="1275" w:type="dxa"/>
            <w:tcBorders>
              <w:left w:val="nil"/>
              <w:bottom w:val="single" w:sz="4" w:space="0" w:color="auto"/>
            </w:tcBorders>
            <w:vAlign w:val="bottom"/>
          </w:tcPr>
          <w:p w14:paraId="0CBF4189" w14:textId="1AD2B366" w:rsidR="0047068D" w:rsidRPr="00C25B75"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418" w:type="dxa"/>
            <w:tcBorders>
              <w:bottom w:val="single" w:sz="4" w:space="0" w:color="auto"/>
            </w:tcBorders>
            <w:vAlign w:val="bottom"/>
          </w:tcPr>
          <w:p w14:paraId="2041E390" w14:textId="20391C09" w:rsidR="0047068D"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(84,234)</w:t>
            </w:r>
          </w:p>
        </w:tc>
      </w:tr>
      <w:tr w:rsidR="0047068D" w:rsidRPr="00BB3C18" w14:paraId="0312F61F" w14:textId="77777777" w:rsidTr="001B109C">
        <w:trPr>
          <w:trHeight w:val="119"/>
        </w:trPr>
        <w:tc>
          <w:tcPr>
            <w:tcW w:w="3969" w:type="dxa"/>
            <w:tcBorders>
              <w:right w:val="single" w:sz="4" w:space="0" w:color="auto"/>
            </w:tcBorders>
          </w:tcPr>
          <w:p w14:paraId="0312F616" w14:textId="3378F829" w:rsidR="0047068D" w:rsidRPr="00BB3C18" w:rsidRDefault="0047068D" w:rsidP="0047068D">
            <w:pPr>
              <w:spacing w:line="276" w:lineRule="auto"/>
              <w:rPr>
                <w:rFonts w:asciiTheme="minorHAnsi" w:hAnsiTheme="minorHAnsi" w:cstheme="minorHAnsi"/>
                <w:sz w:val="20"/>
                <w:szCs w:val="20"/>
              </w:rPr>
            </w:pPr>
            <w:r w:rsidRPr="00BB3C18">
              <w:rPr>
                <w:rFonts w:asciiTheme="minorHAnsi" w:hAnsiTheme="minorHAnsi" w:cstheme="minorHAnsi"/>
                <w:sz w:val="20"/>
                <w:szCs w:val="20"/>
              </w:rPr>
              <w:t>Total contributions by and distributions to owners</w:t>
            </w:r>
          </w:p>
        </w:tc>
        <w:tc>
          <w:tcPr>
            <w:tcW w:w="1418" w:type="dxa"/>
            <w:tcBorders>
              <w:top w:val="single" w:sz="4" w:space="0" w:color="auto"/>
              <w:left w:val="single" w:sz="4" w:space="0" w:color="auto"/>
              <w:bottom w:val="single" w:sz="4" w:space="0" w:color="auto"/>
            </w:tcBorders>
            <w:vAlign w:val="bottom"/>
          </w:tcPr>
          <w:p w14:paraId="0312F618" w14:textId="053315FA" w:rsidR="0047068D" w:rsidRPr="00BB3C18"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311,570</w:t>
            </w:r>
          </w:p>
        </w:tc>
        <w:tc>
          <w:tcPr>
            <w:tcW w:w="1276" w:type="dxa"/>
            <w:tcBorders>
              <w:top w:val="single" w:sz="4" w:space="0" w:color="auto"/>
              <w:left w:val="nil"/>
              <w:bottom w:val="single" w:sz="4" w:space="0" w:color="auto"/>
            </w:tcBorders>
            <w:vAlign w:val="bottom"/>
          </w:tcPr>
          <w:p w14:paraId="0312F619" w14:textId="5D7BA3A3" w:rsidR="0047068D" w:rsidRPr="00BB3C18"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2,321,</w:t>
            </w:r>
            <w:r w:rsidR="00E055C2">
              <w:rPr>
                <w:rFonts w:asciiTheme="minorHAnsi" w:hAnsiTheme="minorHAnsi" w:cstheme="minorHAnsi"/>
                <w:sz w:val="20"/>
                <w:szCs w:val="20"/>
              </w:rPr>
              <w:t>9</w:t>
            </w:r>
            <w:r>
              <w:rPr>
                <w:rFonts w:asciiTheme="minorHAnsi" w:hAnsiTheme="minorHAnsi" w:cstheme="minorHAnsi"/>
                <w:sz w:val="20"/>
                <w:szCs w:val="20"/>
              </w:rPr>
              <w:t>89</w:t>
            </w:r>
          </w:p>
        </w:tc>
        <w:tc>
          <w:tcPr>
            <w:tcW w:w="1275" w:type="dxa"/>
            <w:tcBorders>
              <w:top w:val="single" w:sz="4" w:space="0" w:color="auto"/>
              <w:left w:val="nil"/>
              <w:bottom w:val="single" w:sz="4" w:space="0" w:color="auto"/>
            </w:tcBorders>
            <w:vAlign w:val="bottom"/>
          </w:tcPr>
          <w:p w14:paraId="0312F61C" w14:textId="5B96C6B3" w:rsidR="0047068D" w:rsidRPr="00BB3C18" w:rsidRDefault="0047068D" w:rsidP="0047068D">
            <w:pPr>
              <w:spacing w:line="276" w:lineRule="auto"/>
              <w:jc w:val="right"/>
              <w:rPr>
                <w:rFonts w:asciiTheme="minorHAnsi" w:hAnsiTheme="minorHAnsi" w:cstheme="minorHAnsi"/>
                <w:sz w:val="20"/>
                <w:szCs w:val="20"/>
              </w:rPr>
            </w:pPr>
            <w:r w:rsidRPr="00C25B75">
              <w:rPr>
                <w:rFonts w:asciiTheme="minorHAnsi" w:hAnsiTheme="minorHAnsi" w:cstheme="minorHAnsi"/>
                <w:sz w:val="20"/>
                <w:szCs w:val="20"/>
              </w:rPr>
              <w:t>-</w:t>
            </w:r>
          </w:p>
        </w:tc>
        <w:tc>
          <w:tcPr>
            <w:tcW w:w="1418" w:type="dxa"/>
            <w:tcBorders>
              <w:top w:val="single" w:sz="4" w:space="0" w:color="auto"/>
              <w:bottom w:val="single" w:sz="4" w:space="0" w:color="auto"/>
              <w:right w:val="single" w:sz="4" w:space="0" w:color="auto"/>
            </w:tcBorders>
            <w:shd w:val="clear" w:color="auto" w:fill="auto"/>
            <w:vAlign w:val="bottom"/>
          </w:tcPr>
          <w:p w14:paraId="0312F61E" w14:textId="0D4E0935" w:rsidR="0047068D" w:rsidRPr="00BB3C18" w:rsidRDefault="0047068D" w:rsidP="0047068D">
            <w:pPr>
              <w:spacing w:line="276" w:lineRule="auto"/>
              <w:jc w:val="right"/>
              <w:rPr>
                <w:rFonts w:asciiTheme="minorHAnsi" w:hAnsiTheme="minorHAnsi" w:cstheme="minorHAnsi"/>
                <w:sz w:val="20"/>
                <w:szCs w:val="20"/>
                <w:highlight w:val="yellow"/>
              </w:rPr>
            </w:pPr>
            <w:r>
              <w:rPr>
                <w:rFonts w:asciiTheme="minorHAnsi" w:hAnsiTheme="minorHAnsi" w:cstheme="minorHAnsi"/>
                <w:sz w:val="20"/>
                <w:szCs w:val="20"/>
              </w:rPr>
              <w:t>2,633,559</w:t>
            </w:r>
          </w:p>
        </w:tc>
      </w:tr>
      <w:tr w:rsidR="00E055C2" w:rsidRPr="00BB3C18" w14:paraId="3025747C" w14:textId="77777777" w:rsidTr="001B109C">
        <w:trPr>
          <w:trHeight w:val="429"/>
        </w:trPr>
        <w:tc>
          <w:tcPr>
            <w:tcW w:w="3969" w:type="dxa"/>
          </w:tcPr>
          <w:p w14:paraId="13ED322F" w14:textId="77777777" w:rsidR="00E055C2" w:rsidRDefault="00E055C2" w:rsidP="0047068D">
            <w:pPr>
              <w:spacing w:line="276" w:lineRule="auto"/>
              <w:rPr>
                <w:rFonts w:asciiTheme="minorHAnsi" w:hAnsiTheme="minorHAnsi" w:cstheme="minorHAnsi"/>
                <w:b/>
                <w:sz w:val="20"/>
                <w:szCs w:val="20"/>
              </w:rPr>
            </w:pPr>
          </w:p>
        </w:tc>
        <w:tc>
          <w:tcPr>
            <w:tcW w:w="1418" w:type="dxa"/>
            <w:tcBorders>
              <w:top w:val="single" w:sz="4" w:space="0" w:color="auto"/>
            </w:tcBorders>
          </w:tcPr>
          <w:p w14:paraId="0DAAFB96" w14:textId="77777777" w:rsidR="00E055C2" w:rsidRDefault="00E055C2" w:rsidP="0047068D">
            <w:pPr>
              <w:spacing w:line="276" w:lineRule="auto"/>
              <w:jc w:val="right"/>
              <w:rPr>
                <w:rFonts w:asciiTheme="minorHAnsi" w:hAnsiTheme="minorHAnsi" w:cstheme="minorHAnsi"/>
                <w:sz w:val="20"/>
                <w:szCs w:val="20"/>
              </w:rPr>
            </w:pPr>
          </w:p>
        </w:tc>
        <w:tc>
          <w:tcPr>
            <w:tcW w:w="1276" w:type="dxa"/>
            <w:tcBorders>
              <w:top w:val="single" w:sz="4" w:space="0" w:color="auto"/>
            </w:tcBorders>
          </w:tcPr>
          <w:p w14:paraId="73825A0B" w14:textId="77777777" w:rsidR="00E055C2" w:rsidRDefault="00E055C2" w:rsidP="0047068D">
            <w:pPr>
              <w:spacing w:line="276" w:lineRule="auto"/>
              <w:jc w:val="right"/>
              <w:rPr>
                <w:rFonts w:asciiTheme="minorHAnsi" w:hAnsiTheme="minorHAnsi" w:cstheme="minorHAnsi"/>
                <w:sz w:val="20"/>
                <w:szCs w:val="20"/>
              </w:rPr>
            </w:pPr>
          </w:p>
        </w:tc>
        <w:tc>
          <w:tcPr>
            <w:tcW w:w="1275" w:type="dxa"/>
            <w:tcBorders>
              <w:top w:val="single" w:sz="4" w:space="0" w:color="auto"/>
            </w:tcBorders>
          </w:tcPr>
          <w:p w14:paraId="6AC54CCF" w14:textId="77777777" w:rsidR="00E055C2" w:rsidRDefault="00E055C2" w:rsidP="0047068D">
            <w:pPr>
              <w:spacing w:line="276" w:lineRule="auto"/>
              <w:jc w:val="right"/>
              <w:rPr>
                <w:rFonts w:asciiTheme="minorHAnsi" w:hAnsiTheme="minorHAnsi" w:cstheme="minorHAnsi"/>
                <w:sz w:val="20"/>
                <w:szCs w:val="20"/>
              </w:rPr>
            </w:pPr>
          </w:p>
        </w:tc>
        <w:tc>
          <w:tcPr>
            <w:tcW w:w="1418" w:type="dxa"/>
            <w:tcBorders>
              <w:top w:val="single" w:sz="4" w:space="0" w:color="auto"/>
            </w:tcBorders>
          </w:tcPr>
          <w:p w14:paraId="2E2081EF" w14:textId="77777777" w:rsidR="00E055C2" w:rsidRDefault="00E055C2" w:rsidP="0047068D">
            <w:pPr>
              <w:spacing w:line="276" w:lineRule="auto"/>
              <w:jc w:val="right"/>
              <w:rPr>
                <w:rFonts w:asciiTheme="minorHAnsi" w:hAnsiTheme="minorHAnsi" w:cstheme="minorHAnsi"/>
                <w:sz w:val="20"/>
                <w:szCs w:val="20"/>
              </w:rPr>
            </w:pPr>
          </w:p>
        </w:tc>
      </w:tr>
      <w:tr w:rsidR="0047068D" w:rsidRPr="00BB3C18" w14:paraId="0312F629" w14:textId="77777777" w:rsidTr="001B109C">
        <w:trPr>
          <w:trHeight w:val="429"/>
        </w:trPr>
        <w:tc>
          <w:tcPr>
            <w:tcW w:w="3969" w:type="dxa"/>
          </w:tcPr>
          <w:p w14:paraId="0312F620" w14:textId="1B1459B1" w:rsidR="0047068D" w:rsidRPr="00BB3C18" w:rsidRDefault="0047068D" w:rsidP="0047068D">
            <w:pPr>
              <w:spacing w:line="276" w:lineRule="auto"/>
              <w:rPr>
                <w:rFonts w:asciiTheme="minorHAnsi" w:hAnsiTheme="minorHAnsi" w:cstheme="minorHAnsi"/>
                <w:b/>
                <w:sz w:val="20"/>
                <w:szCs w:val="20"/>
              </w:rPr>
            </w:pPr>
            <w:r w:rsidRPr="00BB3C18">
              <w:rPr>
                <w:rFonts w:asciiTheme="minorHAnsi" w:hAnsiTheme="minorHAnsi" w:cstheme="minorHAnsi"/>
                <w:b/>
                <w:sz w:val="20"/>
                <w:szCs w:val="20"/>
              </w:rPr>
              <w:t xml:space="preserve">Balance at </w:t>
            </w:r>
            <w:r w:rsidRPr="00C25B75">
              <w:rPr>
                <w:rFonts w:asciiTheme="minorHAnsi" w:hAnsiTheme="minorHAnsi" w:cstheme="minorHAnsi"/>
                <w:b/>
                <w:sz w:val="20"/>
                <w:szCs w:val="20"/>
              </w:rPr>
              <w:t>30 June 202</w:t>
            </w:r>
            <w:r>
              <w:rPr>
                <w:rFonts w:asciiTheme="minorHAnsi" w:hAnsiTheme="minorHAnsi" w:cstheme="minorHAnsi"/>
                <w:b/>
                <w:sz w:val="20"/>
                <w:szCs w:val="20"/>
              </w:rPr>
              <w:t>1</w:t>
            </w:r>
          </w:p>
        </w:tc>
        <w:tc>
          <w:tcPr>
            <w:tcW w:w="1418" w:type="dxa"/>
            <w:tcBorders>
              <w:top w:val="single" w:sz="4" w:space="0" w:color="auto"/>
            </w:tcBorders>
          </w:tcPr>
          <w:p w14:paraId="0312F622" w14:textId="7CD99F94" w:rsidR="0047068D" w:rsidRPr="00BB3C18" w:rsidRDefault="0047068D" w:rsidP="0047068D">
            <w:pPr>
              <w:spacing w:line="276" w:lineRule="auto"/>
              <w:jc w:val="right"/>
              <w:rPr>
                <w:rFonts w:asciiTheme="minorHAnsi" w:hAnsiTheme="minorHAnsi" w:cstheme="minorHAnsi"/>
                <w:sz w:val="20"/>
                <w:szCs w:val="20"/>
              </w:rPr>
            </w:pPr>
            <w:r w:rsidRPr="00C25B75">
              <w:rPr>
                <w:rFonts w:asciiTheme="minorHAnsi" w:hAnsiTheme="minorHAnsi" w:cstheme="minorHAnsi"/>
                <w:sz w:val="20"/>
                <w:szCs w:val="20"/>
              </w:rPr>
              <w:t>4,</w:t>
            </w:r>
            <w:r>
              <w:rPr>
                <w:rFonts w:asciiTheme="minorHAnsi" w:hAnsiTheme="minorHAnsi" w:cstheme="minorHAnsi"/>
                <w:sz w:val="20"/>
                <w:szCs w:val="20"/>
              </w:rPr>
              <w:t>450,506</w:t>
            </w:r>
          </w:p>
        </w:tc>
        <w:tc>
          <w:tcPr>
            <w:tcW w:w="1276" w:type="dxa"/>
            <w:tcBorders>
              <w:top w:val="single" w:sz="4" w:space="0" w:color="auto"/>
            </w:tcBorders>
          </w:tcPr>
          <w:p w14:paraId="0312F623" w14:textId="2C05A273" w:rsidR="0047068D" w:rsidRPr="00BB3C18"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7,900,778</w:t>
            </w:r>
          </w:p>
        </w:tc>
        <w:tc>
          <w:tcPr>
            <w:tcW w:w="1275" w:type="dxa"/>
            <w:tcBorders>
              <w:top w:val="single" w:sz="4" w:space="0" w:color="auto"/>
            </w:tcBorders>
          </w:tcPr>
          <w:p w14:paraId="0312F626" w14:textId="00BDEE87" w:rsidR="0047068D" w:rsidRPr="00BB3C18" w:rsidRDefault="0047068D" w:rsidP="0047068D">
            <w:pPr>
              <w:spacing w:line="276" w:lineRule="auto"/>
              <w:jc w:val="right"/>
              <w:rPr>
                <w:rFonts w:asciiTheme="minorHAnsi" w:hAnsiTheme="minorHAnsi" w:cstheme="minorHAnsi"/>
                <w:sz w:val="20"/>
                <w:szCs w:val="20"/>
              </w:rPr>
            </w:pPr>
            <w:r w:rsidRPr="00C25B75">
              <w:rPr>
                <w:rFonts w:asciiTheme="minorHAnsi" w:hAnsiTheme="minorHAnsi" w:cstheme="minorHAnsi"/>
                <w:sz w:val="20"/>
                <w:szCs w:val="20"/>
              </w:rPr>
              <w:t>(</w:t>
            </w:r>
            <w:r>
              <w:rPr>
                <w:rFonts w:asciiTheme="minorHAnsi" w:hAnsiTheme="minorHAnsi" w:cstheme="minorHAnsi"/>
                <w:sz w:val="20"/>
                <w:szCs w:val="20"/>
              </w:rPr>
              <w:t>19,886,206</w:t>
            </w:r>
            <w:r w:rsidRPr="00C25B75">
              <w:rPr>
                <w:rFonts w:asciiTheme="minorHAnsi" w:hAnsiTheme="minorHAnsi" w:cstheme="minorHAnsi"/>
                <w:sz w:val="20"/>
                <w:szCs w:val="20"/>
              </w:rPr>
              <w:t>)</w:t>
            </w:r>
          </w:p>
        </w:tc>
        <w:tc>
          <w:tcPr>
            <w:tcW w:w="1418" w:type="dxa"/>
            <w:tcBorders>
              <w:top w:val="single" w:sz="4" w:space="0" w:color="auto"/>
            </w:tcBorders>
          </w:tcPr>
          <w:p w14:paraId="0312F628" w14:textId="37192CD2" w:rsidR="0047068D" w:rsidRPr="00BB3C18" w:rsidRDefault="0047068D" w:rsidP="0047068D">
            <w:pPr>
              <w:spacing w:line="276" w:lineRule="auto"/>
              <w:jc w:val="right"/>
              <w:rPr>
                <w:rFonts w:asciiTheme="minorHAnsi" w:hAnsiTheme="minorHAnsi" w:cstheme="minorHAnsi"/>
                <w:sz w:val="20"/>
                <w:szCs w:val="20"/>
              </w:rPr>
            </w:pPr>
            <w:r w:rsidRPr="00C25B75">
              <w:rPr>
                <w:rFonts w:asciiTheme="minorHAnsi" w:hAnsiTheme="minorHAnsi" w:cstheme="minorHAnsi"/>
                <w:sz w:val="20"/>
                <w:szCs w:val="20"/>
              </w:rPr>
              <w:t>(</w:t>
            </w:r>
            <w:r>
              <w:rPr>
                <w:rFonts w:asciiTheme="minorHAnsi" w:hAnsiTheme="minorHAnsi" w:cstheme="minorHAnsi"/>
                <w:sz w:val="20"/>
                <w:szCs w:val="20"/>
              </w:rPr>
              <w:t>7,534,922</w:t>
            </w:r>
            <w:r w:rsidRPr="00C25B75">
              <w:rPr>
                <w:rFonts w:asciiTheme="minorHAnsi" w:hAnsiTheme="minorHAnsi" w:cstheme="minorHAnsi"/>
                <w:sz w:val="20"/>
                <w:szCs w:val="20"/>
              </w:rPr>
              <w:t>)</w:t>
            </w:r>
          </w:p>
        </w:tc>
      </w:tr>
      <w:tr w:rsidR="0047068D" w:rsidRPr="00BB3C18" w14:paraId="0312F632" w14:textId="77777777" w:rsidTr="001B109C">
        <w:tc>
          <w:tcPr>
            <w:tcW w:w="3969" w:type="dxa"/>
          </w:tcPr>
          <w:p w14:paraId="0312F62A" w14:textId="77777777" w:rsidR="0047068D" w:rsidRPr="00EC6009" w:rsidRDefault="0047068D" w:rsidP="0047068D">
            <w:pPr>
              <w:spacing w:line="276" w:lineRule="auto"/>
              <w:jc w:val="right"/>
              <w:rPr>
                <w:rFonts w:asciiTheme="minorHAnsi" w:hAnsiTheme="minorHAnsi" w:cstheme="minorHAnsi"/>
                <w:sz w:val="20"/>
                <w:szCs w:val="20"/>
              </w:rPr>
            </w:pPr>
          </w:p>
        </w:tc>
        <w:tc>
          <w:tcPr>
            <w:tcW w:w="1418" w:type="dxa"/>
          </w:tcPr>
          <w:p w14:paraId="0312F62C" w14:textId="77777777" w:rsidR="0047068D" w:rsidRPr="00EC6009" w:rsidRDefault="0047068D" w:rsidP="0047068D">
            <w:pPr>
              <w:spacing w:line="276" w:lineRule="auto"/>
              <w:jc w:val="right"/>
              <w:rPr>
                <w:rFonts w:asciiTheme="minorHAnsi" w:hAnsiTheme="minorHAnsi" w:cstheme="minorHAnsi"/>
                <w:b/>
                <w:sz w:val="20"/>
                <w:szCs w:val="20"/>
              </w:rPr>
            </w:pPr>
          </w:p>
        </w:tc>
        <w:tc>
          <w:tcPr>
            <w:tcW w:w="1276" w:type="dxa"/>
          </w:tcPr>
          <w:p w14:paraId="0312F62D" w14:textId="77777777" w:rsidR="0047068D" w:rsidRPr="00EC6009" w:rsidRDefault="0047068D" w:rsidP="0047068D">
            <w:pPr>
              <w:spacing w:line="276" w:lineRule="auto"/>
              <w:jc w:val="right"/>
              <w:rPr>
                <w:rFonts w:asciiTheme="minorHAnsi" w:hAnsiTheme="minorHAnsi" w:cstheme="minorHAnsi"/>
                <w:b/>
                <w:sz w:val="20"/>
                <w:szCs w:val="20"/>
              </w:rPr>
            </w:pPr>
          </w:p>
        </w:tc>
        <w:tc>
          <w:tcPr>
            <w:tcW w:w="1275" w:type="dxa"/>
          </w:tcPr>
          <w:p w14:paraId="0312F62F" w14:textId="77777777" w:rsidR="0047068D" w:rsidRPr="00EC6009" w:rsidRDefault="0047068D" w:rsidP="0047068D">
            <w:pPr>
              <w:spacing w:line="276" w:lineRule="auto"/>
              <w:jc w:val="right"/>
              <w:rPr>
                <w:rFonts w:asciiTheme="minorHAnsi" w:hAnsiTheme="minorHAnsi" w:cstheme="minorHAnsi"/>
                <w:b/>
                <w:sz w:val="20"/>
                <w:szCs w:val="20"/>
              </w:rPr>
            </w:pPr>
          </w:p>
        </w:tc>
        <w:tc>
          <w:tcPr>
            <w:tcW w:w="1418" w:type="dxa"/>
          </w:tcPr>
          <w:p w14:paraId="0312F631" w14:textId="77777777" w:rsidR="0047068D" w:rsidRPr="00EC6009" w:rsidRDefault="0047068D" w:rsidP="0047068D">
            <w:pPr>
              <w:spacing w:line="276" w:lineRule="auto"/>
              <w:jc w:val="right"/>
              <w:rPr>
                <w:rFonts w:asciiTheme="minorHAnsi" w:hAnsiTheme="minorHAnsi" w:cstheme="minorHAnsi"/>
                <w:b/>
                <w:sz w:val="20"/>
                <w:szCs w:val="20"/>
              </w:rPr>
            </w:pPr>
          </w:p>
        </w:tc>
      </w:tr>
      <w:tr w:rsidR="0047068D" w:rsidRPr="00BB3C18" w14:paraId="0312F63B" w14:textId="77777777" w:rsidTr="001B109C">
        <w:tc>
          <w:tcPr>
            <w:tcW w:w="3969" w:type="dxa"/>
          </w:tcPr>
          <w:p w14:paraId="0312F633" w14:textId="67B1D31B" w:rsidR="0047068D" w:rsidRPr="00EC6009" w:rsidRDefault="0047068D" w:rsidP="0047068D">
            <w:pPr>
              <w:spacing w:line="276" w:lineRule="auto"/>
              <w:rPr>
                <w:rFonts w:asciiTheme="minorHAnsi" w:hAnsiTheme="minorHAnsi" w:cstheme="minorHAnsi"/>
                <w:sz w:val="20"/>
                <w:szCs w:val="20"/>
              </w:rPr>
            </w:pPr>
            <w:r w:rsidRPr="00EC6009">
              <w:rPr>
                <w:rFonts w:asciiTheme="minorHAnsi" w:hAnsiTheme="minorHAnsi" w:cstheme="minorHAnsi"/>
                <w:sz w:val="20"/>
                <w:szCs w:val="20"/>
              </w:rPr>
              <w:t xml:space="preserve">Loss for the </w:t>
            </w:r>
            <w:r>
              <w:rPr>
                <w:rFonts w:asciiTheme="minorHAnsi" w:hAnsiTheme="minorHAnsi" w:cstheme="minorHAnsi"/>
                <w:sz w:val="20"/>
                <w:szCs w:val="20"/>
              </w:rPr>
              <w:t>year</w:t>
            </w:r>
          </w:p>
        </w:tc>
        <w:tc>
          <w:tcPr>
            <w:tcW w:w="1418" w:type="dxa"/>
            <w:tcBorders>
              <w:bottom w:val="single" w:sz="4" w:space="0" w:color="auto"/>
            </w:tcBorders>
          </w:tcPr>
          <w:p w14:paraId="0312F635" w14:textId="5C42D91C" w:rsidR="0047068D" w:rsidRPr="00EC6009" w:rsidRDefault="0047068D" w:rsidP="0047068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p>
        </w:tc>
        <w:tc>
          <w:tcPr>
            <w:tcW w:w="1276" w:type="dxa"/>
            <w:tcBorders>
              <w:bottom w:val="single" w:sz="4" w:space="0" w:color="auto"/>
            </w:tcBorders>
          </w:tcPr>
          <w:p w14:paraId="0312F636" w14:textId="0B8FDCE5" w:rsidR="0047068D" w:rsidRPr="00EC6009" w:rsidRDefault="0047068D" w:rsidP="0047068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p>
        </w:tc>
        <w:tc>
          <w:tcPr>
            <w:tcW w:w="1275" w:type="dxa"/>
            <w:tcBorders>
              <w:bottom w:val="single" w:sz="4" w:space="0" w:color="auto"/>
            </w:tcBorders>
          </w:tcPr>
          <w:p w14:paraId="0312F638" w14:textId="0ACEE2E1" w:rsidR="0047068D" w:rsidRPr="00EC6009"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160FF9">
              <w:rPr>
                <w:rFonts w:asciiTheme="minorHAnsi" w:hAnsiTheme="minorHAnsi" w:cstheme="minorHAnsi"/>
                <w:sz w:val="20"/>
                <w:szCs w:val="20"/>
              </w:rPr>
              <w:t>1,403,13</w:t>
            </w:r>
            <w:r w:rsidR="00802FA9">
              <w:rPr>
                <w:rFonts w:asciiTheme="minorHAnsi" w:hAnsiTheme="minorHAnsi" w:cstheme="minorHAnsi"/>
                <w:sz w:val="20"/>
                <w:szCs w:val="20"/>
              </w:rPr>
              <w:t>8</w:t>
            </w:r>
            <w:r>
              <w:rPr>
                <w:rFonts w:asciiTheme="minorHAnsi" w:hAnsiTheme="minorHAnsi" w:cstheme="minorHAnsi"/>
                <w:sz w:val="20"/>
                <w:szCs w:val="20"/>
              </w:rPr>
              <w:t>)</w:t>
            </w:r>
          </w:p>
        </w:tc>
        <w:tc>
          <w:tcPr>
            <w:tcW w:w="1418" w:type="dxa"/>
            <w:tcBorders>
              <w:bottom w:val="single" w:sz="4" w:space="0" w:color="auto"/>
            </w:tcBorders>
          </w:tcPr>
          <w:p w14:paraId="0312F63A" w14:textId="0F821839" w:rsidR="0047068D" w:rsidRPr="00EC6009"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160FF9">
              <w:rPr>
                <w:rFonts w:asciiTheme="minorHAnsi" w:hAnsiTheme="minorHAnsi" w:cstheme="minorHAnsi"/>
                <w:sz w:val="20"/>
                <w:szCs w:val="20"/>
              </w:rPr>
              <w:t>1,403,13</w:t>
            </w:r>
            <w:r w:rsidR="00802FA9">
              <w:rPr>
                <w:rFonts w:asciiTheme="minorHAnsi" w:hAnsiTheme="minorHAnsi" w:cstheme="minorHAnsi"/>
                <w:sz w:val="20"/>
                <w:szCs w:val="20"/>
              </w:rPr>
              <w:t>8</w:t>
            </w:r>
            <w:r>
              <w:rPr>
                <w:rFonts w:asciiTheme="minorHAnsi" w:hAnsiTheme="minorHAnsi" w:cstheme="minorHAnsi"/>
                <w:sz w:val="20"/>
                <w:szCs w:val="20"/>
              </w:rPr>
              <w:t>)</w:t>
            </w:r>
          </w:p>
        </w:tc>
      </w:tr>
      <w:tr w:rsidR="0047068D" w:rsidRPr="00BB3C18" w14:paraId="1F041BD9" w14:textId="77777777" w:rsidTr="00E055C2">
        <w:tc>
          <w:tcPr>
            <w:tcW w:w="3969" w:type="dxa"/>
            <w:tcBorders>
              <w:right w:val="single" w:sz="4" w:space="0" w:color="auto"/>
            </w:tcBorders>
          </w:tcPr>
          <w:p w14:paraId="069D261A" w14:textId="7E0D25EB" w:rsidR="0047068D" w:rsidRPr="00EC6009" w:rsidRDefault="0047068D" w:rsidP="0047068D">
            <w:pPr>
              <w:spacing w:line="276" w:lineRule="auto"/>
              <w:rPr>
                <w:rFonts w:asciiTheme="minorHAnsi" w:hAnsiTheme="minorHAnsi" w:cstheme="minorHAnsi"/>
                <w:sz w:val="20"/>
                <w:szCs w:val="20"/>
              </w:rPr>
            </w:pPr>
            <w:r w:rsidRPr="00EC6009">
              <w:rPr>
                <w:rFonts w:asciiTheme="minorHAnsi" w:hAnsiTheme="minorHAnsi" w:cstheme="minorHAnsi"/>
                <w:sz w:val="20"/>
                <w:szCs w:val="20"/>
              </w:rPr>
              <w:t xml:space="preserve">Total comprehensive loss for </w:t>
            </w:r>
            <w:r>
              <w:rPr>
                <w:rFonts w:asciiTheme="minorHAnsi" w:hAnsiTheme="minorHAnsi" w:cstheme="minorHAnsi"/>
                <w:sz w:val="20"/>
                <w:szCs w:val="20"/>
              </w:rPr>
              <w:t>year</w:t>
            </w:r>
          </w:p>
        </w:tc>
        <w:tc>
          <w:tcPr>
            <w:tcW w:w="1418" w:type="dxa"/>
            <w:tcBorders>
              <w:top w:val="single" w:sz="4" w:space="0" w:color="auto"/>
              <w:left w:val="single" w:sz="4" w:space="0" w:color="auto"/>
              <w:bottom w:val="single" w:sz="4" w:space="0" w:color="auto"/>
            </w:tcBorders>
          </w:tcPr>
          <w:p w14:paraId="55CB6C3D" w14:textId="1DEB3E83" w:rsidR="0047068D" w:rsidRPr="00EC6009" w:rsidRDefault="0047068D" w:rsidP="0047068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p>
        </w:tc>
        <w:tc>
          <w:tcPr>
            <w:tcW w:w="1276" w:type="dxa"/>
            <w:tcBorders>
              <w:top w:val="single" w:sz="4" w:space="0" w:color="auto"/>
              <w:bottom w:val="single" w:sz="4" w:space="0" w:color="auto"/>
            </w:tcBorders>
          </w:tcPr>
          <w:p w14:paraId="78045439" w14:textId="64C9DDC3" w:rsidR="0047068D" w:rsidRPr="00EC6009" w:rsidRDefault="0047068D" w:rsidP="0047068D">
            <w:pPr>
              <w:spacing w:line="276" w:lineRule="auto"/>
              <w:jc w:val="right"/>
              <w:rPr>
                <w:rFonts w:asciiTheme="minorHAnsi" w:hAnsiTheme="minorHAnsi" w:cstheme="minorHAnsi"/>
                <w:sz w:val="20"/>
                <w:szCs w:val="20"/>
              </w:rPr>
            </w:pPr>
            <w:r w:rsidRPr="00EC6009">
              <w:rPr>
                <w:rFonts w:asciiTheme="minorHAnsi" w:hAnsiTheme="minorHAnsi" w:cstheme="minorHAnsi"/>
                <w:sz w:val="20"/>
                <w:szCs w:val="20"/>
              </w:rPr>
              <w:t>-</w:t>
            </w:r>
          </w:p>
        </w:tc>
        <w:tc>
          <w:tcPr>
            <w:tcW w:w="1275" w:type="dxa"/>
            <w:tcBorders>
              <w:top w:val="single" w:sz="4" w:space="0" w:color="auto"/>
              <w:bottom w:val="single" w:sz="4" w:space="0" w:color="auto"/>
            </w:tcBorders>
          </w:tcPr>
          <w:p w14:paraId="3A3CDC9B" w14:textId="36B2D9EE" w:rsidR="0047068D" w:rsidRPr="00EC6009"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160FF9">
              <w:rPr>
                <w:rFonts w:asciiTheme="minorHAnsi" w:hAnsiTheme="minorHAnsi" w:cstheme="minorHAnsi"/>
                <w:sz w:val="20"/>
                <w:szCs w:val="20"/>
              </w:rPr>
              <w:t>1,403,13</w:t>
            </w:r>
            <w:r w:rsidR="00802FA9">
              <w:rPr>
                <w:rFonts w:asciiTheme="minorHAnsi" w:hAnsiTheme="minorHAnsi" w:cstheme="minorHAnsi"/>
                <w:sz w:val="20"/>
                <w:szCs w:val="20"/>
              </w:rPr>
              <w:t>8</w:t>
            </w:r>
            <w:r>
              <w:rPr>
                <w:rFonts w:asciiTheme="minorHAnsi" w:hAnsiTheme="minorHAnsi" w:cstheme="minorHAnsi"/>
                <w:sz w:val="20"/>
                <w:szCs w:val="20"/>
              </w:rPr>
              <w:t>)</w:t>
            </w:r>
          </w:p>
        </w:tc>
        <w:tc>
          <w:tcPr>
            <w:tcW w:w="1418" w:type="dxa"/>
            <w:tcBorders>
              <w:top w:val="single" w:sz="4" w:space="0" w:color="auto"/>
              <w:bottom w:val="single" w:sz="4" w:space="0" w:color="auto"/>
              <w:right w:val="single" w:sz="4" w:space="0" w:color="auto"/>
            </w:tcBorders>
          </w:tcPr>
          <w:p w14:paraId="4BE80491" w14:textId="390D440F" w:rsidR="0047068D" w:rsidRPr="00EC6009" w:rsidRDefault="00160FF9"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(1,403,13</w:t>
            </w:r>
            <w:r w:rsidR="00802FA9">
              <w:rPr>
                <w:rFonts w:asciiTheme="minorHAnsi" w:hAnsiTheme="minorHAnsi" w:cstheme="minorHAnsi"/>
                <w:sz w:val="20"/>
                <w:szCs w:val="20"/>
              </w:rPr>
              <w:t>8</w:t>
            </w:r>
            <w:r>
              <w:rPr>
                <w:rFonts w:asciiTheme="minorHAnsi" w:hAnsiTheme="minorHAnsi" w:cstheme="minorHAnsi"/>
                <w:sz w:val="20"/>
                <w:szCs w:val="20"/>
              </w:rPr>
              <w:t>)</w:t>
            </w:r>
          </w:p>
        </w:tc>
      </w:tr>
      <w:tr w:rsidR="00E055C2" w:rsidRPr="00BB3C18" w14:paraId="4756AB2F" w14:textId="77777777" w:rsidTr="00E055C2">
        <w:trPr>
          <w:trHeight w:val="429"/>
        </w:trPr>
        <w:tc>
          <w:tcPr>
            <w:tcW w:w="3969" w:type="dxa"/>
          </w:tcPr>
          <w:p w14:paraId="3855FB8A" w14:textId="77777777" w:rsidR="00E055C2" w:rsidRDefault="00E055C2" w:rsidP="0047068D">
            <w:pPr>
              <w:spacing w:line="276" w:lineRule="auto"/>
              <w:rPr>
                <w:rFonts w:asciiTheme="minorHAnsi" w:hAnsiTheme="minorHAnsi" w:cstheme="minorHAnsi"/>
                <w:b/>
                <w:sz w:val="20"/>
                <w:szCs w:val="20"/>
              </w:rPr>
            </w:pPr>
          </w:p>
        </w:tc>
        <w:tc>
          <w:tcPr>
            <w:tcW w:w="1418" w:type="dxa"/>
            <w:tcBorders>
              <w:top w:val="single" w:sz="4" w:space="0" w:color="auto"/>
              <w:bottom w:val="single" w:sz="4" w:space="0" w:color="auto"/>
            </w:tcBorders>
          </w:tcPr>
          <w:p w14:paraId="559FBC24" w14:textId="77777777" w:rsidR="00E055C2" w:rsidRDefault="00E055C2" w:rsidP="0047068D">
            <w:pPr>
              <w:spacing w:line="276" w:lineRule="auto"/>
              <w:jc w:val="right"/>
              <w:rPr>
                <w:rFonts w:asciiTheme="minorHAnsi" w:hAnsiTheme="minorHAnsi" w:cstheme="minorHAnsi"/>
                <w:sz w:val="20"/>
                <w:szCs w:val="20"/>
              </w:rPr>
            </w:pPr>
          </w:p>
        </w:tc>
        <w:tc>
          <w:tcPr>
            <w:tcW w:w="1276" w:type="dxa"/>
            <w:tcBorders>
              <w:top w:val="single" w:sz="4" w:space="0" w:color="auto"/>
              <w:bottom w:val="single" w:sz="4" w:space="0" w:color="auto"/>
            </w:tcBorders>
          </w:tcPr>
          <w:p w14:paraId="6C019734" w14:textId="77777777" w:rsidR="00E055C2" w:rsidRDefault="00E055C2" w:rsidP="0047068D">
            <w:pPr>
              <w:spacing w:line="276" w:lineRule="auto"/>
              <w:jc w:val="right"/>
              <w:rPr>
                <w:rFonts w:asciiTheme="minorHAnsi" w:hAnsiTheme="minorHAnsi" w:cstheme="minorHAnsi"/>
                <w:sz w:val="20"/>
                <w:szCs w:val="20"/>
              </w:rPr>
            </w:pPr>
          </w:p>
        </w:tc>
        <w:tc>
          <w:tcPr>
            <w:tcW w:w="1275" w:type="dxa"/>
            <w:tcBorders>
              <w:top w:val="single" w:sz="4" w:space="0" w:color="auto"/>
              <w:bottom w:val="single" w:sz="4" w:space="0" w:color="auto"/>
            </w:tcBorders>
          </w:tcPr>
          <w:p w14:paraId="141295D6" w14:textId="77777777" w:rsidR="00E055C2" w:rsidRDefault="00E055C2" w:rsidP="0047068D">
            <w:pPr>
              <w:spacing w:line="276" w:lineRule="auto"/>
              <w:jc w:val="right"/>
              <w:rPr>
                <w:rFonts w:asciiTheme="minorHAnsi" w:hAnsiTheme="minorHAnsi" w:cstheme="minorHAnsi"/>
                <w:sz w:val="20"/>
                <w:szCs w:val="20"/>
              </w:rPr>
            </w:pPr>
          </w:p>
        </w:tc>
        <w:tc>
          <w:tcPr>
            <w:tcW w:w="1418" w:type="dxa"/>
            <w:tcBorders>
              <w:top w:val="single" w:sz="4" w:space="0" w:color="auto"/>
              <w:bottom w:val="single" w:sz="4" w:space="0" w:color="auto"/>
            </w:tcBorders>
          </w:tcPr>
          <w:p w14:paraId="280AF49B" w14:textId="77777777" w:rsidR="00E055C2" w:rsidRDefault="00E055C2" w:rsidP="0047068D">
            <w:pPr>
              <w:spacing w:line="276" w:lineRule="auto"/>
              <w:jc w:val="right"/>
              <w:rPr>
                <w:rFonts w:asciiTheme="minorHAnsi" w:hAnsiTheme="minorHAnsi" w:cstheme="minorHAnsi"/>
                <w:sz w:val="20"/>
                <w:szCs w:val="20"/>
              </w:rPr>
            </w:pPr>
          </w:p>
        </w:tc>
      </w:tr>
      <w:tr w:rsidR="0047068D" w:rsidRPr="00BB3C18" w14:paraId="0312F676" w14:textId="77777777" w:rsidTr="00E055C2">
        <w:trPr>
          <w:trHeight w:val="332"/>
        </w:trPr>
        <w:tc>
          <w:tcPr>
            <w:tcW w:w="3969" w:type="dxa"/>
          </w:tcPr>
          <w:p w14:paraId="0312F66D" w14:textId="77777777" w:rsidR="0047068D" w:rsidRPr="00C25B75" w:rsidRDefault="0047068D" w:rsidP="0047068D">
            <w:pPr>
              <w:spacing w:line="276" w:lineRule="auto"/>
              <w:rPr>
                <w:rFonts w:asciiTheme="minorHAnsi" w:hAnsiTheme="minorHAnsi" w:cstheme="minorHAnsi"/>
                <w:b/>
                <w:sz w:val="20"/>
                <w:szCs w:val="20"/>
              </w:rPr>
            </w:pPr>
            <w:r w:rsidRPr="00C25B75">
              <w:rPr>
                <w:rFonts w:asciiTheme="minorHAnsi" w:hAnsiTheme="minorHAnsi" w:cstheme="minorHAnsi"/>
                <w:b/>
                <w:sz w:val="20"/>
                <w:szCs w:val="20"/>
              </w:rPr>
              <w:t>Balance at 30 June 202</w:t>
            </w:r>
            <w:r>
              <w:rPr>
                <w:rFonts w:asciiTheme="minorHAnsi" w:hAnsiTheme="minorHAnsi" w:cstheme="minorHAnsi"/>
                <w:b/>
                <w:sz w:val="20"/>
                <w:szCs w:val="20"/>
              </w:rPr>
              <w:t>2</w:t>
            </w:r>
          </w:p>
        </w:tc>
        <w:tc>
          <w:tcPr>
            <w:tcW w:w="1418" w:type="dxa"/>
            <w:tcBorders>
              <w:top w:val="single" w:sz="4" w:space="0" w:color="auto"/>
              <w:bottom w:val="double" w:sz="4" w:space="0" w:color="auto"/>
            </w:tcBorders>
          </w:tcPr>
          <w:p w14:paraId="0312F66F" w14:textId="5FCFB540" w:rsidR="0047068D" w:rsidRPr="00C25B75"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4,450,506</w:t>
            </w:r>
          </w:p>
        </w:tc>
        <w:tc>
          <w:tcPr>
            <w:tcW w:w="1276" w:type="dxa"/>
            <w:tcBorders>
              <w:top w:val="single" w:sz="4" w:space="0" w:color="auto"/>
              <w:bottom w:val="double" w:sz="4" w:space="0" w:color="auto"/>
            </w:tcBorders>
          </w:tcPr>
          <w:p w14:paraId="0312F670" w14:textId="69C0F3D4" w:rsidR="0047068D" w:rsidRPr="00C25B75"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7,900,</w:t>
            </w:r>
            <w:r w:rsidR="001E20D6">
              <w:rPr>
                <w:rFonts w:asciiTheme="minorHAnsi" w:hAnsiTheme="minorHAnsi" w:cstheme="minorHAnsi"/>
                <w:sz w:val="20"/>
                <w:szCs w:val="20"/>
              </w:rPr>
              <w:t>7</w:t>
            </w:r>
            <w:r>
              <w:rPr>
                <w:rFonts w:asciiTheme="minorHAnsi" w:hAnsiTheme="minorHAnsi" w:cstheme="minorHAnsi"/>
                <w:sz w:val="20"/>
                <w:szCs w:val="20"/>
              </w:rPr>
              <w:t>78</w:t>
            </w:r>
          </w:p>
        </w:tc>
        <w:tc>
          <w:tcPr>
            <w:tcW w:w="1275" w:type="dxa"/>
            <w:tcBorders>
              <w:top w:val="single" w:sz="4" w:space="0" w:color="auto"/>
              <w:bottom w:val="double" w:sz="4" w:space="0" w:color="auto"/>
            </w:tcBorders>
          </w:tcPr>
          <w:p w14:paraId="0312F673" w14:textId="35F4B775" w:rsidR="0047068D" w:rsidRPr="00C25B75" w:rsidRDefault="0047068D"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280B98">
              <w:rPr>
                <w:rFonts w:asciiTheme="minorHAnsi" w:hAnsiTheme="minorHAnsi" w:cstheme="minorHAnsi"/>
                <w:sz w:val="20"/>
                <w:szCs w:val="20"/>
              </w:rPr>
              <w:t>21,289,34</w:t>
            </w:r>
            <w:r w:rsidR="00802FA9">
              <w:rPr>
                <w:rFonts w:asciiTheme="minorHAnsi" w:hAnsiTheme="minorHAnsi" w:cstheme="minorHAnsi"/>
                <w:sz w:val="20"/>
                <w:szCs w:val="20"/>
              </w:rPr>
              <w:t>4</w:t>
            </w:r>
            <w:r>
              <w:rPr>
                <w:rFonts w:asciiTheme="minorHAnsi" w:hAnsiTheme="minorHAnsi" w:cstheme="minorHAnsi"/>
                <w:sz w:val="20"/>
                <w:szCs w:val="20"/>
              </w:rPr>
              <w:t>)</w:t>
            </w:r>
          </w:p>
        </w:tc>
        <w:tc>
          <w:tcPr>
            <w:tcW w:w="1418" w:type="dxa"/>
            <w:tcBorders>
              <w:top w:val="single" w:sz="4" w:space="0" w:color="auto"/>
              <w:bottom w:val="double" w:sz="4" w:space="0" w:color="auto"/>
            </w:tcBorders>
          </w:tcPr>
          <w:p w14:paraId="0312F675" w14:textId="461A089B" w:rsidR="0047068D" w:rsidRPr="00C25B75" w:rsidRDefault="00280B98" w:rsidP="0047068D">
            <w:pPr>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47068D">
              <w:rPr>
                <w:rFonts w:asciiTheme="minorHAnsi" w:hAnsiTheme="minorHAnsi" w:cstheme="minorHAnsi"/>
                <w:sz w:val="20"/>
                <w:szCs w:val="20"/>
              </w:rPr>
              <w:t>8,9</w:t>
            </w:r>
            <w:r>
              <w:rPr>
                <w:rFonts w:asciiTheme="minorHAnsi" w:hAnsiTheme="minorHAnsi" w:cstheme="minorHAnsi"/>
                <w:sz w:val="20"/>
                <w:szCs w:val="20"/>
              </w:rPr>
              <w:t>38</w:t>
            </w:r>
            <w:r w:rsidR="0047068D">
              <w:rPr>
                <w:rFonts w:asciiTheme="minorHAnsi" w:hAnsiTheme="minorHAnsi" w:cstheme="minorHAnsi"/>
                <w:sz w:val="20"/>
                <w:szCs w:val="20"/>
              </w:rPr>
              <w:t>,</w:t>
            </w:r>
            <w:r>
              <w:rPr>
                <w:rFonts w:asciiTheme="minorHAnsi" w:hAnsiTheme="minorHAnsi" w:cstheme="minorHAnsi"/>
                <w:sz w:val="20"/>
                <w:szCs w:val="20"/>
              </w:rPr>
              <w:t>0</w:t>
            </w:r>
            <w:r w:rsidR="00802FA9">
              <w:rPr>
                <w:rFonts w:asciiTheme="minorHAnsi" w:hAnsiTheme="minorHAnsi" w:cstheme="minorHAnsi"/>
                <w:sz w:val="20"/>
                <w:szCs w:val="20"/>
              </w:rPr>
              <w:t>60</w:t>
            </w:r>
            <w:r>
              <w:rPr>
                <w:rFonts w:asciiTheme="minorHAnsi" w:hAnsiTheme="minorHAnsi" w:cstheme="minorHAnsi"/>
                <w:sz w:val="20"/>
                <w:szCs w:val="20"/>
              </w:rPr>
              <w:t>)</w:t>
            </w:r>
          </w:p>
        </w:tc>
      </w:tr>
    </w:tbl>
    <w:p w14:paraId="0312F677" w14:textId="05744B9C" w:rsidR="005B7F66" w:rsidRPr="00BB3C18" w:rsidRDefault="001E20D6" w:rsidP="001E20D6">
      <w:pPr>
        <w:tabs>
          <w:tab w:val="left" w:pos="7800"/>
        </w:tabs>
        <w:spacing w:line="276" w:lineRule="auto"/>
        <w:jc w:val="both"/>
        <w:rPr>
          <w:rFonts w:asciiTheme="minorHAnsi" w:hAnsiTheme="minorHAnsi" w:cstheme="minorHAnsi"/>
          <w:sz w:val="20"/>
          <w:szCs w:val="20"/>
        </w:rPr>
      </w:pPr>
      <w:r>
        <w:rPr>
          <w:rFonts w:asciiTheme="minorHAnsi" w:hAnsiTheme="minorHAnsi" w:cstheme="minorHAnsi"/>
          <w:sz w:val="20"/>
          <w:szCs w:val="20"/>
        </w:rPr>
        <w:tab/>
      </w:r>
    </w:p>
    <w:p w14:paraId="0312F678" w14:textId="77777777" w:rsidR="00C35D90" w:rsidRPr="00BB3C18" w:rsidRDefault="00C35D90" w:rsidP="002E7523">
      <w:pPr>
        <w:tabs>
          <w:tab w:val="left" w:pos="4508"/>
        </w:tabs>
        <w:spacing w:line="276" w:lineRule="auto"/>
        <w:jc w:val="both"/>
        <w:rPr>
          <w:rFonts w:asciiTheme="minorHAnsi" w:hAnsiTheme="minorHAnsi" w:cstheme="minorHAnsi"/>
          <w:sz w:val="20"/>
          <w:szCs w:val="20"/>
        </w:rPr>
      </w:pPr>
    </w:p>
    <w:bookmarkEnd w:id="2"/>
    <w:p w14:paraId="0312F679" w14:textId="77777777" w:rsidR="005B7F66" w:rsidRPr="00BB3C18" w:rsidRDefault="005B7F66" w:rsidP="00B54CC6">
      <w:pPr>
        <w:tabs>
          <w:tab w:val="left" w:pos="4508"/>
        </w:tabs>
        <w:jc w:val="both"/>
        <w:rPr>
          <w:rFonts w:asciiTheme="minorHAnsi" w:hAnsiTheme="minorHAnsi" w:cstheme="minorHAnsi"/>
          <w:sz w:val="20"/>
          <w:szCs w:val="20"/>
        </w:rPr>
        <w:sectPr w:rsidR="005B7F66" w:rsidRPr="00BB3C18" w:rsidSect="009E7A4B">
          <w:headerReference w:type="even" r:id="rId68"/>
          <w:headerReference w:type="default" r:id="rId69"/>
          <w:headerReference w:type="first" r:id="rId70"/>
          <w:pgSz w:w="11906" w:h="16838"/>
          <w:pgMar w:top="720" w:right="1841" w:bottom="720" w:left="720" w:header="708" w:footer="708" w:gutter="0"/>
          <w:cols w:space="708"/>
          <w:docGrid w:linePitch="360"/>
        </w:sectPr>
      </w:pPr>
    </w:p>
    <w:p w14:paraId="0312F776" w14:textId="19611111" w:rsidR="005B7F66" w:rsidRPr="00BB3C18" w:rsidRDefault="00327471" w:rsidP="00E537DF">
      <w:pPr>
        <w:pStyle w:val="ListParagraph"/>
        <w:numPr>
          <w:ilvl w:val="0"/>
          <w:numId w:val="2"/>
        </w:numPr>
        <w:spacing w:line="276" w:lineRule="auto"/>
        <w:ind w:left="567" w:hanging="283"/>
        <w:jc w:val="both"/>
        <w:rPr>
          <w:rFonts w:asciiTheme="minorHAnsi" w:hAnsiTheme="minorHAnsi" w:cstheme="minorHAnsi"/>
          <w:b/>
          <w:sz w:val="20"/>
          <w:szCs w:val="20"/>
        </w:rPr>
      </w:pPr>
      <w:r w:rsidRPr="00BB3C18">
        <w:rPr>
          <w:rFonts w:asciiTheme="minorHAnsi" w:hAnsiTheme="minorHAnsi" w:cstheme="minorHAnsi"/>
          <w:b/>
          <w:sz w:val="20"/>
          <w:szCs w:val="20"/>
        </w:rPr>
        <w:lastRenderedPageBreak/>
        <w:t>Accounting Policies</w:t>
      </w:r>
    </w:p>
    <w:p w14:paraId="33A4CA94" w14:textId="2623DB17" w:rsidR="002D1C28" w:rsidRPr="007B6961" w:rsidRDefault="002D1C28" w:rsidP="00BC2014">
      <w:pPr>
        <w:pStyle w:val="ListParagraph"/>
        <w:spacing w:before="120" w:line="320" w:lineRule="exact"/>
        <w:ind w:left="567"/>
        <w:contextualSpacing w:val="0"/>
        <w:jc w:val="both"/>
        <w:rPr>
          <w:rFonts w:asciiTheme="minorHAnsi" w:hAnsiTheme="minorHAnsi" w:cstheme="minorHAnsi"/>
          <w:b/>
          <w:sz w:val="20"/>
          <w:szCs w:val="20"/>
        </w:rPr>
      </w:pPr>
      <w:r w:rsidRPr="007B6961">
        <w:rPr>
          <w:rFonts w:asciiTheme="minorHAnsi" w:hAnsiTheme="minorHAnsi" w:cstheme="minorHAnsi"/>
          <w:b/>
          <w:sz w:val="20"/>
          <w:szCs w:val="20"/>
        </w:rPr>
        <w:t>Basis of preparation</w:t>
      </w:r>
    </w:p>
    <w:p w14:paraId="6AF8C903" w14:textId="183987DD" w:rsidR="007E5908" w:rsidRPr="007B6961" w:rsidRDefault="007E5908" w:rsidP="00BC2014">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7B6961">
        <w:rPr>
          <w:rFonts w:asciiTheme="minorHAnsi" w:hAnsiTheme="minorHAnsi" w:cstheme="minorHAnsi"/>
          <w:sz w:val="20"/>
          <w:szCs w:val="20"/>
        </w:rPr>
        <w:t>The</w:t>
      </w:r>
      <w:r w:rsidR="00572F57" w:rsidRPr="007B6961">
        <w:rPr>
          <w:rFonts w:asciiTheme="minorHAnsi" w:hAnsiTheme="minorHAnsi" w:cstheme="minorHAnsi"/>
          <w:sz w:val="20"/>
          <w:szCs w:val="20"/>
        </w:rPr>
        <w:t>se</w:t>
      </w:r>
      <w:r w:rsidRPr="007B6961">
        <w:rPr>
          <w:rFonts w:asciiTheme="minorHAnsi" w:hAnsiTheme="minorHAnsi" w:cstheme="minorHAnsi"/>
          <w:sz w:val="20"/>
          <w:szCs w:val="20"/>
        </w:rPr>
        <w:t xml:space="preserve"> financial statements have been prepared in accordance with International </w:t>
      </w:r>
      <w:r w:rsidR="003F02EF" w:rsidRPr="007B6961">
        <w:rPr>
          <w:rFonts w:asciiTheme="minorHAnsi" w:hAnsiTheme="minorHAnsi" w:cstheme="minorHAnsi"/>
          <w:sz w:val="20"/>
          <w:szCs w:val="20"/>
        </w:rPr>
        <w:t>Financial</w:t>
      </w:r>
      <w:r w:rsidRPr="007B6961">
        <w:rPr>
          <w:rFonts w:asciiTheme="minorHAnsi" w:hAnsiTheme="minorHAnsi" w:cstheme="minorHAnsi"/>
          <w:sz w:val="20"/>
          <w:szCs w:val="20"/>
        </w:rPr>
        <w:t xml:space="preserve"> Reporting Standards </w:t>
      </w:r>
      <w:r w:rsidR="00572F57" w:rsidRPr="007B6961">
        <w:rPr>
          <w:rFonts w:asciiTheme="minorHAnsi" w:hAnsiTheme="minorHAnsi" w:cstheme="minorHAnsi"/>
          <w:sz w:val="20"/>
          <w:szCs w:val="20"/>
        </w:rPr>
        <w:t xml:space="preserve">as adopted by the </w:t>
      </w:r>
      <w:r w:rsidR="00E055C2">
        <w:rPr>
          <w:rFonts w:asciiTheme="minorHAnsi" w:hAnsiTheme="minorHAnsi" w:cstheme="minorHAnsi"/>
          <w:sz w:val="20"/>
          <w:szCs w:val="20"/>
        </w:rPr>
        <w:t>United Kingdom</w:t>
      </w:r>
      <w:r w:rsidR="00572F57" w:rsidRPr="007B6961">
        <w:rPr>
          <w:rFonts w:asciiTheme="minorHAnsi" w:hAnsiTheme="minorHAnsi" w:cstheme="minorHAnsi"/>
          <w:sz w:val="20"/>
          <w:szCs w:val="20"/>
        </w:rPr>
        <w:t xml:space="preserve"> (“adopted IFRS”)</w:t>
      </w:r>
      <w:r w:rsidR="002D1C28" w:rsidRPr="007B6961">
        <w:rPr>
          <w:rFonts w:asciiTheme="minorHAnsi" w:hAnsiTheme="minorHAnsi" w:cstheme="minorHAnsi"/>
          <w:sz w:val="20"/>
          <w:szCs w:val="20"/>
        </w:rPr>
        <w:t xml:space="preserve"> and with those parts of the Companies Act 2006 applicable to companies preparing their accounts under adopted IFRS. </w:t>
      </w:r>
      <w:r w:rsidR="00572F57" w:rsidRPr="007B6961">
        <w:rPr>
          <w:rFonts w:asciiTheme="minorHAnsi" w:hAnsiTheme="minorHAnsi" w:cstheme="minorHAnsi"/>
          <w:sz w:val="20"/>
          <w:szCs w:val="20"/>
        </w:rPr>
        <w:t xml:space="preserve"> </w:t>
      </w:r>
    </w:p>
    <w:p w14:paraId="30B6522B" w14:textId="4003598A" w:rsidR="007E5908" w:rsidRPr="007B6961" w:rsidRDefault="007E5908" w:rsidP="00BC2014">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7B6961">
        <w:rPr>
          <w:rFonts w:asciiTheme="minorHAnsi" w:hAnsiTheme="minorHAnsi" w:cstheme="minorHAnsi"/>
          <w:sz w:val="20"/>
          <w:szCs w:val="20"/>
        </w:rPr>
        <w:t>These consolidated financial statements are presented in Pounds Sterling (‘</w:t>
      </w:r>
      <w:r w:rsidRPr="007B6961">
        <w:rPr>
          <w:rFonts w:asciiTheme="minorHAnsi" w:hAnsiTheme="minorHAnsi" w:cstheme="minorHAnsi"/>
          <w:b/>
          <w:sz w:val="20"/>
          <w:szCs w:val="20"/>
        </w:rPr>
        <w:t>GBP’</w:t>
      </w:r>
      <w:r w:rsidRPr="007B6961">
        <w:rPr>
          <w:rFonts w:asciiTheme="minorHAnsi" w:hAnsiTheme="minorHAnsi" w:cstheme="minorHAnsi"/>
          <w:sz w:val="20"/>
          <w:szCs w:val="20"/>
        </w:rPr>
        <w:t xml:space="preserve">), which is considered by the directors to be the functional and presentation currency. </w:t>
      </w:r>
    </w:p>
    <w:p w14:paraId="3DE78B2C" w14:textId="4319A3CD" w:rsidR="000711ED" w:rsidRPr="007B6961" w:rsidRDefault="000711ED" w:rsidP="00BC2014">
      <w:pPr>
        <w:tabs>
          <w:tab w:val="left" w:pos="4508"/>
        </w:tabs>
        <w:spacing w:before="120" w:line="320" w:lineRule="exact"/>
        <w:ind w:left="567"/>
        <w:jc w:val="both"/>
        <w:rPr>
          <w:rFonts w:asciiTheme="minorHAnsi" w:hAnsiTheme="minorHAnsi" w:cstheme="minorHAnsi"/>
          <w:sz w:val="20"/>
          <w:szCs w:val="20"/>
        </w:rPr>
      </w:pPr>
      <w:r w:rsidRPr="007B6961">
        <w:rPr>
          <w:rFonts w:asciiTheme="minorHAnsi" w:hAnsiTheme="minorHAnsi" w:cstheme="minorHAnsi"/>
          <w:sz w:val="20"/>
          <w:szCs w:val="20"/>
        </w:rPr>
        <w:t>The Company’s individual statement of comprehensive income has been omitted from the Group’s annual financial statements having taken advantage of the exemption not to disclose under Section 408(3) of the Companies Act 2006.</w:t>
      </w:r>
    </w:p>
    <w:p w14:paraId="60E5BAA0" w14:textId="035D2C43" w:rsidR="00071944" w:rsidRPr="003A21B4" w:rsidRDefault="00071944" w:rsidP="00BC2014">
      <w:pPr>
        <w:tabs>
          <w:tab w:val="left" w:pos="4508"/>
        </w:tabs>
        <w:spacing w:before="120" w:line="320" w:lineRule="exact"/>
        <w:ind w:left="567"/>
        <w:jc w:val="both"/>
        <w:rPr>
          <w:rFonts w:asciiTheme="minorHAnsi" w:hAnsiTheme="minorHAnsi" w:cstheme="minorHAnsi"/>
          <w:b/>
          <w:iCs/>
          <w:sz w:val="20"/>
          <w:szCs w:val="20"/>
        </w:rPr>
      </w:pPr>
      <w:r w:rsidRPr="003A21B4">
        <w:rPr>
          <w:rFonts w:asciiTheme="minorHAnsi" w:hAnsiTheme="minorHAnsi" w:cstheme="minorHAnsi"/>
          <w:b/>
          <w:iCs/>
          <w:sz w:val="20"/>
          <w:szCs w:val="20"/>
        </w:rPr>
        <w:t>Going concern</w:t>
      </w:r>
    </w:p>
    <w:p w14:paraId="5FBF2CFC" w14:textId="77777777" w:rsidR="00915FA8" w:rsidRDefault="00915FA8" w:rsidP="00915FA8">
      <w:pPr>
        <w:tabs>
          <w:tab w:val="left" w:pos="4508"/>
        </w:tabs>
        <w:spacing w:before="120" w:line="320" w:lineRule="exact"/>
        <w:ind w:left="567"/>
        <w:jc w:val="both"/>
        <w:rPr>
          <w:rFonts w:asciiTheme="minorHAnsi" w:hAnsiTheme="minorHAnsi" w:cstheme="minorHAnsi"/>
          <w:sz w:val="20"/>
          <w:szCs w:val="20"/>
        </w:rPr>
      </w:pPr>
      <w:r>
        <w:rPr>
          <w:rFonts w:asciiTheme="minorHAnsi" w:hAnsiTheme="minorHAnsi" w:cstheme="minorHAnsi"/>
          <w:sz w:val="20"/>
          <w:szCs w:val="20"/>
        </w:rPr>
        <w:t>The Directors consider it is appropriate to prepare the Iconic financial statements on the basis that that they are able to continue to operate for a period of at least 12 months from the date of approving these financial statements.</w:t>
      </w:r>
    </w:p>
    <w:p w14:paraId="442DBA0E" w14:textId="77777777" w:rsidR="00915FA8" w:rsidRDefault="00915FA8" w:rsidP="00915FA8">
      <w:pPr>
        <w:tabs>
          <w:tab w:val="left" w:pos="4508"/>
        </w:tabs>
        <w:spacing w:before="120" w:line="320" w:lineRule="exact"/>
        <w:ind w:left="567"/>
        <w:jc w:val="both"/>
        <w:rPr>
          <w:rFonts w:asciiTheme="minorHAnsi" w:hAnsiTheme="minorHAnsi" w:cstheme="minorHAnsi"/>
          <w:sz w:val="20"/>
          <w:szCs w:val="20"/>
        </w:rPr>
      </w:pPr>
      <w:r>
        <w:rPr>
          <w:rFonts w:asciiTheme="minorHAnsi" w:hAnsiTheme="minorHAnsi" w:cstheme="minorHAnsi"/>
          <w:sz w:val="20"/>
          <w:szCs w:val="20"/>
        </w:rPr>
        <w:t>As noted in the Strategic Report on pages 7-11 when making this assessment the Directors have prepared forecasts which consider the expected level of expenditure over the course of the review period together with the anticipated revenues arising from the new business and acquisitions completed shortly after the period end. Key to the compilation of the forecasts central to the Directors’ assessment of going concern are the following factors:</w:t>
      </w:r>
    </w:p>
    <w:p w14:paraId="29478441" w14:textId="77777777" w:rsidR="00915FA8" w:rsidRDefault="00915FA8" w:rsidP="00915FA8">
      <w:pPr>
        <w:pStyle w:val="ListParagraph"/>
        <w:numPr>
          <w:ilvl w:val="0"/>
          <w:numId w:val="52"/>
        </w:numPr>
        <w:tabs>
          <w:tab w:val="left" w:pos="4508"/>
        </w:tabs>
        <w:spacing w:before="120" w:line="320" w:lineRule="exact"/>
        <w:ind w:left="1276" w:hanging="283"/>
        <w:jc w:val="both"/>
        <w:rPr>
          <w:rFonts w:asciiTheme="minorHAnsi" w:hAnsiTheme="minorHAnsi" w:cstheme="minorHAnsi"/>
          <w:sz w:val="20"/>
          <w:szCs w:val="20"/>
        </w:rPr>
      </w:pPr>
      <w:r>
        <w:rPr>
          <w:rFonts w:asciiTheme="minorHAnsi" w:hAnsiTheme="minorHAnsi" w:cstheme="minorHAnsi"/>
          <w:sz w:val="20"/>
          <w:szCs w:val="20"/>
        </w:rPr>
        <w:t xml:space="preserve">The company is at an early stage of development and is not currently profitable. Despite strong confidence in its business plan and forecasts, the Directors recognise there is a risk that it may require more funding but not be able to find agreement with a funding partner. </w:t>
      </w:r>
    </w:p>
    <w:p w14:paraId="37A96AEF" w14:textId="77777777" w:rsidR="00915FA8" w:rsidRDefault="00915FA8" w:rsidP="00915FA8">
      <w:pPr>
        <w:pStyle w:val="ListParagraph"/>
        <w:numPr>
          <w:ilvl w:val="0"/>
          <w:numId w:val="52"/>
        </w:numPr>
        <w:tabs>
          <w:tab w:val="left" w:pos="4508"/>
        </w:tabs>
        <w:spacing w:before="120" w:line="320" w:lineRule="exact"/>
        <w:ind w:left="1276" w:hanging="283"/>
        <w:jc w:val="both"/>
        <w:rPr>
          <w:rFonts w:asciiTheme="minorHAnsi" w:hAnsiTheme="minorHAnsi" w:cstheme="minorHAnsi"/>
          <w:sz w:val="20"/>
          <w:szCs w:val="20"/>
        </w:rPr>
      </w:pPr>
      <w:r>
        <w:rPr>
          <w:rFonts w:asciiTheme="minorHAnsi" w:hAnsiTheme="minorHAnsi" w:cstheme="minorHAnsi"/>
          <w:sz w:val="20"/>
          <w:szCs w:val="20"/>
        </w:rPr>
        <w:t>The Company has only recently exited administration and the Board is working diligently to ensure compliance with the terms of the CVA and also to get the Company relisted as soon as possible.</w:t>
      </w:r>
    </w:p>
    <w:p w14:paraId="79782AF0" w14:textId="21BA1A00" w:rsidR="00915FA8" w:rsidRDefault="00915FA8" w:rsidP="00915FA8">
      <w:pPr>
        <w:tabs>
          <w:tab w:val="left" w:pos="4508"/>
        </w:tabs>
        <w:spacing w:before="120" w:line="320" w:lineRule="exact"/>
        <w:ind w:left="567"/>
        <w:jc w:val="both"/>
        <w:rPr>
          <w:rFonts w:asciiTheme="minorHAnsi" w:hAnsiTheme="minorHAnsi" w:cstheme="minorHAnsi"/>
          <w:sz w:val="20"/>
          <w:szCs w:val="20"/>
        </w:rPr>
      </w:pPr>
      <w:r>
        <w:rPr>
          <w:rFonts w:asciiTheme="minorHAnsi" w:hAnsiTheme="minorHAnsi" w:cstheme="minorHAnsi"/>
          <w:sz w:val="20"/>
          <w:szCs w:val="20"/>
        </w:rPr>
        <w:t>The Company has, like most, been affected by the COVID-19 pandemic and has lost some revenue however the Company is confident that it’s risk to the pandemic has been mitigated. The Company has completed fundraising which will reduce the reliance of the Company on revenue. The Directors remain satisfied that the assumptions they have used in the forecasts to assess that Iconic is a going concern.</w:t>
      </w:r>
    </w:p>
    <w:p w14:paraId="4BC32417" w14:textId="77777777" w:rsidR="00915FA8" w:rsidRPr="00BD12F9" w:rsidRDefault="00915FA8" w:rsidP="00915FA8">
      <w:pPr>
        <w:pStyle w:val="ListParagraph"/>
        <w:keepNext/>
        <w:spacing w:before="120" w:line="320" w:lineRule="exact"/>
        <w:ind w:left="567"/>
        <w:contextualSpacing w:val="0"/>
        <w:jc w:val="both"/>
        <w:rPr>
          <w:rFonts w:asciiTheme="minorHAnsi" w:hAnsiTheme="minorHAnsi" w:cstheme="minorHAnsi"/>
          <w:b/>
          <w:sz w:val="20"/>
          <w:szCs w:val="20"/>
        </w:rPr>
      </w:pPr>
      <w:r w:rsidRPr="00BD12F9">
        <w:rPr>
          <w:rFonts w:asciiTheme="minorHAnsi" w:hAnsiTheme="minorHAnsi" w:cstheme="minorHAnsi"/>
          <w:b/>
          <w:sz w:val="20"/>
          <w:szCs w:val="20"/>
        </w:rPr>
        <w:t>Basis of consolidation</w:t>
      </w:r>
    </w:p>
    <w:p w14:paraId="184C6C09" w14:textId="77777777" w:rsidR="00915FA8" w:rsidRPr="00BD12F9" w:rsidRDefault="00915FA8" w:rsidP="00915FA8">
      <w:pPr>
        <w:pStyle w:val="ListParagraph"/>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The Group financial statements consolidate those of the parent company and all of its subsidiaries. Subsidiaries are entities controlled by the Group.  The parent company controls a subsidiary if it has power over the investee to significantly direct the activities, exposure, or rights, to variable returns from its involvement with the investee, and the ability to use its power over the investee to affect the amount of the investors’ returns. The financial statements of subsidiaries are included in the consolidated financial statements from the date that control commences until the date that control ceases.</w:t>
      </w:r>
    </w:p>
    <w:p w14:paraId="7B844086" w14:textId="77777777" w:rsidR="00915FA8" w:rsidRDefault="00915FA8" w:rsidP="00915FA8">
      <w:pPr>
        <w:tabs>
          <w:tab w:val="left" w:pos="4508"/>
        </w:tabs>
        <w:spacing w:before="120" w:line="320" w:lineRule="exact"/>
        <w:ind w:left="567"/>
        <w:jc w:val="both"/>
        <w:rPr>
          <w:rFonts w:asciiTheme="minorHAnsi" w:hAnsiTheme="minorHAnsi" w:cstheme="minorHAnsi"/>
          <w:sz w:val="20"/>
          <w:szCs w:val="20"/>
        </w:rPr>
      </w:pPr>
    </w:p>
    <w:p w14:paraId="56F49D0F" w14:textId="77777777" w:rsidR="00E055C2" w:rsidRDefault="00E055C2" w:rsidP="00531A83">
      <w:pPr>
        <w:tabs>
          <w:tab w:val="left" w:pos="8080"/>
        </w:tabs>
        <w:spacing w:before="120" w:line="340" w:lineRule="exact"/>
        <w:ind w:left="567"/>
        <w:jc w:val="both"/>
        <w:rPr>
          <w:rFonts w:asciiTheme="minorHAnsi" w:hAnsiTheme="minorHAnsi" w:cstheme="minorHAnsi"/>
          <w:sz w:val="20"/>
          <w:szCs w:val="20"/>
        </w:rPr>
        <w:sectPr w:rsidR="00E055C2" w:rsidSect="00AD2DDF">
          <w:headerReference w:type="even" r:id="rId71"/>
          <w:headerReference w:type="default" r:id="rId72"/>
          <w:headerReference w:type="first" r:id="rId73"/>
          <w:pgSz w:w="11906" w:h="16838" w:code="9"/>
          <w:pgMar w:top="720" w:right="1559" w:bottom="567" w:left="720" w:header="709" w:footer="567" w:gutter="0"/>
          <w:cols w:space="708"/>
          <w:docGrid w:linePitch="360"/>
        </w:sectPr>
      </w:pPr>
    </w:p>
    <w:p w14:paraId="695A05C4" w14:textId="6DF6EC19" w:rsidR="0075448D" w:rsidRDefault="0075448D" w:rsidP="00B2796D">
      <w:pPr>
        <w:pStyle w:val="ListParagraph"/>
        <w:numPr>
          <w:ilvl w:val="0"/>
          <w:numId w:val="24"/>
        </w:numPr>
        <w:spacing w:before="120" w:line="276" w:lineRule="auto"/>
        <w:ind w:left="567" w:hanging="283"/>
        <w:jc w:val="both"/>
        <w:rPr>
          <w:rFonts w:asciiTheme="minorHAnsi" w:hAnsiTheme="minorHAnsi" w:cstheme="minorHAnsi"/>
          <w:b/>
          <w:sz w:val="20"/>
          <w:szCs w:val="20"/>
        </w:rPr>
      </w:pPr>
      <w:r w:rsidRPr="00B52357">
        <w:rPr>
          <w:rFonts w:asciiTheme="minorHAnsi" w:hAnsiTheme="minorHAnsi" w:cstheme="minorHAnsi"/>
          <w:b/>
          <w:sz w:val="20"/>
          <w:szCs w:val="20"/>
        </w:rPr>
        <w:lastRenderedPageBreak/>
        <w:t>Accounting Policies (continued)</w:t>
      </w:r>
    </w:p>
    <w:p w14:paraId="1F9E1640" w14:textId="787085EC" w:rsidR="002D1C28" w:rsidRPr="00BD12F9" w:rsidRDefault="002D1C28" w:rsidP="00894B18">
      <w:pPr>
        <w:pStyle w:val="ListParagraph"/>
        <w:keepNext/>
        <w:spacing w:before="120" w:line="320" w:lineRule="exact"/>
        <w:ind w:left="567"/>
        <w:contextualSpacing w:val="0"/>
        <w:jc w:val="both"/>
        <w:rPr>
          <w:rFonts w:asciiTheme="minorHAnsi" w:hAnsiTheme="minorHAnsi" w:cstheme="minorHAnsi"/>
          <w:b/>
          <w:sz w:val="20"/>
          <w:szCs w:val="20"/>
        </w:rPr>
      </w:pPr>
      <w:r w:rsidRPr="00BD12F9">
        <w:rPr>
          <w:rFonts w:asciiTheme="minorHAnsi" w:hAnsiTheme="minorHAnsi" w:cstheme="minorHAnsi"/>
          <w:b/>
          <w:sz w:val="20"/>
          <w:szCs w:val="20"/>
        </w:rPr>
        <w:t>Basis of consolidation</w:t>
      </w:r>
    </w:p>
    <w:p w14:paraId="23910516" w14:textId="6ABCD4D7" w:rsidR="002D1C28" w:rsidRPr="00BD12F9" w:rsidRDefault="002D1C28" w:rsidP="00894B18">
      <w:pPr>
        <w:pStyle w:val="ListParagraph"/>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The results of subsidiaries acquired or disposed in the period are included in the consolidated income statement from the effective date of acquisition or up to the effective date of disposal, as appropriate. All intra-group transactions, balances</w:t>
      </w:r>
      <w:r w:rsidR="00071944" w:rsidRPr="00BD12F9">
        <w:rPr>
          <w:rFonts w:asciiTheme="minorHAnsi" w:hAnsiTheme="minorHAnsi" w:cstheme="minorHAnsi"/>
          <w:sz w:val="20"/>
          <w:szCs w:val="20"/>
        </w:rPr>
        <w:t>, income and expenses are eliminated on consolidation.</w:t>
      </w:r>
    </w:p>
    <w:p w14:paraId="78C4592D" w14:textId="53D34E69" w:rsidR="002D1C28" w:rsidRDefault="00071944" w:rsidP="00894B18">
      <w:pPr>
        <w:tabs>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The results and net assets of subsidiaries whose accounts are denominated in foreign currencies are retranslated into Sterling at average rates and year-end rates respectively.</w:t>
      </w:r>
    </w:p>
    <w:p w14:paraId="6C7405C2" w14:textId="33A918AC" w:rsidR="001B2A19" w:rsidRPr="00BD12F9" w:rsidRDefault="001B2A19" w:rsidP="00894B18">
      <w:pPr>
        <w:tabs>
          <w:tab w:val="left" w:pos="4508"/>
        </w:tabs>
        <w:spacing w:before="120" w:line="320" w:lineRule="exact"/>
        <w:ind w:left="567"/>
        <w:jc w:val="both"/>
        <w:rPr>
          <w:rFonts w:asciiTheme="minorHAnsi" w:hAnsiTheme="minorHAnsi" w:cstheme="minorHAnsi"/>
          <w:sz w:val="20"/>
          <w:szCs w:val="20"/>
        </w:rPr>
      </w:pPr>
      <w:r w:rsidRPr="001B2A19">
        <w:rPr>
          <w:rFonts w:asciiTheme="minorHAnsi" w:hAnsiTheme="minorHAnsi" w:cstheme="minorHAnsi"/>
          <w:sz w:val="20"/>
          <w:szCs w:val="20"/>
        </w:rPr>
        <w:t>Where the Group has the power to participate in (but not control) the financial and operating policy decisions of another entity, it is classified as an associate. Associates are initially recognised in the consolidated statement of financial position at cost. Subsequently associates are accounted for using the equity method, where the Group's share of post-acquisition profits and losses and other comprehensive income is recognised in the consolidated statement of profit and loss and other comprehensive income (except for losses in excess of the Group's investment in the associate unless there is an obligation to make good those losses).</w:t>
      </w:r>
    </w:p>
    <w:p w14:paraId="71E156E1" w14:textId="2CEE7D8B" w:rsidR="00071944" w:rsidRPr="00BD12F9" w:rsidRDefault="00071944" w:rsidP="00894B18">
      <w:pPr>
        <w:pStyle w:val="ListParagraph"/>
        <w:keepNext/>
        <w:spacing w:before="120" w:line="320" w:lineRule="exact"/>
        <w:ind w:left="567"/>
        <w:contextualSpacing w:val="0"/>
        <w:jc w:val="both"/>
        <w:rPr>
          <w:rFonts w:asciiTheme="minorHAnsi" w:hAnsiTheme="minorHAnsi" w:cstheme="minorHAnsi"/>
          <w:b/>
          <w:sz w:val="20"/>
          <w:szCs w:val="20"/>
        </w:rPr>
      </w:pPr>
      <w:r w:rsidRPr="00BD12F9">
        <w:rPr>
          <w:rFonts w:asciiTheme="minorHAnsi" w:hAnsiTheme="minorHAnsi" w:cstheme="minorHAnsi"/>
          <w:b/>
          <w:sz w:val="20"/>
          <w:szCs w:val="20"/>
        </w:rPr>
        <w:t>Business combinations</w:t>
      </w:r>
    </w:p>
    <w:p w14:paraId="6CCEFA36" w14:textId="43E9DA12" w:rsidR="00071944" w:rsidRPr="00BD12F9" w:rsidRDefault="00071944" w:rsidP="00894B18">
      <w:pPr>
        <w:pStyle w:val="ListParagraph"/>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The Group applies the acquisition method of accounting for business combinations. The consideration transferred by the Group to obtain control of a subsidiary is calculated as the sum of the acquisition date fair values of assets transferred, liabilities incurred and equity interests issued by the Group. Acquisition costs are expensed as incurred.</w:t>
      </w:r>
    </w:p>
    <w:p w14:paraId="5336FD96" w14:textId="255BC467" w:rsidR="00D145CD" w:rsidRPr="003A21B4" w:rsidRDefault="00D145CD" w:rsidP="00894B18">
      <w:pPr>
        <w:pStyle w:val="ListParagraph"/>
        <w:keepNext/>
        <w:spacing w:before="120" w:line="320" w:lineRule="exact"/>
        <w:ind w:left="567"/>
        <w:contextualSpacing w:val="0"/>
        <w:jc w:val="both"/>
        <w:rPr>
          <w:rFonts w:asciiTheme="minorHAnsi" w:hAnsiTheme="minorHAnsi" w:cstheme="minorHAnsi"/>
          <w:b/>
          <w:sz w:val="20"/>
          <w:szCs w:val="20"/>
        </w:rPr>
      </w:pPr>
      <w:r w:rsidRPr="003A21B4">
        <w:rPr>
          <w:rFonts w:asciiTheme="minorHAnsi" w:hAnsiTheme="minorHAnsi" w:cstheme="minorHAnsi"/>
          <w:b/>
          <w:sz w:val="20"/>
          <w:szCs w:val="20"/>
        </w:rPr>
        <w:t xml:space="preserve">Revenue </w:t>
      </w:r>
      <w:r w:rsidR="00071944" w:rsidRPr="003A21B4">
        <w:rPr>
          <w:rFonts w:asciiTheme="minorHAnsi" w:hAnsiTheme="minorHAnsi" w:cstheme="minorHAnsi"/>
          <w:b/>
          <w:sz w:val="20"/>
          <w:szCs w:val="20"/>
        </w:rPr>
        <w:t>recognition</w:t>
      </w:r>
    </w:p>
    <w:p w14:paraId="00AE6095" w14:textId="000DCF69" w:rsidR="006B61F1" w:rsidRPr="00185FA2" w:rsidRDefault="006B61F1" w:rsidP="009A06D1">
      <w:pPr>
        <w:pStyle w:val="ListParagraph"/>
        <w:widowControl w:val="0"/>
        <w:spacing w:before="120" w:line="320" w:lineRule="exact"/>
        <w:ind w:left="567"/>
        <w:jc w:val="both"/>
        <w:rPr>
          <w:rFonts w:asciiTheme="minorHAnsi" w:hAnsiTheme="minorHAnsi" w:cstheme="minorHAnsi"/>
          <w:sz w:val="20"/>
          <w:szCs w:val="20"/>
        </w:rPr>
      </w:pPr>
      <w:r w:rsidRPr="003A21B4">
        <w:rPr>
          <w:rFonts w:asciiTheme="minorHAnsi" w:hAnsiTheme="minorHAnsi" w:cstheme="minorHAnsi"/>
          <w:bCs/>
          <w:sz w:val="20"/>
          <w:szCs w:val="20"/>
        </w:rPr>
        <w:t xml:space="preserve">Revenue represents the amount of consideration to which the Group expects to be entitled in exchange for the </w:t>
      </w:r>
      <w:r w:rsidRPr="00185FA2">
        <w:rPr>
          <w:rFonts w:asciiTheme="minorHAnsi" w:hAnsiTheme="minorHAnsi" w:cstheme="minorHAnsi"/>
          <w:sz w:val="20"/>
          <w:szCs w:val="20"/>
        </w:rPr>
        <w:t>provision of it's services to the client, net of discounts and sales taxes.</w:t>
      </w:r>
    </w:p>
    <w:p w14:paraId="65F1F7BD" w14:textId="77777777" w:rsidR="00185FA2" w:rsidRDefault="00185FA2" w:rsidP="00BB1D40">
      <w:pPr>
        <w:pStyle w:val="ListParagraph"/>
        <w:widowControl w:val="0"/>
        <w:spacing w:before="120" w:line="320" w:lineRule="exact"/>
        <w:ind w:left="567"/>
        <w:jc w:val="both"/>
        <w:rPr>
          <w:rFonts w:asciiTheme="minorHAnsi" w:hAnsiTheme="minorHAnsi" w:cstheme="minorHAnsi"/>
          <w:sz w:val="20"/>
          <w:szCs w:val="20"/>
        </w:rPr>
      </w:pPr>
    </w:p>
    <w:p w14:paraId="5DB26773" w14:textId="07A527BB" w:rsidR="006B61F1" w:rsidRDefault="006B61F1" w:rsidP="00BB1D40">
      <w:pPr>
        <w:pStyle w:val="ListParagraph"/>
        <w:widowControl w:val="0"/>
        <w:spacing w:before="120" w:line="320" w:lineRule="exact"/>
        <w:ind w:left="567"/>
        <w:jc w:val="both"/>
        <w:rPr>
          <w:rFonts w:asciiTheme="minorHAnsi" w:hAnsiTheme="minorHAnsi" w:cstheme="minorHAnsi"/>
          <w:sz w:val="20"/>
          <w:szCs w:val="20"/>
        </w:rPr>
      </w:pPr>
      <w:r w:rsidRPr="006B61F1">
        <w:rPr>
          <w:rFonts w:asciiTheme="minorHAnsi" w:hAnsiTheme="minorHAnsi" w:cstheme="minorHAnsi"/>
          <w:sz w:val="20"/>
          <w:szCs w:val="20"/>
        </w:rPr>
        <w:t>For the year ended 30 June 202</w:t>
      </w:r>
      <w:r w:rsidR="00BB1D40">
        <w:rPr>
          <w:rFonts w:asciiTheme="minorHAnsi" w:hAnsiTheme="minorHAnsi" w:cstheme="minorHAnsi"/>
          <w:sz w:val="20"/>
          <w:szCs w:val="20"/>
        </w:rPr>
        <w:t>2</w:t>
      </w:r>
      <w:r w:rsidRPr="006B61F1">
        <w:rPr>
          <w:rFonts w:asciiTheme="minorHAnsi" w:hAnsiTheme="minorHAnsi" w:cstheme="minorHAnsi"/>
          <w:sz w:val="20"/>
          <w:szCs w:val="20"/>
        </w:rPr>
        <w:t>, the Group used the five-step model as prescribed under IFRS15 on the Group's revenue transaction. This included the identification of the contract, identification of the performance obligations, determination of the transaction price, allocation of the transaction price to the performance obligations and recognition of revenue. The point of recognition arises when the Group satisfies the performance obligation by transferring control of a promised service to the customer which could occur over time or at a point in time. Provision is made for all foreseeable losses where the Company believes that a contract will deem to be unprofitable, or a client fails to remunerate the Company for services provided.</w:t>
      </w:r>
    </w:p>
    <w:p w14:paraId="5D78857D" w14:textId="03168551" w:rsidR="00B52357" w:rsidRPr="003B7D1B" w:rsidRDefault="006B61F1" w:rsidP="003B7D1B">
      <w:pPr>
        <w:pStyle w:val="ListParagraph"/>
        <w:tabs>
          <w:tab w:val="left" w:pos="4508"/>
        </w:tabs>
        <w:spacing w:before="120" w:line="320" w:lineRule="exact"/>
        <w:ind w:left="567"/>
        <w:contextualSpacing w:val="0"/>
        <w:jc w:val="both"/>
      </w:pPr>
      <w:r w:rsidRPr="006B61F1">
        <w:rPr>
          <w:rFonts w:asciiTheme="minorHAnsi" w:hAnsiTheme="minorHAnsi" w:cstheme="minorHAnsi"/>
          <w:sz w:val="20"/>
          <w:szCs w:val="20"/>
        </w:rPr>
        <w:t>Revenue that has been billed to the client, but which is yet to be paid is accrued within trade receivables.</w:t>
      </w:r>
    </w:p>
    <w:p w14:paraId="2CAF04CE" w14:textId="6D66AFA6" w:rsidR="00FD210B" w:rsidRPr="00E246BD" w:rsidRDefault="00FD210B" w:rsidP="00E246BD">
      <w:pPr>
        <w:keepNext/>
        <w:spacing w:before="120" w:line="320" w:lineRule="exact"/>
        <w:ind w:firstLine="567"/>
        <w:jc w:val="both"/>
        <w:rPr>
          <w:rFonts w:asciiTheme="minorHAnsi" w:hAnsiTheme="minorHAnsi" w:cstheme="minorHAnsi"/>
          <w:b/>
          <w:sz w:val="20"/>
          <w:szCs w:val="20"/>
        </w:rPr>
      </w:pPr>
      <w:r w:rsidRPr="00E246BD">
        <w:rPr>
          <w:rFonts w:asciiTheme="minorHAnsi" w:hAnsiTheme="minorHAnsi" w:cstheme="minorHAnsi"/>
          <w:b/>
          <w:sz w:val="20"/>
          <w:szCs w:val="20"/>
        </w:rPr>
        <w:t>Discontinued operations</w:t>
      </w:r>
    </w:p>
    <w:p w14:paraId="16948C45" w14:textId="22480CE9" w:rsidR="00FD210B" w:rsidRPr="00BD12F9" w:rsidRDefault="00FD210B" w:rsidP="00894B18">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Discontinued operations represent major operations of the business that the Group have decided to terminate. The post-tax profit or loss of the discontinued operations is presented as a single line on the face of the consolidated income statement. The presentation of discontinued operations within prior periods is restated to reflect consistent classification of discontinued operations across all periods presented.</w:t>
      </w:r>
    </w:p>
    <w:p w14:paraId="4A6B215E" w14:textId="1F4EF9D3" w:rsidR="00915FA8" w:rsidRPr="00915FA8" w:rsidRDefault="00915FA8" w:rsidP="00915FA8">
      <w:pPr>
        <w:pStyle w:val="ListParagraph"/>
        <w:keepNext/>
        <w:numPr>
          <w:ilvl w:val="0"/>
          <w:numId w:val="55"/>
        </w:numPr>
        <w:spacing w:before="120" w:line="320" w:lineRule="exact"/>
        <w:ind w:left="567" w:hanging="425"/>
        <w:jc w:val="both"/>
        <w:rPr>
          <w:rFonts w:asciiTheme="minorHAnsi" w:hAnsiTheme="minorHAnsi" w:cstheme="minorHAnsi"/>
          <w:b/>
          <w:sz w:val="20"/>
          <w:szCs w:val="20"/>
        </w:rPr>
      </w:pPr>
      <w:r w:rsidRPr="00915FA8">
        <w:rPr>
          <w:rFonts w:asciiTheme="minorHAnsi" w:hAnsiTheme="minorHAnsi" w:cstheme="minorHAnsi"/>
          <w:b/>
          <w:sz w:val="20"/>
          <w:szCs w:val="20"/>
        </w:rPr>
        <w:lastRenderedPageBreak/>
        <w:t>Accounting Policies (continued)</w:t>
      </w:r>
    </w:p>
    <w:p w14:paraId="639873C9" w14:textId="2BA0946F" w:rsidR="00940254" w:rsidRPr="00BD12F9" w:rsidRDefault="00940254" w:rsidP="00894B18">
      <w:pPr>
        <w:pStyle w:val="ListParagraph"/>
        <w:keepNext/>
        <w:spacing w:before="120" w:line="320" w:lineRule="exact"/>
        <w:ind w:left="567"/>
        <w:contextualSpacing w:val="0"/>
        <w:jc w:val="both"/>
        <w:rPr>
          <w:rFonts w:asciiTheme="minorHAnsi" w:hAnsiTheme="minorHAnsi" w:cstheme="minorHAnsi"/>
          <w:b/>
          <w:sz w:val="20"/>
          <w:szCs w:val="20"/>
        </w:rPr>
      </w:pPr>
      <w:r w:rsidRPr="00BD12F9">
        <w:rPr>
          <w:rFonts w:asciiTheme="minorHAnsi" w:hAnsiTheme="minorHAnsi" w:cstheme="minorHAnsi"/>
          <w:b/>
          <w:sz w:val="20"/>
          <w:szCs w:val="20"/>
        </w:rPr>
        <w:t>Foreign currency</w:t>
      </w:r>
    </w:p>
    <w:p w14:paraId="686C7E7F" w14:textId="2FD9F3BB" w:rsidR="00940254" w:rsidRPr="00BD12F9" w:rsidRDefault="00940254" w:rsidP="00894B18">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 xml:space="preserve">Transactions in foreign currencies are translated to the respective functional currencies of Group entities at exchange rates at the dates of the transactions. Monetary assets and liabilities denominated in foreign currencies at the reporting date are retranslated to the functional currency at the exchange rate at that date.  </w:t>
      </w:r>
    </w:p>
    <w:p w14:paraId="253DB2B1" w14:textId="77777777" w:rsidR="00940254" w:rsidRPr="00BD12F9" w:rsidRDefault="00940254" w:rsidP="00894B18">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Non-monetary items in a foreign currency that are measured based on historical cost are translated using the exchange rate at the date of the transaction.</w:t>
      </w:r>
    </w:p>
    <w:p w14:paraId="4AFD0100" w14:textId="3A1DD690" w:rsidR="00940254" w:rsidRPr="00BD12F9" w:rsidRDefault="00940254" w:rsidP="00894B18">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Foreign currency differences arising on retranslation are recognised in the statement of comprehensive income.</w:t>
      </w:r>
    </w:p>
    <w:p w14:paraId="4DEA28E4" w14:textId="7F1535A2" w:rsidR="00722A03" w:rsidRPr="00BD12F9" w:rsidRDefault="00722A03" w:rsidP="00894B18">
      <w:pPr>
        <w:tabs>
          <w:tab w:val="left" w:pos="4508"/>
        </w:tabs>
        <w:spacing w:before="120" w:line="320" w:lineRule="exact"/>
        <w:ind w:left="567"/>
        <w:jc w:val="both"/>
        <w:rPr>
          <w:rFonts w:asciiTheme="minorHAnsi" w:hAnsiTheme="minorHAnsi" w:cstheme="minorHAnsi"/>
          <w:b/>
          <w:sz w:val="20"/>
          <w:szCs w:val="20"/>
        </w:rPr>
      </w:pPr>
      <w:r w:rsidRPr="00BD12F9">
        <w:rPr>
          <w:rFonts w:asciiTheme="minorHAnsi" w:hAnsiTheme="minorHAnsi" w:cstheme="minorHAnsi"/>
          <w:b/>
          <w:sz w:val="20"/>
          <w:szCs w:val="20"/>
        </w:rPr>
        <w:t>Retirement benefit costs</w:t>
      </w:r>
    </w:p>
    <w:p w14:paraId="316F8DE7" w14:textId="2FE7F41C" w:rsidR="00722A03" w:rsidRPr="00BD12F9" w:rsidRDefault="00722A03" w:rsidP="00894B18">
      <w:pPr>
        <w:tabs>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The Group operates defined contribution retirement benefit schemes. Payments to these schemes are charged as an expense in the period to which they relate. The assets of the scheme are held separately from those of the Group in independently administered funds.</w:t>
      </w:r>
    </w:p>
    <w:p w14:paraId="7B4BFECB" w14:textId="61F71914" w:rsidR="00722A03" w:rsidRPr="00BD12F9" w:rsidRDefault="00722A03" w:rsidP="00894B18">
      <w:pPr>
        <w:tabs>
          <w:tab w:val="left" w:pos="567"/>
          <w:tab w:val="left" w:pos="4508"/>
        </w:tabs>
        <w:spacing w:before="120" w:line="320" w:lineRule="exact"/>
        <w:jc w:val="both"/>
        <w:rPr>
          <w:rFonts w:asciiTheme="minorHAnsi" w:hAnsiTheme="minorHAnsi" w:cstheme="minorHAnsi"/>
          <w:b/>
          <w:sz w:val="20"/>
          <w:szCs w:val="20"/>
        </w:rPr>
      </w:pPr>
      <w:r w:rsidRPr="00BD12F9">
        <w:rPr>
          <w:rFonts w:asciiTheme="minorHAnsi" w:hAnsiTheme="minorHAnsi" w:cstheme="minorHAnsi"/>
          <w:b/>
          <w:sz w:val="20"/>
          <w:szCs w:val="20"/>
        </w:rPr>
        <w:tab/>
        <w:t>Taxation</w:t>
      </w:r>
    </w:p>
    <w:p w14:paraId="2F59CDDB" w14:textId="19D6BD8B" w:rsidR="00722A03" w:rsidRDefault="00722A03" w:rsidP="00894B18">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 xml:space="preserve">The tax expense represents the sum of the tax currently payable and deferred tax.  The tax currently payable is based on taxable profit for the year.  Taxable profit differs from net profit as reported in the income statement because it excludes items of income or expense that are taxable or deductible in other years and it further excludes items that are never taxable or deductible.   </w:t>
      </w:r>
    </w:p>
    <w:p w14:paraId="6F321BF6" w14:textId="2C52C9D2" w:rsidR="004A0633" w:rsidRPr="00E246BD" w:rsidRDefault="00722A03" w:rsidP="00E246BD">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 xml:space="preserve">Deferred tax is the tax expected to be payable or recoverable on temporary differences between the carrying amounts of assets and liabilities in the financial statements and the corresponding tax bases used in the computation of taxable profit, and is accounted for using the balance sheet liability method.  Deferred tax liabilities are generally recognised for all taxable temporary differences and deferred tax assets are recognised to the extent that it is probable that taxable profits will be available against which deductible temporary differences can be utilised.  Such assets and liabilities are not recognised if the temporary difference arises from goodwill or from the initial recognition (other than in a business combination) of other assets and liabilities in a transaction that affects neither the tax profit nor the accounting profit.  </w:t>
      </w:r>
    </w:p>
    <w:p w14:paraId="6D6C3486" w14:textId="15F72ACB" w:rsidR="00722A03" w:rsidRPr="00BD12F9" w:rsidRDefault="00722A03" w:rsidP="000851E7">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Deferred tax liabilities are recognised for taxable temporary differences arising on investments in subsidiaries and associates, and interests in joint ventures, except where the Group is able to control the reversal of the temporary difference and it is probable that the temporary difference will not reverse in the foreseeable future.</w:t>
      </w:r>
    </w:p>
    <w:p w14:paraId="4B2534ED" w14:textId="762C36F2" w:rsidR="00722A03" w:rsidRPr="00BD12F9" w:rsidRDefault="00722A03" w:rsidP="000851E7">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The carrying amount of deferred tax assets is reviewed at each reporting date and reduced to the extent that it is no longer probable that sufficient taxable profits will be available to allow all or part of the asset to be recovered.</w:t>
      </w:r>
    </w:p>
    <w:p w14:paraId="26CE175A" w14:textId="32D6FBB5" w:rsidR="00722A03" w:rsidRDefault="00722A03" w:rsidP="000851E7">
      <w:pPr>
        <w:pStyle w:val="ListParagraph"/>
        <w:tabs>
          <w:tab w:val="left" w:pos="4508"/>
        </w:tabs>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Deferred tax is measured on an undiscounted basis using the tax rates that are expected to apply in the period when the liability is settled or the asset is realised.  Deferred tax is charged or credited in the income statement, except when it relates to items charged or credited directly to equity, in which case the deferred tax is also dealt with in equity.</w:t>
      </w:r>
    </w:p>
    <w:p w14:paraId="7C83225F" w14:textId="1808DD93" w:rsidR="00915FA8" w:rsidRDefault="00915FA8" w:rsidP="000851E7">
      <w:pPr>
        <w:pStyle w:val="ListParagraph"/>
        <w:tabs>
          <w:tab w:val="left" w:pos="4508"/>
        </w:tabs>
        <w:spacing w:before="120" w:line="320" w:lineRule="exact"/>
        <w:ind w:left="567"/>
        <w:contextualSpacing w:val="0"/>
        <w:jc w:val="both"/>
        <w:rPr>
          <w:rFonts w:asciiTheme="minorHAnsi" w:hAnsiTheme="minorHAnsi" w:cstheme="minorHAnsi"/>
          <w:sz w:val="20"/>
          <w:szCs w:val="20"/>
        </w:rPr>
      </w:pPr>
    </w:p>
    <w:p w14:paraId="2728FC50" w14:textId="14D0C02C" w:rsidR="00915FA8" w:rsidRDefault="00915FA8" w:rsidP="000851E7">
      <w:pPr>
        <w:pStyle w:val="ListParagraph"/>
        <w:tabs>
          <w:tab w:val="left" w:pos="4508"/>
        </w:tabs>
        <w:spacing w:before="120" w:line="320" w:lineRule="exact"/>
        <w:ind w:left="567"/>
        <w:contextualSpacing w:val="0"/>
        <w:jc w:val="both"/>
        <w:rPr>
          <w:rFonts w:asciiTheme="minorHAnsi" w:hAnsiTheme="minorHAnsi" w:cstheme="minorHAnsi"/>
          <w:sz w:val="20"/>
          <w:szCs w:val="20"/>
        </w:rPr>
      </w:pPr>
    </w:p>
    <w:p w14:paraId="27690F6F" w14:textId="3E24676F" w:rsidR="00915FA8" w:rsidRPr="00915FA8" w:rsidRDefault="00915FA8" w:rsidP="00915FA8">
      <w:pPr>
        <w:pStyle w:val="ListParagraph"/>
        <w:numPr>
          <w:ilvl w:val="0"/>
          <w:numId w:val="56"/>
        </w:numPr>
        <w:tabs>
          <w:tab w:val="left" w:pos="4508"/>
        </w:tabs>
        <w:spacing w:before="120" w:line="320" w:lineRule="exact"/>
        <w:ind w:left="567" w:hanging="283"/>
        <w:jc w:val="both"/>
        <w:rPr>
          <w:rFonts w:asciiTheme="minorHAnsi" w:hAnsiTheme="minorHAnsi" w:cstheme="minorHAnsi"/>
          <w:sz w:val="20"/>
          <w:szCs w:val="20"/>
        </w:rPr>
      </w:pPr>
      <w:r w:rsidRPr="00915FA8">
        <w:rPr>
          <w:rFonts w:asciiTheme="minorHAnsi" w:hAnsiTheme="minorHAnsi" w:cstheme="minorHAnsi"/>
          <w:b/>
          <w:sz w:val="20"/>
          <w:szCs w:val="20"/>
        </w:rPr>
        <w:lastRenderedPageBreak/>
        <w:t>Accounting Policies (continued)</w:t>
      </w:r>
    </w:p>
    <w:p w14:paraId="20EB3548" w14:textId="4322240E" w:rsidR="00722A03" w:rsidRPr="00BD12F9" w:rsidRDefault="00722A03" w:rsidP="009262A8">
      <w:pPr>
        <w:tabs>
          <w:tab w:val="left" w:pos="567"/>
          <w:tab w:val="left" w:pos="4508"/>
        </w:tabs>
        <w:spacing w:before="120" w:line="320" w:lineRule="exact"/>
        <w:ind w:firstLine="567"/>
        <w:jc w:val="both"/>
        <w:rPr>
          <w:rFonts w:asciiTheme="minorHAnsi" w:hAnsiTheme="minorHAnsi" w:cstheme="minorHAnsi"/>
          <w:b/>
          <w:sz w:val="20"/>
          <w:szCs w:val="20"/>
        </w:rPr>
      </w:pPr>
      <w:r w:rsidRPr="00BD12F9">
        <w:rPr>
          <w:rFonts w:asciiTheme="minorHAnsi" w:hAnsiTheme="minorHAnsi" w:cstheme="minorHAnsi"/>
          <w:b/>
          <w:sz w:val="20"/>
          <w:szCs w:val="20"/>
        </w:rPr>
        <w:t>Intangible fixed assets</w:t>
      </w:r>
    </w:p>
    <w:p w14:paraId="7A67BEEE" w14:textId="05D05381" w:rsidR="00722A03" w:rsidRPr="00BD12F9" w:rsidRDefault="00722A03" w:rsidP="009262A8">
      <w:pPr>
        <w:tabs>
          <w:tab w:val="left" w:pos="567"/>
          <w:tab w:val="left" w:pos="4508"/>
        </w:tabs>
        <w:spacing w:before="120" w:line="320" w:lineRule="exact"/>
        <w:ind w:firstLine="567"/>
        <w:jc w:val="both"/>
        <w:rPr>
          <w:rFonts w:asciiTheme="minorHAnsi" w:hAnsiTheme="minorHAnsi" w:cstheme="minorHAnsi"/>
          <w:sz w:val="20"/>
          <w:szCs w:val="20"/>
        </w:rPr>
      </w:pPr>
      <w:r w:rsidRPr="00BD12F9">
        <w:rPr>
          <w:rFonts w:asciiTheme="minorHAnsi" w:hAnsiTheme="minorHAnsi" w:cstheme="minorHAnsi"/>
          <w:sz w:val="20"/>
          <w:szCs w:val="20"/>
        </w:rPr>
        <w:t xml:space="preserve">Intangible assets comprise capitalised computer software </w:t>
      </w:r>
      <w:r w:rsidR="009562AA">
        <w:rPr>
          <w:rFonts w:asciiTheme="minorHAnsi" w:hAnsiTheme="minorHAnsi" w:cstheme="minorHAnsi"/>
          <w:sz w:val="20"/>
          <w:szCs w:val="20"/>
        </w:rPr>
        <w:t>which</w:t>
      </w:r>
      <w:r w:rsidRPr="00BD12F9">
        <w:rPr>
          <w:rFonts w:asciiTheme="minorHAnsi" w:hAnsiTheme="minorHAnsi" w:cstheme="minorHAnsi"/>
          <w:sz w:val="20"/>
          <w:szCs w:val="20"/>
        </w:rPr>
        <w:t xml:space="preserve"> are initially recognised at cost.</w:t>
      </w:r>
    </w:p>
    <w:p w14:paraId="79149E01" w14:textId="77777777" w:rsidR="00722A03" w:rsidRPr="00BD12F9" w:rsidRDefault="00722A03" w:rsidP="009262A8">
      <w:pPr>
        <w:tabs>
          <w:tab w:val="left" w:pos="9641"/>
          <w:tab w:val="left" w:pos="10321"/>
        </w:tabs>
        <w:spacing w:before="120" w:after="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Amortisation is provided so as to write off their carrying value over their expected useful economic lives. It is provided at the following rates: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6591"/>
      </w:tblGrid>
      <w:tr w:rsidR="00722A03" w:rsidRPr="00EA0B73" w14:paraId="190D3016" w14:textId="77777777" w:rsidTr="00AD7580">
        <w:tc>
          <w:tcPr>
            <w:tcW w:w="2469" w:type="dxa"/>
          </w:tcPr>
          <w:p w14:paraId="26FE7BC9" w14:textId="77777777" w:rsidR="00722A03" w:rsidRPr="00BD12F9" w:rsidRDefault="00722A03" w:rsidP="009262A8">
            <w:pPr>
              <w:tabs>
                <w:tab w:val="left" w:pos="9641"/>
                <w:tab w:val="left" w:pos="10321"/>
              </w:tabs>
              <w:spacing w:line="320" w:lineRule="exact"/>
              <w:jc w:val="both"/>
              <w:rPr>
                <w:rFonts w:asciiTheme="minorHAnsi" w:hAnsiTheme="minorHAnsi" w:cstheme="minorHAnsi"/>
                <w:sz w:val="20"/>
                <w:szCs w:val="20"/>
              </w:rPr>
            </w:pPr>
            <w:r w:rsidRPr="00BD12F9">
              <w:rPr>
                <w:rFonts w:asciiTheme="minorHAnsi" w:hAnsiTheme="minorHAnsi" w:cstheme="minorHAnsi"/>
                <w:sz w:val="20"/>
                <w:szCs w:val="20"/>
              </w:rPr>
              <w:t>Computer software -</w:t>
            </w:r>
          </w:p>
        </w:tc>
        <w:tc>
          <w:tcPr>
            <w:tcW w:w="6591" w:type="dxa"/>
          </w:tcPr>
          <w:p w14:paraId="0BDF8565" w14:textId="77777777" w:rsidR="00722A03" w:rsidRPr="00BD12F9" w:rsidRDefault="00722A03" w:rsidP="009262A8">
            <w:pPr>
              <w:tabs>
                <w:tab w:val="left" w:pos="9641"/>
                <w:tab w:val="left" w:pos="10321"/>
              </w:tabs>
              <w:spacing w:line="320" w:lineRule="exact"/>
              <w:jc w:val="both"/>
              <w:rPr>
                <w:rFonts w:asciiTheme="minorHAnsi" w:hAnsiTheme="minorHAnsi" w:cstheme="minorHAnsi"/>
                <w:sz w:val="20"/>
                <w:szCs w:val="20"/>
              </w:rPr>
            </w:pPr>
            <w:r w:rsidRPr="00BD12F9">
              <w:rPr>
                <w:rFonts w:asciiTheme="minorHAnsi" w:hAnsiTheme="minorHAnsi" w:cstheme="minorHAnsi"/>
                <w:sz w:val="20"/>
                <w:szCs w:val="20"/>
              </w:rPr>
              <w:t>33% straight line basis</w:t>
            </w:r>
          </w:p>
        </w:tc>
      </w:tr>
    </w:tbl>
    <w:p w14:paraId="0316459D" w14:textId="054E327C" w:rsidR="00AD7580" w:rsidRPr="00BB1D40" w:rsidRDefault="009562AA" w:rsidP="009262A8">
      <w:pPr>
        <w:tabs>
          <w:tab w:val="left" w:pos="567"/>
          <w:tab w:val="left" w:pos="4508"/>
        </w:tabs>
        <w:spacing w:before="120" w:line="320" w:lineRule="exact"/>
        <w:ind w:left="567"/>
        <w:jc w:val="both"/>
        <w:rPr>
          <w:rFonts w:asciiTheme="minorHAnsi" w:hAnsiTheme="minorHAnsi" w:cstheme="minorHAnsi"/>
          <w:bCs/>
          <w:sz w:val="20"/>
          <w:szCs w:val="20"/>
        </w:rPr>
      </w:pPr>
      <w:r>
        <w:rPr>
          <w:rFonts w:asciiTheme="minorHAnsi" w:hAnsiTheme="minorHAnsi" w:cstheme="minorHAnsi"/>
          <w:bCs/>
          <w:sz w:val="20"/>
          <w:szCs w:val="20"/>
        </w:rPr>
        <w:t>Intangible assets also comprise i</w:t>
      </w:r>
      <w:r w:rsidR="00AD7580">
        <w:rPr>
          <w:rFonts w:asciiTheme="minorHAnsi" w:hAnsiTheme="minorHAnsi" w:cstheme="minorHAnsi"/>
          <w:bCs/>
          <w:sz w:val="20"/>
          <w:szCs w:val="20"/>
        </w:rPr>
        <w:t>ntellectual property</w:t>
      </w:r>
      <w:r>
        <w:rPr>
          <w:rFonts w:asciiTheme="minorHAnsi" w:hAnsiTheme="minorHAnsi" w:cstheme="minorHAnsi"/>
          <w:bCs/>
          <w:sz w:val="20"/>
          <w:szCs w:val="20"/>
        </w:rPr>
        <w:t xml:space="preserve"> which is initially measured at cost. The useful economic life of the asset is considered to be such that any amortisation charge would be immaterial to the financial </w:t>
      </w:r>
      <w:r w:rsidRPr="00BB1D40">
        <w:rPr>
          <w:rFonts w:asciiTheme="minorHAnsi" w:hAnsiTheme="minorHAnsi" w:cstheme="minorHAnsi"/>
          <w:bCs/>
          <w:sz w:val="20"/>
          <w:szCs w:val="20"/>
        </w:rPr>
        <w:t>statements. The directors have therefore decided that an annual impairment review rather than an systematic amortisation is more appropriate for this asset.</w:t>
      </w:r>
    </w:p>
    <w:p w14:paraId="686D1099" w14:textId="529A4357" w:rsidR="00B411F6" w:rsidRPr="00BD12F9" w:rsidRDefault="00B411F6" w:rsidP="009262A8">
      <w:pPr>
        <w:tabs>
          <w:tab w:val="left" w:pos="567"/>
          <w:tab w:val="left" w:pos="4508"/>
        </w:tabs>
        <w:spacing w:before="120" w:line="320" w:lineRule="exact"/>
        <w:ind w:left="567"/>
        <w:jc w:val="both"/>
        <w:rPr>
          <w:rFonts w:asciiTheme="minorHAnsi" w:hAnsiTheme="minorHAnsi" w:cstheme="minorHAnsi"/>
          <w:b/>
          <w:sz w:val="20"/>
          <w:szCs w:val="20"/>
        </w:rPr>
      </w:pPr>
      <w:r w:rsidRPr="00BB1D40">
        <w:rPr>
          <w:rFonts w:asciiTheme="minorHAnsi" w:hAnsiTheme="minorHAnsi" w:cstheme="minorHAnsi"/>
          <w:b/>
          <w:sz w:val="20"/>
          <w:szCs w:val="20"/>
        </w:rPr>
        <w:t>Impairment of non-current assets</w:t>
      </w:r>
    </w:p>
    <w:p w14:paraId="346D4026" w14:textId="3D3D04DF" w:rsidR="00B411F6" w:rsidRDefault="00B411F6"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 xml:space="preserve">At each reporting date the Group reviews the carrying amounts of its </w:t>
      </w:r>
      <w:r w:rsidR="00D16377">
        <w:rPr>
          <w:rFonts w:asciiTheme="minorHAnsi" w:hAnsiTheme="minorHAnsi" w:cstheme="minorHAnsi"/>
          <w:sz w:val="20"/>
          <w:szCs w:val="20"/>
        </w:rPr>
        <w:t>non-current</w:t>
      </w:r>
      <w:r w:rsidRPr="00BD12F9">
        <w:rPr>
          <w:rFonts w:asciiTheme="minorHAnsi" w:hAnsiTheme="minorHAnsi" w:cstheme="minorHAnsi"/>
          <w:sz w:val="20"/>
          <w:szCs w:val="20"/>
        </w:rPr>
        <w:t xml:space="preserve"> assets to determine whether there is any indication that those assets have suffered an impairment loss.  If any such indication exists, the recoverable amount of the asset is estimated in order to determine the extent of the impairment loss (if any).  </w:t>
      </w:r>
    </w:p>
    <w:p w14:paraId="2FEECE21" w14:textId="6E2BBD51" w:rsidR="00B411F6" w:rsidRPr="00BD12F9" w:rsidRDefault="00B411F6"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If the recoverable amount of an asset is estimated to be less than its carrying amount, the carrying amount of the asset is reduced to its recoverable amount.  An impairment loss is recognised as an expense immediately, unless the relevant asset is carried at a revalued amount, in which case the impairment loss is treated as a revaluation decrease.</w:t>
      </w:r>
    </w:p>
    <w:p w14:paraId="2EF041C7" w14:textId="1CA45C67" w:rsidR="00906E5C" w:rsidRPr="00BD12F9" w:rsidRDefault="00A862BB" w:rsidP="009262A8">
      <w:pPr>
        <w:tabs>
          <w:tab w:val="left" w:pos="567"/>
          <w:tab w:val="left" w:pos="4508"/>
        </w:tabs>
        <w:spacing w:before="120" w:line="320" w:lineRule="exact"/>
        <w:ind w:left="567"/>
        <w:jc w:val="both"/>
        <w:rPr>
          <w:rFonts w:asciiTheme="minorHAnsi" w:hAnsiTheme="minorHAnsi" w:cstheme="minorHAnsi"/>
          <w:b/>
          <w:sz w:val="20"/>
          <w:szCs w:val="20"/>
        </w:rPr>
      </w:pPr>
      <w:r w:rsidRPr="00BD12F9">
        <w:rPr>
          <w:rFonts w:asciiTheme="minorHAnsi" w:hAnsiTheme="minorHAnsi" w:cstheme="minorHAnsi"/>
          <w:b/>
          <w:sz w:val="20"/>
          <w:szCs w:val="20"/>
        </w:rPr>
        <w:t>Financial assets</w:t>
      </w:r>
    </w:p>
    <w:p w14:paraId="39DCE2EB" w14:textId="14A13A8C" w:rsidR="00B411F6" w:rsidRPr="00BD12F9" w:rsidRDefault="00B411F6"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 xml:space="preserve">Financial assets are recognised when the Group becomes a party to the contractual provisions of the financial asset. </w:t>
      </w:r>
    </w:p>
    <w:p w14:paraId="689F2BDC" w14:textId="734B0BA5" w:rsidR="00B411F6" w:rsidRPr="00BD12F9" w:rsidRDefault="00B411F6"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Financial assets are derecognised when the contractual rights to the cash flows from the financial assets expire, or when the financial asset and substantially all of the risks and rewards are transferred.</w:t>
      </w:r>
    </w:p>
    <w:p w14:paraId="723A1FB1" w14:textId="5FAA9A63" w:rsidR="00536948" w:rsidRPr="00BD12F9" w:rsidRDefault="00536948"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The financial assets of the Group are initially measured at fair value adjusted for transaction costs (where applicable).</w:t>
      </w:r>
    </w:p>
    <w:p w14:paraId="7F45F5A9" w14:textId="6D0F9B7D" w:rsidR="00536948" w:rsidRPr="00BD12F9" w:rsidRDefault="00536948"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Financial assets are classified into the following categories:</w:t>
      </w:r>
    </w:p>
    <w:p w14:paraId="0ACCF5A3" w14:textId="2CD4F3B7" w:rsidR="00536948" w:rsidRPr="00BD12F9" w:rsidRDefault="00536948" w:rsidP="00B2796D">
      <w:pPr>
        <w:pStyle w:val="ListParagraph"/>
        <w:numPr>
          <w:ilvl w:val="0"/>
          <w:numId w:val="11"/>
        </w:numPr>
        <w:tabs>
          <w:tab w:val="left" w:pos="567"/>
          <w:tab w:val="left" w:pos="4508"/>
        </w:tabs>
        <w:spacing w:line="320" w:lineRule="exact"/>
        <w:ind w:left="1281" w:hanging="357"/>
        <w:contextualSpacing w:val="0"/>
        <w:jc w:val="both"/>
        <w:rPr>
          <w:rFonts w:asciiTheme="minorHAnsi" w:hAnsiTheme="minorHAnsi" w:cstheme="minorHAnsi"/>
          <w:sz w:val="20"/>
          <w:szCs w:val="20"/>
        </w:rPr>
      </w:pPr>
      <w:r w:rsidRPr="00BD12F9">
        <w:rPr>
          <w:rFonts w:asciiTheme="minorHAnsi" w:hAnsiTheme="minorHAnsi" w:cstheme="minorHAnsi"/>
          <w:sz w:val="20"/>
          <w:szCs w:val="20"/>
        </w:rPr>
        <w:t>Amortised cost</w:t>
      </w:r>
    </w:p>
    <w:p w14:paraId="00967E57" w14:textId="253C40D6" w:rsidR="00536948" w:rsidRPr="00BD12F9" w:rsidRDefault="00536948" w:rsidP="00B2796D">
      <w:pPr>
        <w:pStyle w:val="ListParagraph"/>
        <w:numPr>
          <w:ilvl w:val="0"/>
          <w:numId w:val="11"/>
        </w:numPr>
        <w:tabs>
          <w:tab w:val="left" w:pos="567"/>
          <w:tab w:val="left" w:pos="4508"/>
        </w:tabs>
        <w:spacing w:line="320" w:lineRule="exact"/>
        <w:ind w:left="1281" w:hanging="357"/>
        <w:contextualSpacing w:val="0"/>
        <w:jc w:val="both"/>
        <w:rPr>
          <w:rFonts w:asciiTheme="minorHAnsi" w:hAnsiTheme="minorHAnsi" w:cstheme="minorHAnsi"/>
          <w:sz w:val="20"/>
          <w:szCs w:val="20"/>
        </w:rPr>
      </w:pPr>
      <w:r w:rsidRPr="00BD12F9">
        <w:rPr>
          <w:rFonts w:asciiTheme="minorHAnsi" w:hAnsiTheme="minorHAnsi" w:cstheme="minorHAnsi"/>
          <w:sz w:val="20"/>
          <w:szCs w:val="20"/>
        </w:rPr>
        <w:t>Fair value through profit or loss (FVTPL)</w:t>
      </w:r>
    </w:p>
    <w:p w14:paraId="04980A74" w14:textId="2FB726E2" w:rsidR="00536948" w:rsidRPr="00BD12F9" w:rsidRDefault="00536948" w:rsidP="00B2796D">
      <w:pPr>
        <w:pStyle w:val="ListParagraph"/>
        <w:numPr>
          <w:ilvl w:val="0"/>
          <w:numId w:val="11"/>
        </w:numPr>
        <w:tabs>
          <w:tab w:val="left" w:pos="567"/>
          <w:tab w:val="left" w:pos="4508"/>
        </w:tabs>
        <w:spacing w:line="320" w:lineRule="exact"/>
        <w:ind w:left="1281" w:hanging="357"/>
        <w:contextualSpacing w:val="0"/>
        <w:jc w:val="both"/>
        <w:rPr>
          <w:rFonts w:asciiTheme="minorHAnsi" w:hAnsiTheme="minorHAnsi" w:cstheme="minorHAnsi"/>
          <w:sz w:val="20"/>
          <w:szCs w:val="20"/>
        </w:rPr>
      </w:pPr>
      <w:r w:rsidRPr="00BD12F9">
        <w:rPr>
          <w:rFonts w:asciiTheme="minorHAnsi" w:hAnsiTheme="minorHAnsi" w:cstheme="minorHAnsi"/>
          <w:sz w:val="20"/>
          <w:szCs w:val="20"/>
        </w:rPr>
        <w:t>Fair value through other comprehensive income (FVOCI)</w:t>
      </w:r>
    </w:p>
    <w:p w14:paraId="33AC27CC" w14:textId="2F6FA79D" w:rsidR="00536948" w:rsidRPr="00BD12F9" w:rsidRDefault="00536948"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The classification is determined by both:</w:t>
      </w:r>
    </w:p>
    <w:p w14:paraId="697DED9A" w14:textId="7437030E" w:rsidR="00536948" w:rsidRPr="00BD12F9" w:rsidRDefault="00536948" w:rsidP="00B2796D">
      <w:pPr>
        <w:pStyle w:val="ListParagraph"/>
        <w:numPr>
          <w:ilvl w:val="0"/>
          <w:numId w:val="11"/>
        </w:numPr>
        <w:tabs>
          <w:tab w:val="left" w:pos="567"/>
          <w:tab w:val="left" w:pos="4508"/>
        </w:tabs>
        <w:spacing w:line="320" w:lineRule="exact"/>
        <w:ind w:left="1281" w:hanging="357"/>
        <w:contextualSpacing w:val="0"/>
        <w:jc w:val="both"/>
        <w:rPr>
          <w:rFonts w:asciiTheme="minorHAnsi" w:hAnsiTheme="minorHAnsi" w:cstheme="minorHAnsi"/>
          <w:sz w:val="20"/>
          <w:szCs w:val="20"/>
        </w:rPr>
      </w:pPr>
      <w:r w:rsidRPr="00BD12F9">
        <w:rPr>
          <w:rFonts w:asciiTheme="minorHAnsi" w:hAnsiTheme="minorHAnsi" w:cstheme="minorHAnsi"/>
          <w:sz w:val="20"/>
          <w:szCs w:val="20"/>
        </w:rPr>
        <w:t>The Group’s business model for managing the financial asset</w:t>
      </w:r>
    </w:p>
    <w:p w14:paraId="7D7D2CD7" w14:textId="21305766" w:rsidR="00A64478" w:rsidRPr="00BD12F9" w:rsidRDefault="00A64478" w:rsidP="00B2796D">
      <w:pPr>
        <w:pStyle w:val="ListParagraph"/>
        <w:numPr>
          <w:ilvl w:val="0"/>
          <w:numId w:val="11"/>
        </w:numPr>
        <w:tabs>
          <w:tab w:val="left" w:pos="567"/>
          <w:tab w:val="left" w:pos="4508"/>
        </w:tabs>
        <w:spacing w:line="320" w:lineRule="exact"/>
        <w:ind w:left="1281" w:hanging="357"/>
        <w:contextualSpacing w:val="0"/>
        <w:jc w:val="both"/>
        <w:rPr>
          <w:rFonts w:asciiTheme="minorHAnsi" w:hAnsiTheme="minorHAnsi" w:cstheme="minorHAnsi"/>
          <w:sz w:val="20"/>
          <w:szCs w:val="20"/>
        </w:rPr>
      </w:pPr>
      <w:r w:rsidRPr="00BD12F9">
        <w:rPr>
          <w:rFonts w:asciiTheme="minorHAnsi" w:hAnsiTheme="minorHAnsi" w:cstheme="minorHAnsi"/>
          <w:sz w:val="20"/>
          <w:szCs w:val="20"/>
        </w:rPr>
        <w:t>The contractual cash flow characteristics of the financial asset</w:t>
      </w:r>
    </w:p>
    <w:p w14:paraId="42428CCE" w14:textId="1F4B7F80" w:rsidR="00A64478" w:rsidRDefault="00A64478" w:rsidP="00E246BD">
      <w:pPr>
        <w:widowControl w:val="0"/>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All income and expenses relating to financial assets that are recognised in profit or loss are presented within finance costs and finance income.</w:t>
      </w:r>
    </w:p>
    <w:p w14:paraId="2E670E0B" w14:textId="34FF8D3E" w:rsidR="00915FA8" w:rsidRDefault="00915FA8" w:rsidP="00E246BD">
      <w:pPr>
        <w:widowControl w:val="0"/>
        <w:tabs>
          <w:tab w:val="left" w:pos="567"/>
          <w:tab w:val="left" w:pos="4508"/>
        </w:tabs>
        <w:spacing w:before="120" w:line="320" w:lineRule="exact"/>
        <w:ind w:left="567"/>
        <w:jc w:val="both"/>
        <w:rPr>
          <w:rFonts w:asciiTheme="minorHAnsi" w:hAnsiTheme="minorHAnsi" w:cstheme="minorHAnsi"/>
          <w:sz w:val="20"/>
          <w:szCs w:val="20"/>
        </w:rPr>
      </w:pPr>
    </w:p>
    <w:p w14:paraId="4ADA41A3" w14:textId="77777777" w:rsidR="009912E9" w:rsidRDefault="009912E9" w:rsidP="00E246BD">
      <w:pPr>
        <w:widowControl w:val="0"/>
        <w:tabs>
          <w:tab w:val="left" w:pos="567"/>
          <w:tab w:val="left" w:pos="4508"/>
        </w:tabs>
        <w:spacing w:before="120" w:line="320" w:lineRule="exact"/>
        <w:ind w:left="567"/>
        <w:jc w:val="both"/>
        <w:rPr>
          <w:rFonts w:asciiTheme="minorHAnsi" w:hAnsiTheme="minorHAnsi" w:cstheme="minorHAnsi"/>
          <w:sz w:val="20"/>
          <w:szCs w:val="20"/>
        </w:rPr>
      </w:pPr>
    </w:p>
    <w:p w14:paraId="0CB94DB0" w14:textId="77777777" w:rsidR="00915FA8" w:rsidRDefault="00915FA8" w:rsidP="00915FA8">
      <w:pPr>
        <w:pStyle w:val="ListParagraph"/>
        <w:widowControl w:val="0"/>
        <w:numPr>
          <w:ilvl w:val="0"/>
          <w:numId w:val="25"/>
        </w:numPr>
        <w:spacing w:before="120" w:line="276" w:lineRule="auto"/>
        <w:ind w:left="567" w:hanging="283"/>
        <w:jc w:val="both"/>
        <w:rPr>
          <w:rFonts w:asciiTheme="minorHAnsi" w:hAnsiTheme="minorHAnsi" w:cstheme="minorHAnsi"/>
          <w:b/>
          <w:sz w:val="20"/>
          <w:szCs w:val="20"/>
        </w:rPr>
      </w:pPr>
      <w:r w:rsidRPr="00BB3C18">
        <w:rPr>
          <w:rFonts w:asciiTheme="minorHAnsi" w:hAnsiTheme="minorHAnsi" w:cstheme="minorHAnsi"/>
          <w:b/>
          <w:sz w:val="20"/>
          <w:szCs w:val="20"/>
        </w:rPr>
        <w:lastRenderedPageBreak/>
        <w:t>Accounting Policies</w:t>
      </w:r>
      <w:r>
        <w:rPr>
          <w:rFonts w:asciiTheme="minorHAnsi" w:hAnsiTheme="minorHAnsi" w:cstheme="minorHAnsi"/>
          <w:b/>
          <w:sz w:val="20"/>
          <w:szCs w:val="20"/>
        </w:rPr>
        <w:t xml:space="preserve"> (continued)</w:t>
      </w:r>
    </w:p>
    <w:p w14:paraId="062F86C6" w14:textId="7EF69BD3" w:rsidR="00915FA8" w:rsidRPr="00915FA8" w:rsidRDefault="00915FA8" w:rsidP="00915FA8">
      <w:pPr>
        <w:pStyle w:val="ListParagraph"/>
        <w:tabs>
          <w:tab w:val="left" w:pos="567"/>
          <w:tab w:val="left" w:pos="4508"/>
        </w:tabs>
        <w:spacing w:before="120" w:line="320" w:lineRule="exact"/>
        <w:ind w:left="567"/>
        <w:jc w:val="both"/>
        <w:rPr>
          <w:rFonts w:asciiTheme="minorHAnsi" w:hAnsiTheme="minorHAnsi" w:cstheme="minorHAnsi"/>
          <w:b/>
          <w:sz w:val="20"/>
          <w:szCs w:val="20"/>
        </w:rPr>
      </w:pPr>
      <w:r w:rsidRPr="00915FA8">
        <w:rPr>
          <w:rFonts w:asciiTheme="minorHAnsi" w:hAnsiTheme="minorHAnsi" w:cstheme="minorHAnsi"/>
          <w:b/>
          <w:sz w:val="20"/>
          <w:szCs w:val="20"/>
        </w:rPr>
        <w:t>Financial assets</w:t>
      </w:r>
      <w:r>
        <w:rPr>
          <w:rFonts w:asciiTheme="minorHAnsi" w:hAnsiTheme="minorHAnsi" w:cstheme="minorHAnsi"/>
          <w:b/>
          <w:sz w:val="20"/>
          <w:szCs w:val="20"/>
        </w:rPr>
        <w:t xml:space="preserve"> (continued)</w:t>
      </w:r>
    </w:p>
    <w:p w14:paraId="54E640F5" w14:textId="0DDA7331" w:rsidR="00A64478" w:rsidRPr="00BD12F9" w:rsidRDefault="00A64478" w:rsidP="00E246BD">
      <w:pPr>
        <w:widowControl w:val="0"/>
        <w:tabs>
          <w:tab w:val="left" w:pos="567"/>
          <w:tab w:val="left" w:pos="1276"/>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Financial assets are measured at amortised cost if the assets meet the following conditions (and are not designated as FVTPL):</w:t>
      </w:r>
    </w:p>
    <w:p w14:paraId="4073BF2A" w14:textId="77777777" w:rsidR="00A64478" w:rsidRPr="00BD12F9" w:rsidRDefault="00A64478" w:rsidP="009262A8">
      <w:pPr>
        <w:tabs>
          <w:tab w:val="left" w:pos="567"/>
          <w:tab w:val="left" w:pos="1276"/>
        </w:tabs>
        <w:spacing w:line="320" w:lineRule="exact"/>
        <w:ind w:left="1276" w:hanging="284"/>
        <w:jc w:val="both"/>
        <w:rPr>
          <w:rFonts w:asciiTheme="minorHAnsi" w:hAnsiTheme="minorHAnsi" w:cstheme="minorHAnsi"/>
          <w:sz w:val="20"/>
          <w:szCs w:val="20"/>
        </w:rPr>
      </w:pPr>
      <w:r w:rsidRPr="00BD12F9">
        <w:rPr>
          <w:rFonts w:asciiTheme="minorHAnsi" w:hAnsiTheme="minorHAnsi" w:cstheme="minorHAnsi"/>
          <w:sz w:val="20"/>
          <w:szCs w:val="20"/>
        </w:rPr>
        <w:t>-</w:t>
      </w:r>
      <w:r w:rsidRPr="00BD12F9">
        <w:rPr>
          <w:rFonts w:asciiTheme="minorHAnsi" w:hAnsiTheme="minorHAnsi" w:cstheme="minorHAnsi"/>
          <w:sz w:val="20"/>
          <w:szCs w:val="20"/>
        </w:rPr>
        <w:tab/>
        <w:t>They are held within a business model whose objective is to hold the financial assets and collect its contractual cash flows</w:t>
      </w:r>
    </w:p>
    <w:p w14:paraId="33797896" w14:textId="77777777" w:rsidR="00A64478" w:rsidRPr="00BD12F9" w:rsidRDefault="00A64478" w:rsidP="009262A8">
      <w:pPr>
        <w:tabs>
          <w:tab w:val="left" w:pos="567"/>
          <w:tab w:val="left" w:pos="1276"/>
        </w:tabs>
        <w:spacing w:line="320" w:lineRule="exact"/>
        <w:ind w:left="1276" w:hanging="284"/>
        <w:jc w:val="both"/>
        <w:rPr>
          <w:rFonts w:asciiTheme="minorHAnsi" w:hAnsiTheme="minorHAnsi" w:cstheme="minorHAnsi"/>
          <w:sz w:val="20"/>
          <w:szCs w:val="20"/>
        </w:rPr>
      </w:pPr>
      <w:r w:rsidRPr="00BD12F9">
        <w:rPr>
          <w:rFonts w:asciiTheme="minorHAnsi" w:hAnsiTheme="minorHAnsi" w:cstheme="minorHAnsi"/>
          <w:sz w:val="20"/>
          <w:szCs w:val="20"/>
        </w:rPr>
        <w:t>-</w:t>
      </w:r>
      <w:r w:rsidRPr="00BD12F9">
        <w:rPr>
          <w:rFonts w:asciiTheme="minorHAnsi" w:hAnsiTheme="minorHAnsi" w:cstheme="minorHAnsi"/>
          <w:sz w:val="20"/>
          <w:szCs w:val="20"/>
        </w:rPr>
        <w:tab/>
        <w:t>The contractual terms of the financial assets give rise to cash flows that are solely payments of principal and interest on the principal amount outstanding</w:t>
      </w:r>
    </w:p>
    <w:p w14:paraId="56723E22" w14:textId="16A041CC" w:rsidR="00A64478" w:rsidRPr="00BD12F9" w:rsidRDefault="00A64478" w:rsidP="009262A8">
      <w:pPr>
        <w:tabs>
          <w:tab w:val="left" w:pos="567"/>
          <w:tab w:val="left" w:pos="1276"/>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 xml:space="preserve">After initial recognition, these are measured at amortised cost using the effective interest method.  Discounting is omitted where its effect is immaterial.  The Group’s cash and cash equivalents, trade and other receivables fall into this category.  </w:t>
      </w:r>
    </w:p>
    <w:p w14:paraId="77085B37" w14:textId="6BAA1A3A" w:rsidR="00A64478" w:rsidRDefault="00A64478" w:rsidP="009262A8">
      <w:pPr>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An impairment loss in respect of a financial asset measured at amortised cost is calculated as the difference between its carrying amount and the present value of the estimated future cash flows discounted at the asset’s original effective interest rate.  Losses are recognised in profit or loss and reflected in an allowance against trade and other receivables.  When an event occurring after the impairment was recognised causes the amount of im</w:t>
      </w:r>
      <w:r w:rsidR="009262A8" w:rsidRPr="00BD12F9">
        <w:rPr>
          <w:rFonts w:asciiTheme="minorHAnsi" w:hAnsiTheme="minorHAnsi" w:cstheme="minorHAnsi"/>
          <w:sz w:val="20"/>
          <w:szCs w:val="20"/>
        </w:rPr>
        <w:t>p</w:t>
      </w:r>
      <w:r w:rsidRPr="00BD12F9">
        <w:rPr>
          <w:rFonts w:asciiTheme="minorHAnsi" w:hAnsiTheme="minorHAnsi" w:cstheme="minorHAnsi"/>
          <w:sz w:val="20"/>
          <w:szCs w:val="20"/>
        </w:rPr>
        <w:t>airment loss to decrease, the decrease in impairment loss is reversed through profit or loss.</w:t>
      </w:r>
    </w:p>
    <w:p w14:paraId="141D41AF" w14:textId="40E3FE92" w:rsidR="00A64478" w:rsidRPr="00BD12F9" w:rsidRDefault="00A64478" w:rsidP="00677C40">
      <w:pPr>
        <w:widowControl w:val="0"/>
        <w:spacing w:before="120" w:line="276" w:lineRule="auto"/>
        <w:ind w:left="567"/>
        <w:jc w:val="both"/>
        <w:rPr>
          <w:rFonts w:asciiTheme="minorHAnsi" w:hAnsiTheme="minorHAnsi" w:cstheme="minorHAnsi"/>
          <w:b/>
          <w:sz w:val="20"/>
          <w:szCs w:val="20"/>
        </w:rPr>
      </w:pPr>
      <w:r w:rsidRPr="00BD12F9">
        <w:rPr>
          <w:rFonts w:asciiTheme="minorHAnsi" w:hAnsiTheme="minorHAnsi" w:cstheme="minorHAnsi"/>
          <w:b/>
          <w:sz w:val="20"/>
          <w:szCs w:val="20"/>
        </w:rPr>
        <w:t>Trade and other receivables</w:t>
      </w:r>
    </w:p>
    <w:p w14:paraId="25722293" w14:textId="1E24134D" w:rsidR="00A64478" w:rsidRPr="00BD12F9" w:rsidRDefault="00A64478" w:rsidP="00BD12F9">
      <w:pPr>
        <w:pStyle w:val="ListParagraph"/>
        <w:spacing w:before="120" w:line="320" w:lineRule="exact"/>
        <w:ind w:left="567"/>
        <w:contextualSpacing w:val="0"/>
        <w:jc w:val="both"/>
      </w:pPr>
      <w:r w:rsidRPr="00BD12F9">
        <w:rPr>
          <w:rFonts w:asciiTheme="minorHAnsi" w:hAnsiTheme="minorHAnsi" w:cstheme="minorHAnsi"/>
          <w:sz w:val="20"/>
          <w:szCs w:val="20"/>
        </w:rPr>
        <w:t>The group makes use of a simplified approach in accounting for trade and other receivables and records the loss allowance as lifetime expected credit losses.  These are the expected shortfalls in contractual cash flows, considering the potential for default at any point during the life of the financial instrument.  In calculating, the Group uses its historical experience, external indicators and forward-looking information to calculate the expected credit losses using a provision matrix.</w:t>
      </w:r>
    </w:p>
    <w:p w14:paraId="26A51DCC" w14:textId="1C52E958" w:rsidR="00A64478" w:rsidRPr="00BD12F9" w:rsidRDefault="00A64478" w:rsidP="009262A8">
      <w:pPr>
        <w:pStyle w:val="ListParagraph"/>
        <w:spacing w:before="120" w:line="320" w:lineRule="exact"/>
        <w:ind w:left="567"/>
        <w:contextualSpacing w:val="0"/>
        <w:jc w:val="both"/>
        <w:rPr>
          <w:rFonts w:asciiTheme="minorHAnsi" w:hAnsiTheme="minorHAnsi" w:cstheme="minorHAnsi"/>
          <w:sz w:val="20"/>
          <w:szCs w:val="20"/>
        </w:rPr>
      </w:pPr>
      <w:r w:rsidRPr="00BD12F9">
        <w:rPr>
          <w:rFonts w:asciiTheme="minorHAnsi" w:hAnsiTheme="minorHAnsi" w:cstheme="minorHAnsi"/>
          <w:sz w:val="20"/>
          <w:szCs w:val="20"/>
        </w:rPr>
        <w:t xml:space="preserve">The Group assesses impairment of trade </w:t>
      </w:r>
      <w:r w:rsidR="009D54F6" w:rsidRPr="00BD12F9">
        <w:rPr>
          <w:rFonts w:asciiTheme="minorHAnsi" w:hAnsiTheme="minorHAnsi" w:cstheme="minorHAnsi"/>
          <w:sz w:val="20"/>
          <w:szCs w:val="20"/>
        </w:rPr>
        <w:t xml:space="preserve">and other </w:t>
      </w:r>
      <w:r w:rsidRPr="00BD12F9">
        <w:rPr>
          <w:rFonts w:asciiTheme="minorHAnsi" w:hAnsiTheme="minorHAnsi" w:cstheme="minorHAnsi"/>
          <w:sz w:val="20"/>
          <w:szCs w:val="20"/>
        </w:rPr>
        <w:t>receivables on a collective basis</w:t>
      </w:r>
      <w:r w:rsidR="009D54F6" w:rsidRPr="00BD12F9">
        <w:rPr>
          <w:rFonts w:asciiTheme="minorHAnsi" w:hAnsiTheme="minorHAnsi" w:cstheme="minorHAnsi"/>
          <w:sz w:val="20"/>
          <w:szCs w:val="20"/>
        </w:rPr>
        <w:t>.</w:t>
      </w:r>
    </w:p>
    <w:p w14:paraId="48752306" w14:textId="7798ADDA" w:rsidR="00A862BB" w:rsidRPr="00BD12F9" w:rsidRDefault="00A862BB" w:rsidP="009262A8">
      <w:pPr>
        <w:tabs>
          <w:tab w:val="left" w:pos="567"/>
          <w:tab w:val="left" w:pos="4508"/>
        </w:tabs>
        <w:spacing w:before="120" w:line="320" w:lineRule="exact"/>
        <w:ind w:left="567"/>
        <w:jc w:val="both"/>
        <w:rPr>
          <w:rFonts w:asciiTheme="minorHAnsi" w:hAnsiTheme="minorHAnsi" w:cstheme="minorHAnsi"/>
          <w:b/>
          <w:sz w:val="20"/>
          <w:szCs w:val="20"/>
        </w:rPr>
      </w:pPr>
      <w:r w:rsidRPr="00BD12F9">
        <w:rPr>
          <w:rFonts w:asciiTheme="minorHAnsi" w:hAnsiTheme="minorHAnsi" w:cstheme="minorHAnsi"/>
          <w:b/>
          <w:sz w:val="20"/>
          <w:szCs w:val="20"/>
        </w:rPr>
        <w:t>Cash and cash equivalents</w:t>
      </w:r>
    </w:p>
    <w:p w14:paraId="54558669" w14:textId="5C99739A" w:rsidR="00A862BB" w:rsidRPr="00BD12F9" w:rsidRDefault="00A862BB"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Cash and cash equivalents comprise cash balances and call deposits</w:t>
      </w:r>
      <w:r w:rsidR="007B6A27" w:rsidRPr="00BD12F9">
        <w:rPr>
          <w:rFonts w:asciiTheme="minorHAnsi" w:hAnsiTheme="minorHAnsi" w:cstheme="minorHAnsi"/>
          <w:sz w:val="20"/>
          <w:szCs w:val="20"/>
        </w:rPr>
        <w:t xml:space="preserve">. </w:t>
      </w:r>
      <w:r w:rsidRPr="00BD12F9">
        <w:rPr>
          <w:rFonts w:asciiTheme="minorHAnsi" w:hAnsiTheme="minorHAnsi" w:cstheme="minorHAnsi"/>
          <w:sz w:val="20"/>
          <w:szCs w:val="20"/>
        </w:rPr>
        <w:t>These are initially and subsequently recorded at fair value.</w:t>
      </w:r>
    </w:p>
    <w:p w14:paraId="607FF70B" w14:textId="7BB247F7" w:rsidR="00A862BB" w:rsidRPr="00BD12F9" w:rsidRDefault="00A862BB" w:rsidP="009262A8">
      <w:pPr>
        <w:tabs>
          <w:tab w:val="left" w:pos="567"/>
          <w:tab w:val="left" w:pos="4508"/>
        </w:tabs>
        <w:spacing w:before="120" w:line="320" w:lineRule="exact"/>
        <w:ind w:left="567"/>
        <w:jc w:val="both"/>
        <w:rPr>
          <w:rFonts w:asciiTheme="minorHAnsi" w:hAnsiTheme="minorHAnsi" w:cstheme="minorHAnsi"/>
          <w:b/>
          <w:sz w:val="20"/>
          <w:szCs w:val="20"/>
        </w:rPr>
      </w:pPr>
      <w:r w:rsidRPr="00BD12F9">
        <w:rPr>
          <w:rFonts w:asciiTheme="minorHAnsi" w:hAnsiTheme="minorHAnsi" w:cstheme="minorHAnsi"/>
          <w:b/>
          <w:sz w:val="20"/>
          <w:szCs w:val="20"/>
        </w:rPr>
        <w:t>Financial liabilities</w:t>
      </w:r>
    </w:p>
    <w:p w14:paraId="51E50967" w14:textId="3214FA4F" w:rsidR="007B6A27" w:rsidRPr="00BD12F9" w:rsidRDefault="00A862BB"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 xml:space="preserve">The </w:t>
      </w:r>
      <w:r w:rsidR="009262A8" w:rsidRPr="00BD12F9">
        <w:rPr>
          <w:rFonts w:asciiTheme="minorHAnsi" w:hAnsiTheme="minorHAnsi" w:cstheme="minorHAnsi"/>
          <w:sz w:val="20"/>
          <w:szCs w:val="20"/>
        </w:rPr>
        <w:t xml:space="preserve">Group’s principal financial liabilities include trade and other payables and convertible debt none of which </w:t>
      </w:r>
      <w:r w:rsidRPr="00BD12F9">
        <w:rPr>
          <w:rFonts w:asciiTheme="minorHAnsi" w:hAnsiTheme="minorHAnsi" w:cstheme="minorHAnsi"/>
          <w:sz w:val="20"/>
          <w:szCs w:val="20"/>
        </w:rPr>
        <w:t xml:space="preserve">would be classified as fair value through profit or loss. </w:t>
      </w:r>
    </w:p>
    <w:p w14:paraId="2949CF54" w14:textId="5AA69B2E" w:rsidR="00A862BB" w:rsidRPr="00BD12F9" w:rsidRDefault="00802CA5" w:rsidP="009262A8">
      <w:pPr>
        <w:tabs>
          <w:tab w:val="left" w:pos="567"/>
          <w:tab w:val="left" w:pos="4508"/>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Therefore,</w:t>
      </w:r>
      <w:r w:rsidR="00A862BB" w:rsidRPr="00BD12F9">
        <w:rPr>
          <w:rFonts w:asciiTheme="minorHAnsi" w:hAnsiTheme="minorHAnsi" w:cstheme="minorHAnsi"/>
          <w:sz w:val="20"/>
          <w:szCs w:val="20"/>
        </w:rPr>
        <w:t xml:space="preserve"> these financial liabilities are classified as financial liabilities at amortised cost, as defined below:</w:t>
      </w:r>
    </w:p>
    <w:p w14:paraId="13AF998E" w14:textId="14AB4E08" w:rsidR="00A862BB" w:rsidRPr="00BD12F9" w:rsidRDefault="00A862BB" w:rsidP="00677C40">
      <w:pPr>
        <w:tabs>
          <w:tab w:val="left" w:pos="9641"/>
          <w:tab w:val="left" w:pos="10321"/>
        </w:tabs>
        <w:spacing w:before="120" w:line="320" w:lineRule="exact"/>
        <w:ind w:left="567"/>
        <w:jc w:val="both"/>
        <w:rPr>
          <w:rFonts w:asciiTheme="minorHAnsi" w:hAnsiTheme="minorHAnsi" w:cstheme="minorHAnsi"/>
          <w:sz w:val="20"/>
          <w:szCs w:val="20"/>
        </w:rPr>
      </w:pPr>
      <w:r w:rsidRPr="00BD12F9">
        <w:rPr>
          <w:rFonts w:asciiTheme="minorHAnsi" w:hAnsiTheme="minorHAnsi" w:cstheme="minorHAnsi"/>
          <w:sz w:val="20"/>
          <w:szCs w:val="20"/>
        </w:rPr>
        <w:t xml:space="preserve">Other financial liabilities include the following items: </w:t>
      </w:r>
    </w:p>
    <w:p w14:paraId="56BF95D9" w14:textId="245C89F6" w:rsidR="00A862BB" w:rsidRDefault="00A862BB" w:rsidP="00D679D0">
      <w:pPr>
        <w:pStyle w:val="ListParagraph"/>
        <w:numPr>
          <w:ilvl w:val="0"/>
          <w:numId w:val="8"/>
        </w:numPr>
        <w:tabs>
          <w:tab w:val="left" w:pos="9641"/>
          <w:tab w:val="left" w:pos="10321"/>
        </w:tabs>
        <w:spacing w:before="120" w:line="320" w:lineRule="exact"/>
        <w:jc w:val="both"/>
        <w:rPr>
          <w:rFonts w:asciiTheme="minorHAnsi" w:hAnsiTheme="minorHAnsi" w:cstheme="minorHAnsi"/>
          <w:sz w:val="20"/>
          <w:szCs w:val="20"/>
        </w:rPr>
      </w:pPr>
      <w:r w:rsidRPr="00BD12F9">
        <w:rPr>
          <w:rFonts w:asciiTheme="minorHAnsi" w:hAnsiTheme="minorHAnsi" w:cstheme="minorHAnsi"/>
          <w:sz w:val="20"/>
          <w:szCs w:val="20"/>
        </w:rPr>
        <w:t xml:space="preserve">Borrowings are initially recognised at fair value net of any transaction costs directly attributable to the issue of the instrument. Such </w:t>
      </w:r>
      <w:r w:rsidR="00802CA5" w:rsidRPr="00BD12F9">
        <w:rPr>
          <w:rFonts w:asciiTheme="minorHAnsi" w:hAnsiTheme="minorHAnsi" w:cstheme="minorHAnsi"/>
          <w:sz w:val="20"/>
          <w:szCs w:val="20"/>
        </w:rPr>
        <w:t>interest-bearing</w:t>
      </w:r>
      <w:r w:rsidRPr="00BD12F9">
        <w:rPr>
          <w:rFonts w:asciiTheme="minorHAnsi" w:hAnsiTheme="minorHAnsi" w:cstheme="minorHAnsi"/>
          <w:sz w:val="20"/>
          <w:szCs w:val="20"/>
        </w:rPr>
        <w:t xml:space="preserve"> liabilities are subsequently measured at amortised cost using the effective interest method, which ensures that any interest expense over the period to repayment is at a constant rate on the balance of the liability carried in the statement of financial position. Interest expense in this context includes initial transaction costs and premium payable on redemption, as well as any interest or coupon payable while the liability is outstanding.</w:t>
      </w:r>
    </w:p>
    <w:p w14:paraId="0D2576D1" w14:textId="37BAAE5D" w:rsidR="00D0768B" w:rsidRPr="00677C40" w:rsidRDefault="00677C40" w:rsidP="00677C40">
      <w:pPr>
        <w:pStyle w:val="ListParagraph"/>
        <w:numPr>
          <w:ilvl w:val="0"/>
          <w:numId w:val="57"/>
        </w:numPr>
        <w:tabs>
          <w:tab w:val="left" w:pos="9641"/>
          <w:tab w:val="left" w:pos="10321"/>
        </w:tabs>
        <w:spacing w:before="120" w:line="320" w:lineRule="exact"/>
        <w:ind w:left="567" w:hanging="283"/>
        <w:jc w:val="both"/>
        <w:rPr>
          <w:rFonts w:asciiTheme="minorHAnsi" w:hAnsiTheme="minorHAnsi" w:cstheme="minorHAnsi"/>
          <w:sz w:val="20"/>
          <w:szCs w:val="20"/>
        </w:rPr>
      </w:pPr>
      <w:r w:rsidRPr="00677C40">
        <w:rPr>
          <w:rFonts w:asciiTheme="minorHAnsi" w:hAnsiTheme="minorHAnsi" w:cstheme="minorHAnsi"/>
          <w:b/>
          <w:sz w:val="20"/>
          <w:szCs w:val="20"/>
        </w:rPr>
        <w:lastRenderedPageBreak/>
        <w:t>Accounting Policies (continued)</w:t>
      </w:r>
    </w:p>
    <w:p w14:paraId="66AB14A5" w14:textId="660FBCFA" w:rsidR="00677C40" w:rsidRPr="00677C40" w:rsidRDefault="00677C40" w:rsidP="00677C40">
      <w:pPr>
        <w:pStyle w:val="ListParagraph"/>
        <w:tabs>
          <w:tab w:val="left" w:pos="567"/>
          <w:tab w:val="left" w:pos="4508"/>
        </w:tabs>
        <w:spacing w:before="120" w:line="320" w:lineRule="exact"/>
        <w:ind w:left="567"/>
        <w:jc w:val="both"/>
        <w:rPr>
          <w:rFonts w:asciiTheme="minorHAnsi" w:hAnsiTheme="minorHAnsi" w:cstheme="minorHAnsi"/>
          <w:b/>
          <w:sz w:val="20"/>
          <w:szCs w:val="20"/>
        </w:rPr>
      </w:pPr>
      <w:r>
        <w:rPr>
          <w:rFonts w:asciiTheme="minorHAnsi" w:hAnsiTheme="minorHAnsi" w:cstheme="minorHAnsi"/>
          <w:b/>
          <w:sz w:val="20"/>
          <w:szCs w:val="20"/>
        </w:rPr>
        <w:t>F</w:t>
      </w:r>
      <w:r w:rsidRPr="00677C40">
        <w:rPr>
          <w:rFonts w:asciiTheme="minorHAnsi" w:hAnsiTheme="minorHAnsi" w:cstheme="minorHAnsi"/>
          <w:b/>
          <w:sz w:val="20"/>
          <w:szCs w:val="20"/>
        </w:rPr>
        <w:t>inancial liabilities</w:t>
      </w:r>
      <w:r>
        <w:rPr>
          <w:rFonts w:asciiTheme="minorHAnsi" w:hAnsiTheme="minorHAnsi" w:cstheme="minorHAnsi"/>
          <w:b/>
          <w:sz w:val="20"/>
          <w:szCs w:val="20"/>
        </w:rPr>
        <w:t xml:space="preserve"> (continued)</w:t>
      </w:r>
    </w:p>
    <w:p w14:paraId="39C26457" w14:textId="5013080C" w:rsidR="00A862BB" w:rsidRPr="00BD12F9" w:rsidRDefault="00A862BB" w:rsidP="00D679D0">
      <w:pPr>
        <w:pStyle w:val="ListParagraph"/>
        <w:numPr>
          <w:ilvl w:val="0"/>
          <w:numId w:val="8"/>
        </w:numPr>
        <w:tabs>
          <w:tab w:val="left" w:pos="9641"/>
          <w:tab w:val="left" w:pos="10321"/>
        </w:tabs>
        <w:spacing w:before="120" w:line="320" w:lineRule="exact"/>
        <w:jc w:val="both"/>
        <w:rPr>
          <w:rFonts w:asciiTheme="minorHAnsi" w:hAnsiTheme="minorHAnsi" w:cstheme="minorHAnsi"/>
          <w:sz w:val="20"/>
          <w:szCs w:val="20"/>
        </w:rPr>
      </w:pPr>
      <w:r w:rsidRPr="00BD12F9">
        <w:rPr>
          <w:rFonts w:asciiTheme="minorHAnsi" w:hAnsiTheme="minorHAnsi" w:cstheme="minorHAnsi"/>
          <w:sz w:val="20"/>
          <w:szCs w:val="20"/>
        </w:rPr>
        <w:t>Trade payables and other short-term monetary liabilities, which are initially recognised at fair value and subsequently carried at amortised cost using the effective interest method.</w:t>
      </w:r>
    </w:p>
    <w:p w14:paraId="65E31ED6" w14:textId="31C9D787" w:rsidR="00150D9F" w:rsidRPr="00BD12F9" w:rsidRDefault="00150D9F" w:rsidP="009262A8">
      <w:pPr>
        <w:tabs>
          <w:tab w:val="left" w:pos="567"/>
          <w:tab w:val="left" w:pos="4508"/>
        </w:tabs>
        <w:spacing w:before="120" w:line="320" w:lineRule="exact"/>
        <w:ind w:left="567"/>
        <w:jc w:val="both"/>
        <w:rPr>
          <w:rFonts w:asciiTheme="minorHAnsi" w:hAnsiTheme="minorHAnsi" w:cstheme="minorHAnsi"/>
          <w:b/>
          <w:sz w:val="20"/>
          <w:szCs w:val="20"/>
        </w:rPr>
      </w:pPr>
      <w:r w:rsidRPr="00BD12F9">
        <w:rPr>
          <w:rFonts w:asciiTheme="minorHAnsi" w:hAnsiTheme="minorHAnsi" w:cstheme="minorHAnsi"/>
          <w:b/>
          <w:sz w:val="20"/>
          <w:szCs w:val="20"/>
        </w:rPr>
        <w:t>Convertible loan notes</w:t>
      </w:r>
    </w:p>
    <w:p w14:paraId="3A90B8A8" w14:textId="6AA807F4" w:rsidR="00150D9F" w:rsidRPr="00BD12F9" w:rsidRDefault="00150D9F" w:rsidP="009262A8">
      <w:pPr>
        <w:tabs>
          <w:tab w:val="left" w:pos="567"/>
          <w:tab w:val="left" w:pos="4508"/>
        </w:tabs>
        <w:spacing w:before="120" w:line="320" w:lineRule="exact"/>
        <w:ind w:left="567"/>
        <w:jc w:val="both"/>
        <w:rPr>
          <w:rFonts w:asciiTheme="minorHAnsi" w:hAnsiTheme="minorHAnsi" w:cstheme="minorHAnsi"/>
          <w:bCs/>
          <w:sz w:val="20"/>
          <w:szCs w:val="20"/>
        </w:rPr>
      </w:pPr>
      <w:r w:rsidRPr="00BD12F9">
        <w:rPr>
          <w:rFonts w:asciiTheme="minorHAnsi" w:hAnsiTheme="minorHAnsi" w:cstheme="minorHAnsi"/>
          <w:bCs/>
          <w:sz w:val="20"/>
          <w:szCs w:val="20"/>
        </w:rPr>
        <w:t>Convertible loan notes issued by the Group comprise loan notes that can be converted to ordinary shares at the option of the holder.</w:t>
      </w:r>
      <w:r w:rsidR="009262A8" w:rsidRPr="00BD12F9">
        <w:rPr>
          <w:rFonts w:asciiTheme="minorHAnsi" w:hAnsiTheme="minorHAnsi" w:cstheme="minorHAnsi"/>
          <w:bCs/>
          <w:sz w:val="20"/>
          <w:szCs w:val="20"/>
        </w:rPr>
        <w:t xml:space="preserve"> </w:t>
      </w:r>
    </w:p>
    <w:p w14:paraId="5D08DC65" w14:textId="4EF09393" w:rsidR="00150D9F" w:rsidRPr="00BD12F9" w:rsidRDefault="00150D9F" w:rsidP="009262A8">
      <w:pPr>
        <w:tabs>
          <w:tab w:val="left" w:pos="567"/>
          <w:tab w:val="left" w:pos="4508"/>
        </w:tabs>
        <w:spacing w:before="120" w:line="320" w:lineRule="exact"/>
        <w:ind w:left="567"/>
        <w:jc w:val="both"/>
        <w:rPr>
          <w:rFonts w:asciiTheme="minorHAnsi" w:hAnsiTheme="minorHAnsi" w:cstheme="minorHAnsi"/>
          <w:bCs/>
          <w:sz w:val="20"/>
          <w:szCs w:val="20"/>
        </w:rPr>
      </w:pPr>
      <w:r w:rsidRPr="00BD12F9">
        <w:rPr>
          <w:rFonts w:asciiTheme="minorHAnsi" w:hAnsiTheme="minorHAnsi" w:cstheme="minorHAnsi"/>
          <w:bCs/>
          <w:sz w:val="20"/>
          <w:szCs w:val="20"/>
        </w:rPr>
        <w:t xml:space="preserve">The liability component of the </w:t>
      </w:r>
      <w:r w:rsidR="00E00371" w:rsidRPr="00BD12F9">
        <w:rPr>
          <w:rFonts w:asciiTheme="minorHAnsi" w:hAnsiTheme="minorHAnsi" w:cstheme="minorHAnsi"/>
          <w:bCs/>
          <w:sz w:val="20"/>
          <w:szCs w:val="20"/>
        </w:rPr>
        <w:t xml:space="preserve">convertible loan notes </w:t>
      </w:r>
      <w:r w:rsidRPr="00BD12F9">
        <w:rPr>
          <w:rFonts w:asciiTheme="minorHAnsi" w:hAnsiTheme="minorHAnsi" w:cstheme="minorHAnsi"/>
          <w:bCs/>
          <w:sz w:val="20"/>
          <w:szCs w:val="20"/>
        </w:rPr>
        <w:t xml:space="preserve">is recognised on the date of inception </w:t>
      </w:r>
      <w:r w:rsidR="00E00371" w:rsidRPr="00BD12F9">
        <w:rPr>
          <w:rFonts w:asciiTheme="minorHAnsi" w:hAnsiTheme="minorHAnsi" w:cstheme="minorHAnsi"/>
          <w:bCs/>
          <w:sz w:val="20"/>
          <w:szCs w:val="20"/>
        </w:rPr>
        <w:t>and is determined using a market interest rate for an equivalent</w:t>
      </w:r>
      <w:r w:rsidRPr="00BD12F9">
        <w:rPr>
          <w:rFonts w:asciiTheme="minorHAnsi" w:hAnsiTheme="minorHAnsi" w:cstheme="minorHAnsi"/>
          <w:bCs/>
          <w:sz w:val="20"/>
          <w:szCs w:val="20"/>
        </w:rPr>
        <w:t xml:space="preserve"> </w:t>
      </w:r>
      <w:r w:rsidR="00E00371" w:rsidRPr="00BD12F9">
        <w:rPr>
          <w:rFonts w:asciiTheme="minorHAnsi" w:hAnsiTheme="minorHAnsi" w:cstheme="minorHAnsi"/>
          <w:bCs/>
          <w:sz w:val="20"/>
          <w:szCs w:val="20"/>
        </w:rPr>
        <w:t>non-convertible instrument.</w:t>
      </w:r>
      <w:r w:rsidRPr="00BD12F9">
        <w:rPr>
          <w:rFonts w:asciiTheme="minorHAnsi" w:hAnsiTheme="minorHAnsi" w:cstheme="minorHAnsi"/>
          <w:bCs/>
          <w:sz w:val="20"/>
          <w:szCs w:val="20"/>
        </w:rPr>
        <w:t xml:space="preserve"> The equity element is recognised as the difference between the value of the financial instrument as a whole and the value of the liability component. Any directly attributable transaction costs are allocated to the equity and liability components in proportion to their initial carrying amounts.</w:t>
      </w:r>
    </w:p>
    <w:p w14:paraId="37FC06F4" w14:textId="77777777" w:rsidR="00150D9F" w:rsidRPr="00BD12F9" w:rsidRDefault="00150D9F" w:rsidP="009262A8">
      <w:pPr>
        <w:tabs>
          <w:tab w:val="left" w:pos="567"/>
          <w:tab w:val="left" w:pos="4508"/>
        </w:tabs>
        <w:spacing w:before="120" w:line="320" w:lineRule="exact"/>
        <w:ind w:left="567"/>
        <w:jc w:val="both"/>
        <w:rPr>
          <w:rFonts w:asciiTheme="minorHAnsi" w:hAnsiTheme="minorHAnsi" w:cstheme="minorHAnsi"/>
          <w:bCs/>
          <w:sz w:val="20"/>
          <w:szCs w:val="20"/>
        </w:rPr>
      </w:pPr>
      <w:r w:rsidRPr="00BD12F9">
        <w:rPr>
          <w:rFonts w:asciiTheme="minorHAnsi" w:hAnsiTheme="minorHAnsi" w:cstheme="minorHAnsi"/>
          <w:bCs/>
          <w:sz w:val="20"/>
          <w:szCs w:val="20"/>
        </w:rPr>
        <w:t>Subsequently, the liability component of a compound financial instrument is measured at amortised cost using the effective interest rate method.</w:t>
      </w:r>
    </w:p>
    <w:p w14:paraId="769FDB6F" w14:textId="74226C53" w:rsidR="007B6A27" w:rsidRPr="00570986" w:rsidRDefault="00570986" w:rsidP="009262A8">
      <w:pPr>
        <w:tabs>
          <w:tab w:val="left" w:pos="567"/>
          <w:tab w:val="left" w:pos="4508"/>
        </w:tabs>
        <w:spacing w:before="120" w:line="320" w:lineRule="exact"/>
        <w:ind w:left="567"/>
        <w:jc w:val="both"/>
        <w:rPr>
          <w:rFonts w:asciiTheme="minorHAnsi" w:hAnsiTheme="minorHAnsi" w:cstheme="minorHAnsi"/>
          <w:b/>
          <w:sz w:val="20"/>
          <w:szCs w:val="20"/>
        </w:rPr>
      </w:pPr>
      <w:r>
        <w:rPr>
          <w:rFonts w:asciiTheme="minorHAnsi" w:hAnsiTheme="minorHAnsi" w:cstheme="minorHAnsi"/>
          <w:b/>
          <w:sz w:val="20"/>
          <w:szCs w:val="20"/>
        </w:rPr>
        <w:t>L</w:t>
      </w:r>
      <w:r w:rsidR="007B6A27" w:rsidRPr="00570986">
        <w:rPr>
          <w:rFonts w:asciiTheme="minorHAnsi" w:hAnsiTheme="minorHAnsi" w:cstheme="minorHAnsi"/>
          <w:b/>
          <w:sz w:val="20"/>
          <w:szCs w:val="20"/>
        </w:rPr>
        <w:t>eased assets</w:t>
      </w:r>
    </w:p>
    <w:p w14:paraId="0ABD1E2E" w14:textId="7B7B977B" w:rsidR="00BD12F9" w:rsidRPr="00570986" w:rsidRDefault="00BD12F9" w:rsidP="00BD12F9">
      <w:pPr>
        <w:tabs>
          <w:tab w:val="left" w:pos="9641"/>
          <w:tab w:val="left" w:pos="10321"/>
        </w:tabs>
        <w:spacing w:before="120" w:line="320" w:lineRule="exact"/>
        <w:ind w:left="567"/>
        <w:rPr>
          <w:rFonts w:asciiTheme="minorHAnsi" w:hAnsiTheme="minorHAnsi" w:cstheme="minorHAnsi"/>
          <w:sz w:val="20"/>
          <w:szCs w:val="20"/>
        </w:rPr>
      </w:pPr>
      <w:r w:rsidRPr="00570986">
        <w:rPr>
          <w:rFonts w:asciiTheme="minorHAnsi" w:hAnsiTheme="minorHAnsi" w:cstheme="minorHAnsi"/>
          <w:sz w:val="20"/>
          <w:szCs w:val="20"/>
        </w:rPr>
        <w:t>The company applies IFRS 16 Leases. Accordingly leases are all accounted for in the same manner:</w:t>
      </w:r>
    </w:p>
    <w:p w14:paraId="143B871B" w14:textId="77777777" w:rsidR="00BD12F9" w:rsidRPr="00570986" w:rsidRDefault="00BD12F9" w:rsidP="00B2796D">
      <w:pPr>
        <w:pStyle w:val="ListParagraph"/>
        <w:numPr>
          <w:ilvl w:val="0"/>
          <w:numId w:val="23"/>
        </w:numPr>
        <w:tabs>
          <w:tab w:val="left" w:pos="9641"/>
          <w:tab w:val="left" w:pos="10321"/>
        </w:tabs>
        <w:spacing w:before="120" w:line="320" w:lineRule="exact"/>
        <w:jc w:val="both"/>
        <w:rPr>
          <w:rFonts w:asciiTheme="minorHAnsi" w:hAnsiTheme="minorHAnsi" w:cstheme="minorHAnsi"/>
          <w:sz w:val="20"/>
          <w:szCs w:val="20"/>
        </w:rPr>
      </w:pPr>
      <w:r w:rsidRPr="00570986">
        <w:rPr>
          <w:rFonts w:asciiTheme="minorHAnsi" w:hAnsiTheme="minorHAnsi" w:cstheme="minorHAnsi"/>
          <w:sz w:val="20"/>
          <w:szCs w:val="20"/>
        </w:rPr>
        <w:t>A right of use asset and lease liability is recognised on the statement of financial position, initially measured at the present value of future lease payments;</w:t>
      </w:r>
    </w:p>
    <w:p w14:paraId="4ABAD9B8" w14:textId="2AA6DB81" w:rsidR="00BD12F9" w:rsidRDefault="00BD12F9" w:rsidP="00B2796D">
      <w:pPr>
        <w:pStyle w:val="ListParagraph"/>
        <w:numPr>
          <w:ilvl w:val="0"/>
          <w:numId w:val="23"/>
        </w:numPr>
        <w:tabs>
          <w:tab w:val="left" w:pos="9641"/>
          <w:tab w:val="left" w:pos="10321"/>
        </w:tabs>
        <w:spacing w:before="120" w:line="320" w:lineRule="exact"/>
        <w:jc w:val="both"/>
        <w:rPr>
          <w:rFonts w:asciiTheme="minorHAnsi" w:hAnsiTheme="minorHAnsi" w:cstheme="minorHAnsi"/>
          <w:sz w:val="20"/>
          <w:szCs w:val="20"/>
        </w:rPr>
      </w:pPr>
      <w:r w:rsidRPr="00570986">
        <w:rPr>
          <w:rFonts w:asciiTheme="minorHAnsi" w:hAnsiTheme="minorHAnsi" w:cstheme="minorHAnsi"/>
          <w:sz w:val="20"/>
          <w:szCs w:val="20"/>
        </w:rPr>
        <w:t>Depreciation of right-of-use assets and interest on lease liabilities are recognised in the statement of comprehensive income;</w:t>
      </w:r>
    </w:p>
    <w:p w14:paraId="65470141" w14:textId="6A9954BD" w:rsidR="00BD12F9" w:rsidRPr="00570986" w:rsidRDefault="00BD12F9" w:rsidP="00B2796D">
      <w:pPr>
        <w:pStyle w:val="ListParagraph"/>
        <w:numPr>
          <w:ilvl w:val="0"/>
          <w:numId w:val="23"/>
        </w:numPr>
        <w:tabs>
          <w:tab w:val="left" w:pos="9641"/>
          <w:tab w:val="left" w:pos="10321"/>
        </w:tabs>
        <w:spacing w:before="120" w:line="320" w:lineRule="exact"/>
        <w:jc w:val="both"/>
        <w:rPr>
          <w:rFonts w:asciiTheme="minorHAnsi" w:hAnsiTheme="minorHAnsi" w:cstheme="minorHAnsi"/>
          <w:sz w:val="20"/>
          <w:szCs w:val="20"/>
        </w:rPr>
      </w:pPr>
      <w:r w:rsidRPr="00570986">
        <w:rPr>
          <w:rFonts w:asciiTheme="minorHAnsi" w:hAnsiTheme="minorHAnsi" w:cstheme="minorHAnsi"/>
          <w:sz w:val="20"/>
          <w:szCs w:val="20"/>
        </w:rPr>
        <w:t>The total amount of cash paid is recognised in the statement of cash flows, split between payments of principal (within financing activities) and interest (also within financing activities)</w:t>
      </w:r>
    </w:p>
    <w:p w14:paraId="3F4D47C2" w14:textId="7C9AA2C9" w:rsidR="00BD12F9" w:rsidRPr="00570986" w:rsidRDefault="00BD12F9" w:rsidP="003717D3">
      <w:pPr>
        <w:tabs>
          <w:tab w:val="left" w:pos="9641"/>
          <w:tab w:val="left" w:pos="10321"/>
        </w:tabs>
        <w:spacing w:before="120" w:line="320" w:lineRule="exact"/>
        <w:ind w:left="567"/>
        <w:jc w:val="both"/>
        <w:rPr>
          <w:rFonts w:asciiTheme="minorHAnsi" w:hAnsiTheme="minorHAnsi" w:cstheme="minorHAnsi"/>
          <w:sz w:val="20"/>
          <w:szCs w:val="20"/>
        </w:rPr>
      </w:pPr>
      <w:r w:rsidRPr="00570986">
        <w:rPr>
          <w:rFonts w:asciiTheme="minorHAnsi" w:hAnsiTheme="minorHAnsi" w:cstheme="minorHAnsi"/>
          <w:sz w:val="20"/>
          <w:szCs w:val="20"/>
        </w:rPr>
        <w:t>The initial measurement of the right of use asset and lease liability takes into account the value of lease incentives such as rent free periods.</w:t>
      </w:r>
    </w:p>
    <w:p w14:paraId="7007F712" w14:textId="61B386F5" w:rsidR="00BD12F9" w:rsidRPr="00570986" w:rsidRDefault="00BD12F9" w:rsidP="003717D3">
      <w:pPr>
        <w:tabs>
          <w:tab w:val="left" w:pos="9641"/>
          <w:tab w:val="left" w:pos="10321"/>
        </w:tabs>
        <w:spacing w:before="120" w:line="320" w:lineRule="exact"/>
        <w:ind w:left="567"/>
        <w:jc w:val="both"/>
        <w:rPr>
          <w:rFonts w:asciiTheme="minorHAnsi" w:hAnsiTheme="minorHAnsi" w:cstheme="minorHAnsi"/>
          <w:sz w:val="20"/>
          <w:szCs w:val="20"/>
        </w:rPr>
      </w:pPr>
      <w:r w:rsidRPr="00570986">
        <w:rPr>
          <w:rFonts w:asciiTheme="minorHAnsi" w:hAnsiTheme="minorHAnsi" w:cstheme="minorHAnsi"/>
          <w:sz w:val="20"/>
          <w:szCs w:val="20"/>
        </w:rPr>
        <w:t>The costs of leases of low value items and those with a short term at inception are recognised as incurred.</w:t>
      </w:r>
    </w:p>
    <w:p w14:paraId="1819EE92" w14:textId="3B16A93F" w:rsidR="00A862BB" w:rsidRPr="00570986" w:rsidRDefault="00A862BB" w:rsidP="00193FAE">
      <w:pPr>
        <w:tabs>
          <w:tab w:val="left" w:pos="567"/>
          <w:tab w:val="left" w:pos="4508"/>
        </w:tabs>
        <w:spacing w:before="120" w:line="320" w:lineRule="exact"/>
        <w:ind w:left="567"/>
        <w:jc w:val="both"/>
        <w:rPr>
          <w:rFonts w:asciiTheme="minorHAnsi" w:hAnsiTheme="minorHAnsi" w:cstheme="minorHAnsi"/>
          <w:b/>
          <w:sz w:val="20"/>
          <w:szCs w:val="20"/>
        </w:rPr>
      </w:pPr>
      <w:r w:rsidRPr="00570986">
        <w:rPr>
          <w:rFonts w:asciiTheme="minorHAnsi" w:hAnsiTheme="minorHAnsi" w:cstheme="minorHAnsi"/>
          <w:b/>
          <w:sz w:val="20"/>
          <w:szCs w:val="20"/>
        </w:rPr>
        <w:t xml:space="preserve">Share capital </w:t>
      </w:r>
    </w:p>
    <w:p w14:paraId="7456DBAB" w14:textId="64B6F60E" w:rsidR="00A862BB" w:rsidRPr="006B626F" w:rsidRDefault="00A862BB" w:rsidP="00193FAE">
      <w:pPr>
        <w:tabs>
          <w:tab w:val="left" w:pos="567"/>
          <w:tab w:val="left" w:pos="4508"/>
        </w:tabs>
        <w:spacing w:before="120" w:line="320" w:lineRule="exact"/>
        <w:ind w:left="567"/>
        <w:jc w:val="both"/>
        <w:rPr>
          <w:rFonts w:asciiTheme="minorHAnsi" w:hAnsiTheme="minorHAnsi" w:cstheme="minorHAnsi"/>
          <w:bCs/>
          <w:sz w:val="20"/>
          <w:szCs w:val="20"/>
        </w:rPr>
      </w:pPr>
      <w:r w:rsidRPr="006B626F">
        <w:rPr>
          <w:rFonts w:asciiTheme="minorHAnsi" w:hAnsiTheme="minorHAnsi" w:cstheme="minorHAnsi"/>
          <w:bCs/>
          <w:sz w:val="20"/>
          <w:szCs w:val="20"/>
        </w:rPr>
        <w:t>The group’s ordinary shares are classified as equity instruments.</w:t>
      </w:r>
    </w:p>
    <w:p w14:paraId="64B16436" w14:textId="035FFBCA" w:rsidR="00071944" w:rsidRPr="006B626F" w:rsidRDefault="009D54F6" w:rsidP="006B626F">
      <w:pPr>
        <w:tabs>
          <w:tab w:val="left" w:pos="567"/>
          <w:tab w:val="left" w:pos="4508"/>
        </w:tabs>
        <w:spacing w:before="120" w:line="320" w:lineRule="exact"/>
        <w:ind w:left="567"/>
        <w:jc w:val="both"/>
        <w:rPr>
          <w:rFonts w:asciiTheme="minorHAnsi" w:hAnsiTheme="minorHAnsi" w:cstheme="minorHAnsi"/>
          <w:b/>
          <w:sz w:val="20"/>
          <w:szCs w:val="20"/>
        </w:rPr>
      </w:pPr>
      <w:r w:rsidRPr="006B626F">
        <w:rPr>
          <w:rFonts w:asciiTheme="minorHAnsi" w:hAnsiTheme="minorHAnsi" w:cstheme="minorHAnsi"/>
          <w:b/>
          <w:sz w:val="20"/>
          <w:szCs w:val="20"/>
        </w:rPr>
        <w:t>N</w:t>
      </w:r>
      <w:r w:rsidR="00071944" w:rsidRPr="006B626F">
        <w:rPr>
          <w:rFonts w:asciiTheme="minorHAnsi" w:hAnsiTheme="minorHAnsi" w:cstheme="minorHAnsi"/>
          <w:b/>
          <w:sz w:val="20"/>
          <w:szCs w:val="20"/>
        </w:rPr>
        <w:t>ew standards adopted</w:t>
      </w:r>
    </w:p>
    <w:p w14:paraId="03B151CE" w14:textId="51BF8B2F" w:rsidR="006B626F" w:rsidRPr="006B626F" w:rsidRDefault="006B626F" w:rsidP="006B626F">
      <w:pPr>
        <w:tabs>
          <w:tab w:val="left" w:pos="567"/>
          <w:tab w:val="left" w:pos="4508"/>
        </w:tabs>
        <w:spacing w:before="120" w:line="320" w:lineRule="exact"/>
        <w:ind w:left="567"/>
        <w:jc w:val="both"/>
        <w:rPr>
          <w:rFonts w:asciiTheme="minorHAnsi" w:hAnsiTheme="minorHAnsi" w:cstheme="minorHAnsi"/>
          <w:bCs/>
          <w:sz w:val="20"/>
          <w:szCs w:val="20"/>
        </w:rPr>
      </w:pPr>
      <w:r w:rsidRPr="006B626F">
        <w:rPr>
          <w:rFonts w:asciiTheme="minorHAnsi" w:hAnsiTheme="minorHAnsi" w:cstheme="minorHAnsi"/>
          <w:bCs/>
          <w:sz w:val="20"/>
          <w:szCs w:val="20"/>
        </w:rPr>
        <w:t>From 1 January 2021 the company has applied UK-adopted IAS. At the date of application, the UK-adopted IAS and EU-adopted IFRS were the same.</w:t>
      </w:r>
    </w:p>
    <w:p w14:paraId="30B26552" w14:textId="3C4B5B86" w:rsidR="006B626F" w:rsidRPr="006B626F" w:rsidRDefault="006B626F" w:rsidP="006B626F">
      <w:pPr>
        <w:tabs>
          <w:tab w:val="left" w:pos="567"/>
          <w:tab w:val="left" w:pos="4508"/>
        </w:tabs>
        <w:spacing w:before="120" w:line="320" w:lineRule="exact"/>
        <w:ind w:left="567"/>
        <w:jc w:val="both"/>
        <w:rPr>
          <w:rFonts w:asciiTheme="minorHAnsi" w:hAnsiTheme="minorHAnsi" w:cstheme="minorHAnsi"/>
          <w:bCs/>
          <w:sz w:val="20"/>
          <w:szCs w:val="20"/>
        </w:rPr>
      </w:pPr>
      <w:r w:rsidRPr="006B626F">
        <w:rPr>
          <w:rFonts w:asciiTheme="minorHAnsi" w:hAnsiTheme="minorHAnsi" w:cstheme="minorHAnsi"/>
          <w:bCs/>
          <w:sz w:val="20"/>
          <w:szCs w:val="20"/>
        </w:rPr>
        <w:t>The following accounting pronouncements and standards became effective from 1 January 2021 and have been adopted but did not have a significant impact on the Group’s financial results or position:</w:t>
      </w:r>
    </w:p>
    <w:p w14:paraId="46E5C831" w14:textId="6E3225DA" w:rsidR="006B626F" w:rsidRPr="00F53AEA" w:rsidRDefault="006B626F" w:rsidP="00B2796D">
      <w:pPr>
        <w:pStyle w:val="ListParagraph"/>
        <w:numPr>
          <w:ilvl w:val="0"/>
          <w:numId w:val="33"/>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Covid-19 related rent concessions beyond 30 June 2021 (amendments to IFRS 16)</w:t>
      </w:r>
    </w:p>
    <w:p w14:paraId="783DCBA0" w14:textId="6CF1219B" w:rsidR="006B626F" w:rsidRDefault="006B626F" w:rsidP="00B2796D">
      <w:pPr>
        <w:pStyle w:val="ListParagraph"/>
        <w:numPr>
          <w:ilvl w:val="0"/>
          <w:numId w:val="33"/>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Interest Rate Benchmark Reform Phase 2 (Amendments to IFRS 9, IAS 39, IFRS 7, IFRS 4 and IFRS 16)</w:t>
      </w:r>
    </w:p>
    <w:p w14:paraId="79A3339D" w14:textId="6FEBA195" w:rsidR="00677C40" w:rsidRDefault="00677C40" w:rsidP="00677C40">
      <w:pPr>
        <w:tabs>
          <w:tab w:val="left" w:pos="567"/>
          <w:tab w:val="left" w:pos="4508"/>
        </w:tabs>
        <w:spacing w:before="120" w:line="320" w:lineRule="exact"/>
        <w:jc w:val="both"/>
        <w:rPr>
          <w:rFonts w:asciiTheme="minorHAnsi" w:hAnsiTheme="minorHAnsi" w:cstheme="minorHAnsi"/>
          <w:bCs/>
          <w:sz w:val="20"/>
          <w:szCs w:val="20"/>
        </w:rPr>
      </w:pPr>
    </w:p>
    <w:p w14:paraId="3DA2D2FB" w14:textId="77777777" w:rsidR="00677C40" w:rsidRPr="00677C40" w:rsidRDefault="00677C40" w:rsidP="00677C40">
      <w:pPr>
        <w:tabs>
          <w:tab w:val="left" w:pos="567"/>
          <w:tab w:val="left" w:pos="4508"/>
        </w:tabs>
        <w:spacing w:before="120" w:line="320" w:lineRule="exact"/>
        <w:jc w:val="both"/>
        <w:rPr>
          <w:rFonts w:asciiTheme="minorHAnsi" w:hAnsiTheme="minorHAnsi" w:cstheme="minorHAnsi"/>
          <w:bCs/>
          <w:sz w:val="20"/>
          <w:szCs w:val="20"/>
        </w:rPr>
      </w:pPr>
    </w:p>
    <w:p w14:paraId="7D3B4B45" w14:textId="77777777" w:rsidR="00677C40" w:rsidRDefault="00677C40" w:rsidP="00677C40">
      <w:pPr>
        <w:pStyle w:val="ListParagraph"/>
        <w:widowControl w:val="0"/>
        <w:numPr>
          <w:ilvl w:val="0"/>
          <w:numId w:val="45"/>
        </w:numPr>
        <w:spacing w:before="120" w:line="276" w:lineRule="auto"/>
        <w:ind w:left="567" w:hanging="283"/>
        <w:jc w:val="both"/>
        <w:rPr>
          <w:rFonts w:asciiTheme="minorHAnsi" w:hAnsiTheme="minorHAnsi" w:cstheme="minorHAnsi"/>
          <w:b/>
          <w:sz w:val="20"/>
          <w:szCs w:val="20"/>
        </w:rPr>
      </w:pPr>
      <w:r w:rsidRPr="00BB3C18">
        <w:rPr>
          <w:rFonts w:asciiTheme="minorHAnsi" w:hAnsiTheme="minorHAnsi" w:cstheme="minorHAnsi"/>
          <w:b/>
          <w:sz w:val="20"/>
          <w:szCs w:val="20"/>
        </w:rPr>
        <w:lastRenderedPageBreak/>
        <w:t>Accounting Policies</w:t>
      </w:r>
      <w:r>
        <w:rPr>
          <w:rFonts w:asciiTheme="minorHAnsi" w:hAnsiTheme="minorHAnsi" w:cstheme="minorHAnsi"/>
          <w:b/>
          <w:sz w:val="20"/>
          <w:szCs w:val="20"/>
        </w:rPr>
        <w:t xml:space="preserve"> (continued)</w:t>
      </w:r>
    </w:p>
    <w:p w14:paraId="02ACE672" w14:textId="77C0E81A" w:rsidR="009562AA" w:rsidRPr="00F53AEA" w:rsidRDefault="009562AA" w:rsidP="006B626F">
      <w:pPr>
        <w:tabs>
          <w:tab w:val="left" w:pos="567"/>
          <w:tab w:val="left" w:pos="4508"/>
        </w:tabs>
        <w:spacing w:before="120" w:line="320" w:lineRule="exact"/>
        <w:ind w:left="567"/>
        <w:jc w:val="both"/>
        <w:rPr>
          <w:rFonts w:asciiTheme="minorHAnsi" w:hAnsiTheme="minorHAnsi" w:cstheme="minorHAnsi"/>
          <w:b/>
          <w:sz w:val="20"/>
          <w:szCs w:val="20"/>
        </w:rPr>
      </w:pPr>
      <w:r w:rsidRPr="00F53AEA">
        <w:rPr>
          <w:rFonts w:asciiTheme="minorHAnsi" w:hAnsiTheme="minorHAnsi" w:cstheme="minorHAnsi"/>
          <w:b/>
          <w:sz w:val="20"/>
          <w:szCs w:val="20"/>
        </w:rPr>
        <w:t>New standards, interpretations and amendments not yet effective</w:t>
      </w:r>
    </w:p>
    <w:p w14:paraId="0213AF48" w14:textId="75CCED7B" w:rsidR="006B626F" w:rsidRPr="006B626F" w:rsidRDefault="006B626F" w:rsidP="006B626F">
      <w:pPr>
        <w:tabs>
          <w:tab w:val="left" w:pos="567"/>
          <w:tab w:val="left" w:pos="4508"/>
        </w:tabs>
        <w:spacing w:before="120" w:line="320" w:lineRule="exact"/>
        <w:ind w:left="567"/>
        <w:jc w:val="both"/>
        <w:rPr>
          <w:rFonts w:asciiTheme="minorHAnsi" w:hAnsiTheme="minorHAnsi" w:cstheme="minorHAnsi"/>
          <w:bCs/>
          <w:sz w:val="20"/>
          <w:szCs w:val="20"/>
        </w:rPr>
      </w:pPr>
      <w:r w:rsidRPr="006B626F">
        <w:rPr>
          <w:rFonts w:asciiTheme="minorHAnsi" w:hAnsiTheme="minorHAnsi" w:cstheme="minorHAnsi"/>
          <w:bCs/>
          <w:sz w:val="20"/>
          <w:szCs w:val="20"/>
        </w:rPr>
        <w:t>At the date of authorisation of these financial statements, the company has not early adopted the following amendments to Standards and Interpretations that have been issued but are not yet effective and have not been adopted early by the Group.</w:t>
      </w:r>
    </w:p>
    <w:p w14:paraId="2A7E218B" w14:textId="37B7FBBF" w:rsidR="006B626F" w:rsidRPr="00F53AEA" w:rsidRDefault="006B626F" w:rsidP="00F53AEA">
      <w:pPr>
        <w:tabs>
          <w:tab w:val="left" w:pos="567"/>
          <w:tab w:val="left" w:pos="4508"/>
        </w:tabs>
        <w:spacing w:before="120" w:line="320" w:lineRule="exact"/>
        <w:ind w:left="567"/>
        <w:jc w:val="both"/>
        <w:rPr>
          <w:rFonts w:asciiTheme="minorHAnsi" w:hAnsiTheme="minorHAnsi" w:cstheme="minorHAnsi"/>
          <w:b/>
          <w:i/>
          <w:iCs/>
          <w:sz w:val="20"/>
          <w:szCs w:val="20"/>
        </w:rPr>
      </w:pPr>
      <w:r w:rsidRPr="00F53AEA">
        <w:rPr>
          <w:rFonts w:asciiTheme="minorHAnsi" w:hAnsiTheme="minorHAnsi" w:cstheme="minorHAnsi"/>
          <w:b/>
          <w:i/>
          <w:iCs/>
          <w:sz w:val="20"/>
          <w:szCs w:val="20"/>
        </w:rPr>
        <w:t>Standard or Interpretation</w:t>
      </w:r>
      <w:r w:rsidRPr="00F53AEA">
        <w:rPr>
          <w:rFonts w:asciiTheme="minorHAnsi" w:hAnsiTheme="minorHAnsi" w:cstheme="minorHAnsi"/>
          <w:b/>
          <w:i/>
          <w:iCs/>
          <w:sz w:val="20"/>
          <w:szCs w:val="20"/>
        </w:rPr>
        <w:tab/>
      </w:r>
      <w:r w:rsidRPr="00F53AEA">
        <w:rPr>
          <w:rFonts w:asciiTheme="minorHAnsi" w:hAnsiTheme="minorHAnsi" w:cstheme="minorHAnsi"/>
          <w:b/>
          <w:i/>
          <w:iCs/>
          <w:sz w:val="20"/>
          <w:szCs w:val="20"/>
        </w:rPr>
        <w:tab/>
      </w:r>
      <w:r w:rsidRPr="00F53AEA">
        <w:rPr>
          <w:rFonts w:asciiTheme="minorHAnsi" w:hAnsiTheme="minorHAnsi" w:cstheme="minorHAnsi"/>
          <w:b/>
          <w:i/>
          <w:iCs/>
          <w:sz w:val="20"/>
          <w:szCs w:val="20"/>
        </w:rPr>
        <w:tab/>
      </w:r>
    </w:p>
    <w:p w14:paraId="0F558204" w14:textId="0D785D45" w:rsidR="006B626F" w:rsidRPr="00F53AEA" w:rsidRDefault="006B626F" w:rsidP="00B2796D">
      <w:pPr>
        <w:pStyle w:val="ListParagraph"/>
        <w:numPr>
          <w:ilvl w:val="0"/>
          <w:numId w:val="34"/>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Narrow scope amendments to IFRS 3, IAS 16 and IAS 37</w:t>
      </w:r>
      <w:r w:rsidR="00F53AEA" w:rsidRPr="00F53AEA">
        <w:rPr>
          <w:rFonts w:asciiTheme="minorHAnsi" w:hAnsiTheme="minorHAnsi" w:cstheme="minorHAnsi"/>
          <w:bCs/>
          <w:sz w:val="20"/>
          <w:szCs w:val="20"/>
        </w:rPr>
        <w:t xml:space="preserve"> (effective </w:t>
      </w:r>
      <w:r w:rsidRPr="00F53AEA">
        <w:rPr>
          <w:rFonts w:asciiTheme="minorHAnsi" w:hAnsiTheme="minorHAnsi" w:cstheme="minorHAnsi"/>
          <w:bCs/>
          <w:sz w:val="20"/>
          <w:szCs w:val="20"/>
        </w:rPr>
        <w:t>1 January 2022</w:t>
      </w:r>
      <w:r w:rsidR="00F53AEA" w:rsidRPr="00F53AEA">
        <w:rPr>
          <w:rFonts w:asciiTheme="minorHAnsi" w:hAnsiTheme="minorHAnsi" w:cstheme="minorHAnsi"/>
          <w:bCs/>
          <w:sz w:val="20"/>
          <w:szCs w:val="20"/>
        </w:rPr>
        <w:t>)</w:t>
      </w:r>
    </w:p>
    <w:p w14:paraId="0FAC9E2E" w14:textId="79E59291" w:rsidR="006B626F" w:rsidRPr="00F53AEA" w:rsidRDefault="006B626F" w:rsidP="00B2796D">
      <w:pPr>
        <w:pStyle w:val="ListParagraph"/>
        <w:numPr>
          <w:ilvl w:val="0"/>
          <w:numId w:val="34"/>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Annual improvements to IFRS Standards 2018–202</w:t>
      </w:r>
      <w:r w:rsidR="00F53AEA" w:rsidRPr="00F53AEA">
        <w:rPr>
          <w:rFonts w:asciiTheme="minorHAnsi" w:hAnsiTheme="minorHAnsi" w:cstheme="minorHAnsi"/>
          <w:bCs/>
          <w:sz w:val="20"/>
          <w:szCs w:val="20"/>
        </w:rPr>
        <w:t xml:space="preserve">0 (effective </w:t>
      </w:r>
      <w:r w:rsidRPr="00F53AEA">
        <w:rPr>
          <w:rFonts w:asciiTheme="minorHAnsi" w:hAnsiTheme="minorHAnsi" w:cstheme="minorHAnsi"/>
          <w:bCs/>
          <w:sz w:val="20"/>
          <w:szCs w:val="20"/>
        </w:rPr>
        <w:t>1 January 2022</w:t>
      </w:r>
      <w:r w:rsidR="00F53AEA" w:rsidRPr="00F53AEA">
        <w:rPr>
          <w:rFonts w:asciiTheme="minorHAnsi" w:hAnsiTheme="minorHAnsi" w:cstheme="minorHAnsi"/>
          <w:bCs/>
          <w:sz w:val="20"/>
          <w:szCs w:val="20"/>
        </w:rPr>
        <w:t>)</w:t>
      </w:r>
    </w:p>
    <w:p w14:paraId="6C3D16B0" w14:textId="233ECB52" w:rsidR="006B626F" w:rsidRPr="00F53AEA" w:rsidRDefault="006B626F" w:rsidP="00B2796D">
      <w:pPr>
        <w:pStyle w:val="ListParagraph"/>
        <w:numPr>
          <w:ilvl w:val="0"/>
          <w:numId w:val="34"/>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 xml:space="preserve">Amendments to IAS 1: Classification of Liabilities </w:t>
      </w:r>
      <w:r w:rsidR="00F53AEA" w:rsidRPr="00F53AEA">
        <w:rPr>
          <w:rFonts w:asciiTheme="minorHAnsi" w:hAnsiTheme="minorHAnsi" w:cstheme="minorHAnsi"/>
          <w:bCs/>
          <w:sz w:val="20"/>
          <w:szCs w:val="20"/>
        </w:rPr>
        <w:t xml:space="preserve">as Current or Non-current (effective </w:t>
      </w:r>
      <w:r w:rsidRPr="00F53AEA">
        <w:rPr>
          <w:rFonts w:asciiTheme="minorHAnsi" w:hAnsiTheme="minorHAnsi" w:cstheme="minorHAnsi"/>
          <w:bCs/>
          <w:sz w:val="20"/>
          <w:szCs w:val="20"/>
        </w:rPr>
        <w:t>1 January 2023</w:t>
      </w:r>
      <w:r w:rsidR="00F53AEA" w:rsidRPr="00F53AEA">
        <w:rPr>
          <w:rFonts w:asciiTheme="minorHAnsi" w:hAnsiTheme="minorHAnsi" w:cstheme="minorHAnsi"/>
          <w:bCs/>
          <w:sz w:val="20"/>
          <w:szCs w:val="20"/>
        </w:rPr>
        <w:t>)</w:t>
      </w:r>
    </w:p>
    <w:p w14:paraId="120104CA" w14:textId="3CD309BE" w:rsidR="006B626F" w:rsidRPr="00F53AEA" w:rsidRDefault="006B626F" w:rsidP="00B2796D">
      <w:pPr>
        <w:pStyle w:val="ListParagraph"/>
        <w:numPr>
          <w:ilvl w:val="0"/>
          <w:numId w:val="34"/>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 xml:space="preserve">Amendments to IAS 1 and IFRS Practice Statement 2: </w:t>
      </w:r>
      <w:r w:rsidR="00F53AEA" w:rsidRPr="00F53AEA">
        <w:rPr>
          <w:rFonts w:asciiTheme="minorHAnsi" w:hAnsiTheme="minorHAnsi" w:cstheme="minorHAnsi"/>
          <w:bCs/>
          <w:sz w:val="20"/>
          <w:szCs w:val="20"/>
        </w:rPr>
        <w:t xml:space="preserve">Disclosure of Accounting Policies and classification of liabilities as Current or Non-current (effective </w:t>
      </w:r>
      <w:r w:rsidRPr="00F53AEA">
        <w:rPr>
          <w:rFonts w:asciiTheme="minorHAnsi" w:hAnsiTheme="minorHAnsi" w:cstheme="minorHAnsi"/>
          <w:bCs/>
          <w:sz w:val="20"/>
          <w:szCs w:val="20"/>
        </w:rPr>
        <w:t>1 January 2023</w:t>
      </w:r>
      <w:r w:rsidR="00F53AEA" w:rsidRPr="00F53AEA">
        <w:rPr>
          <w:rFonts w:asciiTheme="minorHAnsi" w:hAnsiTheme="minorHAnsi" w:cstheme="minorHAnsi"/>
          <w:bCs/>
          <w:sz w:val="20"/>
          <w:szCs w:val="20"/>
        </w:rPr>
        <w:t>)</w:t>
      </w:r>
    </w:p>
    <w:p w14:paraId="056ED37A" w14:textId="3DE0B64F" w:rsidR="006B626F" w:rsidRPr="00F53AEA" w:rsidRDefault="006B626F" w:rsidP="00B2796D">
      <w:pPr>
        <w:pStyle w:val="ListParagraph"/>
        <w:numPr>
          <w:ilvl w:val="0"/>
          <w:numId w:val="34"/>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Amendments to IAS 8: Definition of Accounting Estimates</w:t>
      </w:r>
      <w:r w:rsidR="00F53AEA" w:rsidRPr="00F53AEA">
        <w:rPr>
          <w:rFonts w:asciiTheme="minorHAnsi" w:hAnsiTheme="minorHAnsi" w:cstheme="minorHAnsi"/>
          <w:bCs/>
          <w:sz w:val="20"/>
          <w:szCs w:val="20"/>
        </w:rPr>
        <w:t xml:space="preserve"> (effective </w:t>
      </w:r>
      <w:r w:rsidRPr="00F53AEA">
        <w:rPr>
          <w:rFonts w:asciiTheme="minorHAnsi" w:hAnsiTheme="minorHAnsi" w:cstheme="minorHAnsi"/>
          <w:bCs/>
          <w:sz w:val="20"/>
          <w:szCs w:val="20"/>
        </w:rPr>
        <w:t>1 January 2023</w:t>
      </w:r>
      <w:r w:rsidR="00F53AEA" w:rsidRPr="00F53AEA">
        <w:rPr>
          <w:rFonts w:asciiTheme="minorHAnsi" w:hAnsiTheme="minorHAnsi" w:cstheme="minorHAnsi"/>
          <w:bCs/>
          <w:sz w:val="20"/>
          <w:szCs w:val="20"/>
        </w:rPr>
        <w:t>)</w:t>
      </w:r>
    </w:p>
    <w:p w14:paraId="12C98EA7" w14:textId="519B4EF4" w:rsidR="006B626F" w:rsidRPr="00F53AEA" w:rsidRDefault="006B626F" w:rsidP="00B2796D">
      <w:pPr>
        <w:pStyle w:val="ListParagraph"/>
        <w:numPr>
          <w:ilvl w:val="0"/>
          <w:numId w:val="34"/>
        </w:numPr>
        <w:tabs>
          <w:tab w:val="left" w:pos="567"/>
          <w:tab w:val="left" w:pos="4508"/>
        </w:tabs>
        <w:spacing w:before="120" w:line="320" w:lineRule="exact"/>
        <w:jc w:val="both"/>
        <w:rPr>
          <w:rFonts w:asciiTheme="minorHAnsi" w:hAnsiTheme="minorHAnsi" w:cstheme="minorHAnsi"/>
          <w:bCs/>
          <w:sz w:val="20"/>
          <w:szCs w:val="20"/>
        </w:rPr>
      </w:pPr>
      <w:r w:rsidRPr="00F53AEA">
        <w:rPr>
          <w:rFonts w:asciiTheme="minorHAnsi" w:hAnsiTheme="minorHAnsi" w:cstheme="minorHAnsi"/>
          <w:bCs/>
          <w:sz w:val="20"/>
          <w:szCs w:val="20"/>
        </w:rPr>
        <w:t xml:space="preserve">Amendments to IAS 12: Deferred Tax Related to Assets </w:t>
      </w:r>
      <w:r w:rsidR="00F53AEA" w:rsidRPr="00F53AEA">
        <w:rPr>
          <w:rFonts w:asciiTheme="minorHAnsi" w:hAnsiTheme="minorHAnsi" w:cstheme="minorHAnsi"/>
          <w:bCs/>
          <w:sz w:val="20"/>
          <w:szCs w:val="20"/>
        </w:rPr>
        <w:t xml:space="preserve">and Liabilities arising from a Single Transaction (effective </w:t>
      </w:r>
      <w:r w:rsidRPr="00F53AEA">
        <w:rPr>
          <w:rFonts w:asciiTheme="minorHAnsi" w:hAnsiTheme="minorHAnsi" w:cstheme="minorHAnsi"/>
          <w:bCs/>
          <w:sz w:val="20"/>
          <w:szCs w:val="20"/>
        </w:rPr>
        <w:t>1 January 2023</w:t>
      </w:r>
      <w:r w:rsidR="00F53AEA" w:rsidRPr="00F53AEA">
        <w:rPr>
          <w:rFonts w:asciiTheme="minorHAnsi" w:hAnsiTheme="minorHAnsi" w:cstheme="minorHAnsi"/>
          <w:bCs/>
          <w:sz w:val="20"/>
          <w:szCs w:val="20"/>
        </w:rPr>
        <w:t>)</w:t>
      </w:r>
    </w:p>
    <w:p w14:paraId="739C0FEA" w14:textId="648CFFDB" w:rsidR="006B626F" w:rsidRPr="006B626F" w:rsidRDefault="006B626F" w:rsidP="006B626F">
      <w:pPr>
        <w:tabs>
          <w:tab w:val="left" w:pos="567"/>
          <w:tab w:val="left" w:pos="4508"/>
        </w:tabs>
        <w:spacing w:before="120" w:line="320" w:lineRule="exact"/>
        <w:ind w:left="567"/>
        <w:jc w:val="both"/>
        <w:rPr>
          <w:rFonts w:asciiTheme="minorHAnsi" w:hAnsiTheme="minorHAnsi" w:cstheme="minorHAnsi"/>
          <w:bCs/>
          <w:sz w:val="20"/>
          <w:szCs w:val="20"/>
        </w:rPr>
      </w:pPr>
      <w:r w:rsidRPr="006B626F">
        <w:rPr>
          <w:rFonts w:asciiTheme="minorHAnsi" w:hAnsiTheme="minorHAnsi" w:cstheme="minorHAnsi"/>
          <w:bCs/>
          <w:sz w:val="20"/>
          <w:szCs w:val="20"/>
        </w:rPr>
        <w:t>As yet, none of these have been endorsed for use in the UK and will not be adopted until such time as endorsement is confirmed. The directors do not expect any material impact as a result of adopting the standards and amendments listed above in the financial year they become effective.</w:t>
      </w:r>
    </w:p>
    <w:p w14:paraId="0312F77C" w14:textId="186B4C65" w:rsidR="005B7F66" w:rsidRPr="00253A91" w:rsidRDefault="00A62230" w:rsidP="00D0768B">
      <w:pPr>
        <w:pStyle w:val="ListParagraph"/>
        <w:numPr>
          <w:ilvl w:val="0"/>
          <w:numId w:val="3"/>
        </w:numPr>
        <w:tabs>
          <w:tab w:val="left" w:pos="709"/>
        </w:tabs>
        <w:spacing w:before="120" w:line="320" w:lineRule="exact"/>
        <w:ind w:left="567" w:hanging="283"/>
        <w:contextualSpacing w:val="0"/>
        <w:jc w:val="both"/>
        <w:rPr>
          <w:rFonts w:asciiTheme="minorHAnsi" w:hAnsiTheme="minorHAnsi" w:cstheme="minorHAnsi"/>
          <w:b/>
          <w:sz w:val="20"/>
          <w:szCs w:val="20"/>
        </w:rPr>
      </w:pPr>
      <w:r w:rsidRPr="00253A91">
        <w:rPr>
          <w:rFonts w:asciiTheme="minorHAnsi" w:hAnsiTheme="minorHAnsi" w:cstheme="minorHAnsi"/>
          <w:b/>
          <w:sz w:val="20"/>
          <w:szCs w:val="20"/>
        </w:rPr>
        <w:t xml:space="preserve">Critical Accounting </w:t>
      </w:r>
      <w:r w:rsidR="007A2FB3">
        <w:rPr>
          <w:rFonts w:asciiTheme="minorHAnsi" w:hAnsiTheme="minorHAnsi" w:cstheme="minorHAnsi"/>
          <w:b/>
          <w:sz w:val="20"/>
          <w:szCs w:val="20"/>
        </w:rPr>
        <w:t>E</w:t>
      </w:r>
      <w:r w:rsidRPr="00253A91">
        <w:rPr>
          <w:rFonts w:asciiTheme="minorHAnsi" w:hAnsiTheme="minorHAnsi" w:cstheme="minorHAnsi"/>
          <w:b/>
          <w:sz w:val="20"/>
          <w:szCs w:val="20"/>
        </w:rPr>
        <w:t xml:space="preserve">stimates and </w:t>
      </w:r>
      <w:r w:rsidR="007A2FB3">
        <w:rPr>
          <w:rFonts w:asciiTheme="minorHAnsi" w:hAnsiTheme="minorHAnsi" w:cstheme="minorHAnsi"/>
          <w:b/>
          <w:sz w:val="20"/>
          <w:szCs w:val="20"/>
        </w:rPr>
        <w:t>J</w:t>
      </w:r>
      <w:r w:rsidRPr="00253A91">
        <w:rPr>
          <w:rFonts w:asciiTheme="minorHAnsi" w:hAnsiTheme="minorHAnsi" w:cstheme="minorHAnsi"/>
          <w:b/>
          <w:sz w:val="20"/>
          <w:szCs w:val="20"/>
        </w:rPr>
        <w:t>udgements</w:t>
      </w:r>
    </w:p>
    <w:p w14:paraId="137E7B61" w14:textId="708EC141" w:rsidR="00327471" w:rsidRPr="00C65D17" w:rsidRDefault="00320217" w:rsidP="00193FAE">
      <w:pPr>
        <w:tabs>
          <w:tab w:val="left" w:pos="709"/>
        </w:tabs>
        <w:spacing w:before="120" w:line="320" w:lineRule="exact"/>
        <w:ind w:left="567"/>
        <w:jc w:val="both"/>
        <w:rPr>
          <w:rFonts w:asciiTheme="minorHAnsi" w:hAnsiTheme="minorHAnsi" w:cstheme="minorHAnsi"/>
          <w:sz w:val="20"/>
          <w:szCs w:val="20"/>
        </w:rPr>
      </w:pPr>
      <w:r w:rsidRPr="00C65D17">
        <w:rPr>
          <w:rFonts w:asciiTheme="minorHAnsi" w:hAnsiTheme="minorHAnsi" w:cstheme="minorHAnsi"/>
          <w:sz w:val="20"/>
          <w:szCs w:val="20"/>
        </w:rPr>
        <w:t xml:space="preserve">The group makes certain estimates and assumptions regarding the future. Estimates and judgements are continually evaluated based on historical experience and other factors, including expectations of future events that are believed to be reasonable under the circumstances. In the future, actual experience may differ from these estimates and assumptions. </w:t>
      </w:r>
      <w:r w:rsidR="007B6A27" w:rsidRPr="00C65D17">
        <w:rPr>
          <w:rFonts w:asciiTheme="minorHAnsi" w:hAnsiTheme="minorHAnsi" w:cstheme="minorHAnsi"/>
          <w:sz w:val="20"/>
          <w:szCs w:val="20"/>
        </w:rPr>
        <w:t>Significant management judgements are as follows:</w:t>
      </w:r>
    </w:p>
    <w:p w14:paraId="0DCAB4D0" w14:textId="786308D0" w:rsidR="0075448D" w:rsidRPr="00C65D17" w:rsidRDefault="0075448D" w:rsidP="00253A91">
      <w:pPr>
        <w:tabs>
          <w:tab w:val="left" w:pos="709"/>
        </w:tabs>
        <w:spacing w:before="120" w:line="320" w:lineRule="exact"/>
        <w:ind w:left="567"/>
        <w:jc w:val="both"/>
        <w:rPr>
          <w:rFonts w:asciiTheme="minorHAnsi" w:hAnsiTheme="minorHAnsi" w:cstheme="minorHAnsi"/>
          <w:i/>
          <w:iCs/>
          <w:sz w:val="20"/>
          <w:szCs w:val="20"/>
          <w:u w:val="single"/>
        </w:rPr>
      </w:pPr>
      <w:r w:rsidRPr="00C65D17">
        <w:rPr>
          <w:rFonts w:asciiTheme="minorHAnsi" w:hAnsiTheme="minorHAnsi" w:cstheme="minorHAnsi"/>
          <w:i/>
          <w:iCs/>
          <w:sz w:val="20"/>
          <w:szCs w:val="20"/>
          <w:u w:val="single"/>
        </w:rPr>
        <w:t>Legacy Issues</w:t>
      </w:r>
    </w:p>
    <w:p w14:paraId="445DBA6F" w14:textId="45528CCB" w:rsidR="0075448D" w:rsidRDefault="0075448D" w:rsidP="00B2796D">
      <w:pPr>
        <w:pStyle w:val="ListParagraph"/>
        <w:numPr>
          <w:ilvl w:val="0"/>
          <w:numId w:val="21"/>
        </w:numPr>
        <w:tabs>
          <w:tab w:val="left" w:pos="8080"/>
        </w:tabs>
        <w:spacing w:before="120" w:line="340" w:lineRule="exact"/>
        <w:ind w:left="993"/>
        <w:jc w:val="both"/>
        <w:rPr>
          <w:rFonts w:asciiTheme="minorHAnsi" w:hAnsiTheme="minorHAnsi" w:cstheme="minorHAnsi"/>
          <w:sz w:val="20"/>
          <w:szCs w:val="20"/>
        </w:rPr>
      </w:pPr>
      <w:r w:rsidRPr="00C65D17">
        <w:rPr>
          <w:rFonts w:asciiTheme="minorHAnsi" w:hAnsiTheme="minorHAnsi" w:cstheme="minorHAnsi"/>
          <w:sz w:val="20"/>
          <w:szCs w:val="20"/>
        </w:rPr>
        <w:t>Due to the change in the Board, key management and operations of the Group that took place in March 20</w:t>
      </w:r>
      <w:r w:rsidR="00847A58" w:rsidRPr="00C65D17">
        <w:rPr>
          <w:rFonts w:asciiTheme="minorHAnsi" w:hAnsiTheme="minorHAnsi" w:cstheme="minorHAnsi"/>
          <w:sz w:val="20"/>
          <w:szCs w:val="20"/>
        </w:rPr>
        <w:t>21</w:t>
      </w:r>
      <w:r w:rsidRPr="00C65D17">
        <w:rPr>
          <w:rFonts w:asciiTheme="minorHAnsi" w:hAnsiTheme="minorHAnsi" w:cstheme="minorHAnsi"/>
          <w:sz w:val="20"/>
          <w:szCs w:val="20"/>
        </w:rPr>
        <w:t xml:space="preserve">, it is possible that there are unrecorded liabilities relating to the now discontinued activities about which the Board are unaware. The Board have undertaken, to the extent possible, a thorough </w:t>
      </w:r>
      <w:r w:rsidRPr="00C65D17">
        <w:rPr>
          <w:rFonts w:asciiTheme="minorHAnsi" w:hAnsiTheme="minorHAnsi" w:cstheme="minorHAnsi"/>
          <w:color w:val="222222"/>
          <w:sz w:val="20"/>
          <w:szCs w:val="20"/>
        </w:rPr>
        <w:t>review of the creditor position of the Parent Company and the Group, with a core focus on the legacy business operations. Notwithstanding the Board’s assessment, there is a residual risk unforeseen liabilities may arise. However, d</w:t>
      </w:r>
      <w:r w:rsidRPr="00C65D17">
        <w:rPr>
          <w:rFonts w:asciiTheme="minorHAnsi" w:hAnsiTheme="minorHAnsi" w:cstheme="minorHAnsi"/>
          <w:sz w:val="20"/>
          <w:szCs w:val="20"/>
        </w:rPr>
        <w:t xml:space="preserve">ue to the publicity around the new business, shutting down the old one and drawing down on the EHGOS facility, a number of claims were made against the company. Since the period end, no additional creditors have made a claim against the Group or the Parent Company. </w:t>
      </w:r>
      <w:r w:rsidR="00C96B3E" w:rsidRPr="00C65D17">
        <w:rPr>
          <w:rFonts w:asciiTheme="minorHAnsi" w:hAnsiTheme="minorHAnsi" w:cstheme="minorHAnsi"/>
          <w:sz w:val="20"/>
          <w:szCs w:val="20"/>
        </w:rPr>
        <w:t xml:space="preserve">While it is important to consider these liabilities in these accounts the </w:t>
      </w:r>
      <w:r w:rsidRPr="00C65D17">
        <w:rPr>
          <w:rFonts w:asciiTheme="minorHAnsi" w:hAnsiTheme="minorHAnsi" w:cstheme="minorHAnsi"/>
          <w:sz w:val="20"/>
          <w:szCs w:val="20"/>
        </w:rPr>
        <w:t>Board </w:t>
      </w:r>
      <w:r w:rsidR="00DD3F7B" w:rsidRPr="00C65D17">
        <w:rPr>
          <w:rFonts w:asciiTheme="minorHAnsi" w:hAnsiTheme="minorHAnsi" w:cstheme="minorHAnsi"/>
          <w:sz w:val="20"/>
          <w:szCs w:val="20"/>
        </w:rPr>
        <w:t xml:space="preserve">have </w:t>
      </w:r>
      <w:r w:rsidR="00C96B3E" w:rsidRPr="00C65D17">
        <w:rPr>
          <w:rFonts w:asciiTheme="minorHAnsi" w:hAnsiTheme="minorHAnsi" w:cstheme="minorHAnsi"/>
          <w:sz w:val="20"/>
          <w:szCs w:val="20"/>
        </w:rPr>
        <w:t xml:space="preserve">however </w:t>
      </w:r>
      <w:r w:rsidR="00DD3F7B" w:rsidRPr="00C65D17">
        <w:rPr>
          <w:rFonts w:asciiTheme="minorHAnsi" w:hAnsiTheme="minorHAnsi" w:cstheme="minorHAnsi"/>
          <w:sz w:val="20"/>
          <w:szCs w:val="20"/>
        </w:rPr>
        <w:t xml:space="preserve">made a judgment </w:t>
      </w:r>
      <w:r w:rsidRPr="00C65D17">
        <w:rPr>
          <w:rFonts w:asciiTheme="minorHAnsi" w:hAnsiTheme="minorHAnsi" w:cstheme="minorHAnsi"/>
          <w:sz w:val="20"/>
          <w:szCs w:val="20"/>
        </w:rPr>
        <w:t xml:space="preserve">that the risk of unrecorded actual or contingent liabilities is </w:t>
      </w:r>
      <w:r w:rsidR="00C96B3E" w:rsidRPr="00C65D17">
        <w:rPr>
          <w:rFonts w:asciiTheme="minorHAnsi" w:hAnsiTheme="minorHAnsi" w:cstheme="minorHAnsi"/>
          <w:sz w:val="20"/>
          <w:szCs w:val="20"/>
        </w:rPr>
        <w:t xml:space="preserve">now </w:t>
      </w:r>
      <w:r w:rsidRPr="00C65D17">
        <w:rPr>
          <w:rFonts w:asciiTheme="minorHAnsi" w:hAnsiTheme="minorHAnsi" w:cstheme="minorHAnsi"/>
          <w:sz w:val="20"/>
          <w:szCs w:val="20"/>
        </w:rPr>
        <w:t xml:space="preserve">low. </w:t>
      </w:r>
    </w:p>
    <w:p w14:paraId="0AF01886" w14:textId="77777777" w:rsidR="00C65D17" w:rsidRPr="00C65D17" w:rsidRDefault="00C65D17" w:rsidP="00C65D17">
      <w:pPr>
        <w:pStyle w:val="ListParagraph"/>
        <w:tabs>
          <w:tab w:val="left" w:pos="8080"/>
        </w:tabs>
        <w:spacing w:before="120" w:line="340" w:lineRule="exact"/>
        <w:ind w:left="993"/>
        <w:jc w:val="both"/>
        <w:rPr>
          <w:rFonts w:asciiTheme="minorHAnsi" w:hAnsiTheme="minorHAnsi" w:cstheme="minorHAnsi"/>
          <w:sz w:val="20"/>
          <w:szCs w:val="20"/>
        </w:rPr>
      </w:pPr>
    </w:p>
    <w:p w14:paraId="5AC5FC07" w14:textId="37E978D0" w:rsidR="0075448D" w:rsidRDefault="0075448D" w:rsidP="00B2796D">
      <w:pPr>
        <w:pStyle w:val="ListParagraph"/>
        <w:numPr>
          <w:ilvl w:val="0"/>
          <w:numId w:val="21"/>
        </w:numPr>
        <w:tabs>
          <w:tab w:val="left" w:pos="8080"/>
        </w:tabs>
        <w:spacing w:before="120" w:line="340" w:lineRule="exact"/>
        <w:ind w:left="993"/>
        <w:jc w:val="both"/>
        <w:rPr>
          <w:rFonts w:asciiTheme="minorHAnsi" w:hAnsiTheme="minorHAnsi" w:cstheme="minorHAnsi"/>
          <w:sz w:val="20"/>
          <w:szCs w:val="20"/>
        </w:rPr>
      </w:pPr>
      <w:r w:rsidRPr="00C65D17">
        <w:rPr>
          <w:rFonts w:asciiTheme="minorHAnsi" w:hAnsiTheme="minorHAnsi" w:cstheme="minorHAnsi"/>
          <w:sz w:val="20"/>
          <w:szCs w:val="20"/>
        </w:rPr>
        <w:t xml:space="preserve">The Group’s former Board under through its Cellplan subsidiary was promoting bespoke stem cell medical insurance and launched a website to market the product. After due enquiry, the new Board is not aware that any such policies were issued. There does however remain a residual risk that policies may have been issued. </w:t>
      </w:r>
      <w:r w:rsidR="00DD3F7B" w:rsidRPr="00C65D17">
        <w:rPr>
          <w:rFonts w:asciiTheme="minorHAnsi" w:hAnsiTheme="minorHAnsi" w:cstheme="minorHAnsi"/>
          <w:sz w:val="20"/>
          <w:szCs w:val="20"/>
        </w:rPr>
        <w:t>The board consider</w:t>
      </w:r>
      <w:r w:rsidR="00C96B3E" w:rsidRPr="00C65D17">
        <w:rPr>
          <w:rFonts w:asciiTheme="minorHAnsi" w:hAnsiTheme="minorHAnsi" w:cstheme="minorHAnsi"/>
          <w:sz w:val="20"/>
          <w:szCs w:val="20"/>
        </w:rPr>
        <w:t xml:space="preserve"> that</w:t>
      </w:r>
      <w:r w:rsidR="00DD3F7B" w:rsidRPr="00C65D17">
        <w:rPr>
          <w:rFonts w:asciiTheme="minorHAnsi" w:hAnsiTheme="minorHAnsi" w:cstheme="minorHAnsi"/>
          <w:sz w:val="20"/>
          <w:szCs w:val="20"/>
        </w:rPr>
        <w:t xml:space="preserve"> t</w:t>
      </w:r>
      <w:r w:rsidRPr="00C65D17">
        <w:rPr>
          <w:rFonts w:asciiTheme="minorHAnsi" w:hAnsiTheme="minorHAnsi" w:cstheme="minorHAnsi"/>
          <w:sz w:val="20"/>
          <w:szCs w:val="20"/>
        </w:rPr>
        <w:t xml:space="preserve">he incidence and financial impact </w:t>
      </w:r>
      <w:r w:rsidR="00C96B3E" w:rsidRPr="00C65D17">
        <w:rPr>
          <w:rFonts w:asciiTheme="minorHAnsi" w:hAnsiTheme="minorHAnsi" w:cstheme="minorHAnsi"/>
          <w:sz w:val="20"/>
          <w:szCs w:val="20"/>
        </w:rPr>
        <w:t xml:space="preserve">is now </w:t>
      </w:r>
      <w:r w:rsidRPr="00C65D17">
        <w:rPr>
          <w:rFonts w:asciiTheme="minorHAnsi" w:hAnsiTheme="minorHAnsi" w:cstheme="minorHAnsi"/>
          <w:sz w:val="20"/>
          <w:szCs w:val="20"/>
        </w:rPr>
        <w:t>low.</w:t>
      </w:r>
    </w:p>
    <w:p w14:paraId="0312F804" w14:textId="428EF6E2" w:rsidR="00C074F8" w:rsidRPr="00BB3C18" w:rsidRDefault="00A62230" w:rsidP="00D118C2">
      <w:pPr>
        <w:pStyle w:val="ListParagraph"/>
        <w:keepNext/>
        <w:numPr>
          <w:ilvl w:val="0"/>
          <w:numId w:val="3"/>
        </w:numPr>
        <w:spacing w:before="240" w:line="276" w:lineRule="auto"/>
        <w:ind w:hanging="720"/>
        <w:contextualSpacing w:val="0"/>
        <w:jc w:val="both"/>
        <w:rPr>
          <w:rFonts w:asciiTheme="minorHAnsi" w:hAnsiTheme="minorHAnsi" w:cstheme="minorHAnsi"/>
          <w:b/>
          <w:sz w:val="20"/>
          <w:szCs w:val="20"/>
        </w:rPr>
      </w:pPr>
      <w:r w:rsidRPr="00BB3C18">
        <w:rPr>
          <w:rFonts w:asciiTheme="minorHAnsi" w:hAnsiTheme="minorHAnsi" w:cstheme="minorHAnsi"/>
          <w:b/>
          <w:sz w:val="20"/>
          <w:szCs w:val="20"/>
        </w:rPr>
        <w:lastRenderedPageBreak/>
        <w:t>Loss from Operations</w:t>
      </w:r>
    </w:p>
    <w:tbl>
      <w:tblPr>
        <w:tblW w:w="9481" w:type="dxa"/>
        <w:tblInd w:w="567" w:type="dxa"/>
        <w:tblLook w:val="00A0" w:firstRow="1" w:lastRow="0" w:firstColumn="1" w:lastColumn="0" w:noHBand="0" w:noVBand="0"/>
      </w:tblPr>
      <w:tblGrid>
        <w:gridCol w:w="6373"/>
        <w:gridCol w:w="1530"/>
        <w:gridCol w:w="1578"/>
      </w:tblGrid>
      <w:tr w:rsidR="0022376E" w:rsidRPr="00BB3C18" w14:paraId="283C5F84" w14:textId="77777777" w:rsidTr="00F547B8">
        <w:tc>
          <w:tcPr>
            <w:tcW w:w="6373" w:type="dxa"/>
          </w:tcPr>
          <w:p w14:paraId="7AC625A2" w14:textId="77777777" w:rsidR="0022376E" w:rsidRPr="00BB3C18" w:rsidRDefault="0022376E" w:rsidP="0022376E">
            <w:pPr>
              <w:pStyle w:val="ListParagraph"/>
              <w:keepNext/>
              <w:spacing w:line="276" w:lineRule="auto"/>
              <w:rPr>
                <w:rFonts w:asciiTheme="minorHAnsi" w:hAnsiTheme="minorHAnsi" w:cstheme="minorHAnsi"/>
                <w:b/>
                <w:sz w:val="20"/>
                <w:szCs w:val="20"/>
              </w:rPr>
            </w:pPr>
          </w:p>
        </w:tc>
        <w:tc>
          <w:tcPr>
            <w:tcW w:w="1530" w:type="dxa"/>
            <w:shd w:val="clear" w:color="auto" w:fill="auto"/>
          </w:tcPr>
          <w:p w14:paraId="1E9E9EF5" w14:textId="0DEE3D45" w:rsidR="0022376E" w:rsidRPr="00BB3C18" w:rsidRDefault="00DF411F" w:rsidP="000B0042">
            <w:pPr>
              <w:keepNext/>
              <w:spacing w:line="276" w:lineRule="auto"/>
              <w:ind w:left="-203"/>
              <w:jc w:val="right"/>
              <w:rPr>
                <w:rFonts w:asciiTheme="minorHAnsi" w:hAnsiTheme="minorHAnsi" w:cstheme="minorHAnsi"/>
                <w:b/>
                <w:sz w:val="20"/>
                <w:szCs w:val="20"/>
              </w:rPr>
            </w:pPr>
            <w:r>
              <w:rPr>
                <w:rFonts w:asciiTheme="minorHAnsi" w:hAnsiTheme="minorHAnsi" w:cstheme="minorHAnsi"/>
                <w:b/>
                <w:sz w:val="20"/>
                <w:szCs w:val="20"/>
              </w:rPr>
              <w:t>Year</w:t>
            </w:r>
            <w:r w:rsidR="0022376E" w:rsidRPr="00BB3C18">
              <w:rPr>
                <w:rFonts w:asciiTheme="minorHAnsi" w:hAnsiTheme="minorHAnsi" w:cstheme="minorHAnsi"/>
                <w:b/>
                <w:sz w:val="20"/>
                <w:szCs w:val="20"/>
              </w:rPr>
              <w:t xml:space="preserve"> ended</w:t>
            </w:r>
            <w:r w:rsidR="0022376E" w:rsidRPr="00BB3C18">
              <w:rPr>
                <w:rFonts w:asciiTheme="minorHAnsi" w:hAnsiTheme="minorHAnsi" w:cstheme="minorHAnsi"/>
                <w:b/>
                <w:sz w:val="20"/>
                <w:szCs w:val="20"/>
              </w:rPr>
              <w:br/>
              <w:t xml:space="preserve">30 June </w:t>
            </w:r>
          </w:p>
          <w:p w14:paraId="4644CE15" w14:textId="2B13BF2F" w:rsidR="0022376E" w:rsidRPr="00BB3C18" w:rsidRDefault="0022376E" w:rsidP="000B0042">
            <w:pPr>
              <w:keepNext/>
              <w:spacing w:line="276" w:lineRule="auto"/>
              <w:ind w:left="-203"/>
              <w:jc w:val="right"/>
              <w:rPr>
                <w:rFonts w:asciiTheme="minorHAnsi" w:hAnsiTheme="minorHAnsi" w:cstheme="minorHAnsi"/>
                <w:sz w:val="20"/>
                <w:szCs w:val="20"/>
              </w:rPr>
            </w:pPr>
            <w:r w:rsidRPr="00BB3C18">
              <w:rPr>
                <w:rFonts w:asciiTheme="minorHAnsi" w:hAnsiTheme="minorHAnsi" w:cstheme="minorHAnsi"/>
                <w:b/>
                <w:sz w:val="20"/>
                <w:szCs w:val="20"/>
              </w:rPr>
              <w:t>20</w:t>
            </w:r>
            <w:r w:rsidR="00DF411F">
              <w:rPr>
                <w:rFonts w:asciiTheme="minorHAnsi" w:hAnsiTheme="minorHAnsi" w:cstheme="minorHAnsi"/>
                <w:b/>
                <w:sz w:val="20"/>
                <w:szCs w:val="20"/>
              </w:rPr>
              <w:t>2</w:t>
            </w:r>
            <w:r w:rsidR="00E95A45">
              <w:rPr>
                <w:rFonts w:asciiTheme="minorHAnsi" w:hAnsiTheme="minorHAnsi" w:cstheme="minorHAnsi"/>
                <w:b/>
                <w:sz w:val="20"/>
                <w:szCs w:val="20"/>
              </w:rPr>
              <w:t>2</w:t>
            </w:r>
            <w:r w:rsidRPr="00BB3C18">
              <w:rPr>
                <w:rFonts w:asciiTheme="minorHAnsi" w:hAnsiTheme="minorHAnsi" w:cstheme="minorHAnsi"/>
                <w:b/>
                <w:sz w:val="20"/>
                <w:szCs w:val="20"/>
              </w:rPr>
              <w:br/>
              <w:t>£</w:t>
            </w:r>
          </w:p>
        </w:tc>
        <w:tc>
          <w:tcPr>
            <w:tcW w:w="1578" w:type="dxa"/>
            <w:shd w:val="clear" w:color="auto" w:fill="auto"/>
          </w:tcPr>
          <w:p w14:paraId="58A2D47E" w14:textId="496A3459" w:rsidR="0022376E" w:rsidRPr="00BB3C18" w:rsidRDefault="00F02870" w:rsidP="000B0042">
            <w:pPr>
              <w:keepNext/>
              <w:spacing w:line="276" w:lineRule="auto"/>
              <w:ind w:right="-74"/>
              <w:jc w:val="right"/>
              <w:rPr>
                <w:rFonts w:asciiTheme="minorHAnsi" w:hAnsiTheme="minorHAnsi" w:cstheme="minorHAnsi"/>
                <w:b/>
                <w:sz w:val="20"/>
                <w:szCs w:val="20"/>
              </w:rPr>
            </w:pPr>
            <w:r>
              <w:rPr>
                <w:rFonts w:asciiTheme="minorHAnsi" w:hAnsiTheme="minorHAnsi" w:cstheme="minorHAnsi"/>
                <w:b/>
                <w:sz w:val="20"/>
                <w:szCs w:val="20"/>
              </w:rPr>
              <w:t xml:space="preserve">Year </w:t>
            </w:r>
            <w:r w:rsidR="0022376E" w:rsidRPr="00BB3C18">
              <w:rPr>
                <w:rFonts w:asciiTheme="minorHAnsi" w:hAnsiTheme="minorHAnsi" w:cstheme="minorHAnsi"/>
                <w:b/>
                <w:sz w:val="20"/>
                <w:szCs w:val="20"/>
              </w:rPr>
              <w:t>ended</w:t>
            </w:r>
            <w:r w:rsidR="0022376E" w:rsidRPr="00BB3C18">
              <w:rPr>
                <w:rFonts w:asciiTheme="minorHAnsi" w:hAnsiTheme="minorHAnsi" w:cstheme="minorHAnsi"/>
                <w:b/>
                <w:sz w:val="20"/>
                <w:szCs w:val="20"/>
              </w:rPr>
              <w:br/>
              <w:t>3</w:t>
            </w:r>
            <w:r w:rsidR="007A2FB3">
              <w:rPr>
                <w:rFonts w:asciiTheme="minorHAnsi" w:hAnsiTheme="minorHAnsi" w:cstheme="minorHAnsi"/>
                <w:b/>
                <w:sz w:val="20"/>
                <w:szCs w:val="20"/>
              </w:rPr>
              <w:t>0</w:t>
            </w:r>
            <w:r w:rsidR="0022376E" w:rsidRPr="00BB3C18">
              <w:rPr>
                <w:rFonts w:asciiTheme="minorHAnsi" w:hAnsiTheme="minorHAnsi" w:cstheme="minorHAnsi"/>
                <w:b/>
                <w:sz w:val="20"/>
                <w:szCs w:val="20"/>
              </w:rPr>
              <w:t xml:space="preserve"> </w:t>
            </w:r>
            <w:r w:rsidR="00DF411F">
              <w:rPr>
                <w:rFonts w:asciiTheme="minorHAnsi" w:hAnsiTheme="minorHAnsi" w:cstheme="minorHAnsi"/>
                <w:b/>
                <w:sz w:val="20"/>
                <w:szCs w:val="20"/>
              </w:rPr>
              <w:t>June</w:t>
            </w:r>
            <w:r w:rsidR="0022376E" w:rsidRPr="00BB3C18">
              <w:rPr>
                <w:rFonts w:asciiTheme="minorHAnsi" w:hAnsiTheme="minorHAnsi" w:cstheme="minorHAnsi"/>
                <w:b/>
                <w:sz w:val="20"/>
                <w:szCs w:val="20"/>
              </w:rPr>
              <w:br/>
              <w:t>20</w:t>
            </w:r>
            <w:r>
              <w:rPr>
                <w:rFonts w:asciiTheme="minorHAnsi" w:hAnsiTheme="minorHAnsi" w:cstheme="minorHAnsi"/>
                <w:b/>
                <w:sz w:val="20"/>
                <w:szCs w:val="20"/>
              </w:rPr>
              <w:t>2</w:t>
            </w:r>
            <w:r w:rsidR="00E95A45">
              <w:rPr>
                <w:rFonts w:asciiTheme="minorHAnsi" w:hAnsiTheme="minorHAnsi" w:cstheme="minorHAnsi"/>
                <w:b/>
                <w:sz w:val="20"/>
                <w:szCs w:val="20"/>
              </w:rPr>
              <w:t>1</w:t>
            </w:r>
          </w:p>
          <w:p w14:paraId="79BECFF2" w14:textId="77777777" w:rsidR="0022376E" w:rsidRPr="00BB3C18" w:rsidRDefault="0022376E" w:rsidP="000B0042">
            <w:pPr>
              <w:keepNext/>
              <w:spacing w:line="276" w:lineRule="auto"/>
              <w:ind w:right="-74"/>
              <w:jc w:val="right"/>
              <w:rPr>
                <w:rFonts w:asciiTheme="minorHAnsi" w:hAnsiTheme="minorHAnsi" w:cstheme="minorHAnsi"/>
                <w:sz w:val="20"/>
                <w:szCs w:val="20"/>
              </w:rPr>
            </w:pPr>
            <w:r w:rsidRPr="00BB3C18">
              <w:rPr>
                <w:rFonts w:asciiTheme="minorHAnsi" w:hAnsiTheme="minorHAnsi" w:cstheme="minorHAnsi"/>
                <w:b/>
                <w:sz w:val="20"/>
                <w:szCs w:val="20"/>
              </w:rPr>
              <w:t>£</w:t>
            </w:r>
          </w:p>
        </w:tc>
      </w:tr>
      <w:tr w:rsidR="0022376E" w:rsidRPr="00BB3C18" w14:paraId="68759EF4" w14:textId="77777777" w:rsidTr="00F547B8">
        <w:tc>
          <w:tcPr>
            <w:tcW w:w="6373" w:type="dxa"/>
          </w:tcPr>
          <w:p w14:paraId="2F29144F" w14:textId="59D15AFC" w:rsidR="0022376E" w:rsidRPr="00BB3C18" w:rsidRDefault="0022376E" w:rsidP="000B0042">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The loss for the period is stated after charging</w:t>
            </w:r>
            <w:r w:rsidR="00DA16C2" w:rsidRPr="00BB3C18">
              <w:rPr>
                <w:rFonts w:asciiTheme="minorHAnsi" w:hAnsiTheme="minorHAnsi" w:cstheme="minorHAnsi"/>
                <w:sz w:val="20"/>
                <w:szCs w:val="20"/>
              </w:rPr>
              <w:t>:</w:t>
            </w:r>
          </w:p>
        </w:tc>
        <w:tc>
          <w:tcPr>
            <w:tcW w:w="1530" w:type="dxa"/>
            <w:shd w:val="clear" w:color="auto" w:fill="auto"/>
          </w:tcPr>
          <w:p w14:paraId="55FCEDDE" w14:textId="77777777" w:rsidR="0022376E" w:rsidRPr="00BB3C18" w:rsidRDefault="0022376E" w:rsidP="000B0042">
            <w:pPr>
              <w:spacing w:line="276" w:lineRule="auto"/>
              <w:jc w:val="right"/>
              <w:rPr>
                <w:rFonts w:asciiTheme="minorHAnsi" w:hAnsiTheme="minorHAnsi" w:cstheme="minorHAnsi"/>
                <w:sz w:val="20"/>
                <w:szCs w:val="20"/>
              </w:rPr>
            </w:pPr>
          </w:p>
        </w:tc>
        <w:tc>
          <w:tcPr>
            <w:tcW w:w="1578" w:type="dxa"/>
            <w:shd w:val="clear" w:color="auto" w:fill="auto"/>
          </w:tcPr>
          <w:p w14:paraId="633E4F50" w14:textId="77777777" w:rsidR="0022376E" w:rsidRPr="00BB3C18" w:rsidRDefault="0022376E" w:rsidP="000B0042">
            <w:pPr>
              <w:spacing w:line="276" w:lineRule="auto"/>
              <w:jc w:val="right"/>
              <w:rPr>
                <w:rFonts w:asciiTheme="minorHAnsi" w:hAnsiTheme="minorHAnsi" w:cstheme="minorHAnsi"/>
                <w:sz w:val="20"/>
                <w:szCs w:val="20"/>
              </w:rPr>
            </w:pPr>
          </w:p>
        </w:tc>
      </w:tr>
      <w:tr w:rsidR="00F02870" w:rsidRPr="00C65D17" w14:paraId="51B23BFA" w14:textId="77777777" w:rsidTr="00F547B8">
        <w:tc>
          <w:tcPr>
            <w:tcW w:w="6373" w:type="dxa"/>
          </w:tcPr>
          <w:p w14:paraId="035FF041" w14:textId="35909387"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Depreciation</w:t>
            </w:r>
          </w:p>
        </w:tc>
        <w:tc>
          <w:tcPr>
            <w:tcW w:w="1530" w:type="dxa"/>
            <w:shd w:val="clear" w:color="auto" w:fill="auto"/>
          </w:tcPr>
          <w:p w14:paraId="12909986" w14:textId="12AF6DC1" w:rsidR="00F02870" w:rsidRPr="00C65D17" w:rsidRDefault="0074643A" w:rsidP="00F02870">
            <w:pPr>
              <w:spacing w:line="276" w:lineRule="auto"/>
              <w:jc w:val="right"/>
              <w:rPr>
                <w:rFonts w:asciiTheme="minorHAnsi" w:hAnsiTheme="minorHAnsi" w:cstheme="minorHAnsi"/>
                <w:sz w:val="20"/>
                <w:szCs w:val="20"/>
              </w:rPr>
            </w:pPr>
            <w:r w:rsidRPr="00C65D17">
              <w:rPr>
                <w:rFonts w:asciiTheme="minorHAnsi" w:hAnsiTheme="minorHAnsi" w:cstheme="minorHAnsi"/>
                <w:sz w:val="20"/>
                <w:szCs w:val="20"/>
              </w:rPr>
              <w:t>-</w:t>
            </w:r>
          </w:p>
        </w:tc>
        <w:tc>
          <w:tcPr>
            <w:tcW w:w="1578" w:type="dxa"/>
            <w:shd w:val="clear" w:color="auto" w:fill="auto"/>
          </w:tcPr>
          <w:p w14:paraId="505E6E17" w14:textId="6EE71DAA" w:rsidR="00F02870" w:rsidRPr="00C65D17" w:rsidRDefault="00F02870" w:rsidP="00F02870">
            <w:pPr>
              <w:spacing w:line="276" w:lineRule="auto"/>
              <w:jc w:val="right"/>
              <w:rPr>
                <w:rFonts w:asciiTheme="minorHAnsi" w:hAnsiTheme="minorHAnsi" w:cstheme="minorHAnsi"/>
                <w:sz w:val="20"/>
                <w:szCs w:val="20"/>
              </w:rPr>
            </w:pPr>
            <w:r w:rsidRPr="00C65D17">
              <w:rPr>
                <w:rFonts w:asciiTheme="minorHAnsi" w:hAnsiTheme="minorHAnsi" w:cstheme="minorHAnsi"/>
                <w:sz w:val="20"/>
                <w:szCs w:val="20"/>
              </w:rPr>
              <w:t>2,50</w:t>
            </w:r>
            <w:r w:rsidR="008B1995" w:rsidRPr="00C65D17">
              <w:rPr>
                <w:rFonts w:asciiTheme="minorHAnsi" w:hAnsiTheme="minorHAnsi" w:cstheme="minorHAnsi"/>
                <w:sz w:val="20"/>
                <w:szCs w:val="20"/>
              </w:rPr>
              <w:t>4</w:t>
            </w:r>
          </w:p>
        </w:tc>
      </w:tr>
      <w:tr w:rsidR="00F02870" w:rsidRPr="00C65D17" w14:paraId="7498A3E3" w14:textId="77777777" w:rsidTr="00F547B8">
        <w:tc>
          <w:tcPr>
            <w:tcW w:w="6373" w:type="dxa"/>
          </w:tcPr>
          <w:p w14:paraId="3DB3B492" w14:textId="19D95729"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Auditors remuneration</w:t>
            </w:r>
            <w:r>
              <w:rPr>
                <w:rFonts w:asciiTheme="minorHAnsi" w:hAnsiTheme="minorHAnsi" w:cstheme="minorHAnsi"/>
                <w:sz w:val="20"/>
                <w:szCs w:val="20"/>
              </w:rPr>
              <w:t xml:space="preserve"> – audit services</w:t>
            </w:r>
            <w:r w:rsidRPr="00BB3C18">
              <w:rPr>
                <w:rFonts w:asciiTheme="minorHAnsi" w:hAnsiTheme="minorHAnsi" w:cstheme="minorHAnsi"/>
                <w:sz w:val="20"/>
                <w:szCs w:val="20"/>
              </w:rPr>
              <w:t xml:space="preserve"> </w:t>
            </w:r>
          </w:p>
        </w:tc>
        <w:tc>
          <w:tcPr>
            <w:tcW w:w="1530" w:type="dxa"/>
            <w:shd w:val="clear" w:color="auto" w:fill="auto"/>
          </w:tcPr>
          <w:p w14:paraId="32231B35" w14:textId="678829C1" w:rsidR="00F02870" w:rsidRPr="00C65D17" w:rsidRDefault="00C65D17"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50,000</w:t>
            </w:r>
          </w:p>
        </w:tc>
        <w:tc>
          <w:tcPr>
            <w:tcW w:w="1578" w:type="dxa"/>
            <w:shd w:val="clear" w:color="auto" w:fill="auto"/>
          </w:tcPr>
          <w:p w14:paraId="07D795C0" w14:textId="516B1B9B" w:rsidR="00F02870" w:rsidRPr="00C65D17" w:rsidRDefault="00540F01" w:rsidP="00F02870">
            <w:pPr>
              <w:spacing w:line="276" w:lineRule="auto"/>
              <w:jc w:val="right"/>
              <w:rPr>
                <w:rFonts w:asciiTheme="minorHAnsi" w:hAnsiTheme="minorHAnsi" w:cstheme="minorHAnsi"/>
                <w:sz w:val="20"/>
                <w:szCs w:val="20"/>
              </w:rPr>
            </w:pPr>
            <w:r w:rsidRPr="00C65D17">
              <w:rPr>
                <w:rFonts w:asciiTheme="minorHAnsi" w:hAnsiTheme="minorHAnsi" w:cstheme="minorHAnsi"/>
                <w:sz w:val="20"/>
                <w:szCs w:val="20"/>
              </w:rPr>
              <w:t>5</w:t>
            </w:r>
            <w:r w:rsidR="00F02870" w:rsidRPr="00C65D17">
              <w:rPr>
                <w:rFonts w:asciiTheme="minorHAnsi" w:hAnsiTheme="minorHAnsi" w:cstheme="minorHAnsi"/>
                <w:sz w:val="20"/>
                <w:szCs w:val="20"/>
              </w:rPr>
              <w:t>0,000</w:t>
            </w:r>
          </w:p>
        </w:tc>
      </w:tr>
    </w:tbl>
    <w:p w14:paraId="1F744554" w14:textId="28D7008F" w:rsidR="009D54F6" w:rsidRPr="00BB3C18" w:rsidRDefault="009D54F6" w:rsidP="00D31F2D">
      <w:pPr>
        <w:keepNext/>
        <w:tabs>
          <w:tab w:val="left" w:pos="1134"/>
        </w:tabs>
        <w:spacing w:before="240" w:line="276" w:lineRule="auto"/>
        <w:jc w:val="both"/>
        <w:rPr>
          <w:rFonts w:asciiTheme="minorHAnsi" w:hAnsiTheme="minorHAnsi" w:cstheme="minorHAnsi"/>
          <w:b/>
          <w:sz w:val="20"/>
          <w:szCs w:val="20"/>
          <w:highlight w:val="yellow"/>
        </w:rPr>
      </w:pPr>
    </w:p>
    <w:tbl>
      <w:tblPr>
        <w:tblW w:w="9481" w:type="dxa"/>
        <w:tblInd w:w="567" w:type="dxa"/>
        <w:tblLook w:val="00A0" w:firstRow="1" w:lastRow="0" w:firstColumn="1" w:lastColumn="0" w:noHBand="0" w:noVBand="0"/>
      </w:tblPr>
      <w:tblGrid>
        <w:gridCol w:w="5001"/>
        <w:gridCol w:w="2793"/>
        <w:gridCol w:w="1687"/>
      </w:tblGrid>
      <w:tr w:rsidR="0022376E" w:rsidRPr="00BB3C18" w14:paraId="50964E85" w14:textId="77777777" w:rsidTr="00F02870">
        <w:tc>
          <w:tcPr>
            <w:tcW w:w="5001" w:type="dxa"/>
            <w:shd w:val="clear" w:color="auto" w:fill="auto"/>
          </w:tcPr>
          <w:p w14:paraId="3E1AC73F" w14:textId="24DC26DC" w:rsidR="0022376E" w:rsidRPr="00BB3C18" w:rsidRDefault="0022376E" w:rsidP="000B0042">
            <w:pPr>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Expenses by nature:</w:t>
            </w:r>
          </w:p>
        </w:tc>
        <w:tc>
          <w:tcPr>
            <w:tcW w:w="2793" w:type="dxa"/>
            <w:shd w:val="clear" w:color="auto" w:fill="auto"/>
          </w:tcPr>
          <w:p w14:paraId="245A8E76" w14:textId="09DD7A6E" w:rsidR="0022376E" w:rsidRPr="00BB3C18" w:rsidRDefault="0022376E" w:rsidP="000B0042">
            <w:pPr>
              <w:spacing w:line="276" w:lineRule="auto"/>
              <w:jc w:val="right"/>
              <w:rPr>
                <w:rFonts w:asciiTheme="minorHAnsi" w:hAnsiTheme="minorHAnsi" w:cstheme="minorHAnsi"/>
                <w:b/>
                <w:sz w:val="20"/>
                <w:szCs w:val="20"/>
              </w:rPr>
            </w:pPr>
            <w:r w:rsidRPr="00BB3C18">
              <w:rPr>
                <w:rFonts w:asciiTheme="minorHAnsi" w:hAnsiTheme="minorHAnsi" w:cstheme="minorHAnsi"/>
                <w:b/>
                <w:sz w:val="20"/>
                <w:szCs w:val="20"/>
              </w:rPr>
              <w:t>£</w:t>
            </w:r>
          </w:p>
        </w:tc>
        <w:tc>
          <w:tcPr>
            <w:tcW w:w="1687" w:type="dxa"/>
          </w:tcPr>
          <w:p w14:paraId="4117FEC9" w14:textId="10AE89FB" w:rsidR="0022376E" w:rsidRPr="00BB3C18" w:rsidRDefault="0022376E" w:rsidP="000B0042">
            <w:pPr>
              <w:spacing w:line="276" w:lineRule="auto"/>
              <w:jc w:val="right"/>
              <w:rPr>
                <w:rFonts w:asciiTheme="minorHAnsi" w:hAnsiTheme="minorHAnsi" w:cstheme="minorHAnsi"/>
                <w:b/>
                <w:sz w:val="20"/>
                <w:szCs w:val="20"/>
              </w:rPr>
            </w:pPr>
            <w:r w:rsidRPr="00BB3C18">
              <w:rPr>
                <w:rFonts w:asciiTheme="minorHAnsi" w:hAnsiTheme="minorHAnsi" w:cstheme="minorHAnsi"/>
                <w:b/>
                <w:sz w:val="20"/>
                <w:szCs w:val="20"/>
              </w:rPr>
              <w:t>£</w:t>
            </w:r>
          </w:p>
        </w:tc>
      </w:tr>
      <w:tr w:rsidR="00F02870" w:rsidRPr="00BB3C18" w14:paraId="259FB505" w14:textId="77777777" w:rsidTr="00F02870">
        <w:tc>
          <w:tcPr>
            <w:tcW w:w="5001" w:type="dxa"/>
            <w:shd w:val="clear" w:color="auto" w:fill="auto"/>
          </w:tcPr>
          <w:p w14:paraId="67F44361" w14:textId="45BB4734" w:rsidR="00F02870" w:rsidRDefault="00F02870" w:rsidP="00F02870">
            <w:pPr>
              <w:spacing w:line="276" w:lineRule="auto"/>
              <w:ind w:hanging="108"/>
              <w:rPr>
                <w:rFonts w:asciiTheme="minorHAnsi" w:hAnsiTheme="minorHAnsi" w:cstheme="minorHAnsi"/>
                <w:sz w:val="20"/>
                <w:szCs w:val="20"/>
              </w:rPr>
            </w:pPr>
            <w:r>
              <w:rPr>
                <w:rFonts w:asciiTheme="minorHAnsi" w:hAnsiTheme="minorHAnsi" w:cstheme="minorHAnsi"/>
                <w:sz w:val="20"/>
                <w:szCs w:val="20"/>
              </w:rPr>
              <w:t>Legal and professional fees</w:t>
            </w:r>
          </w:p>
        </w:tc>
        <w:tc>
          <w:tcPr>
            <w:tcW w:w="2793" w:type="dxa"/>
            <w:shd w:val="clear" w:color="auto" w:fill="auto"/>
          </w:tcPr>
          <w:p w14:paraId="20C9C35F" w14:textId="434C9627" w:rsidR="00F02870" w:rsidDel="007B2C19" w:rsidRDefault="00584CFE"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(7,102)</w:t>
            </w:r>
          </w:p>
        </w:tc>
        <w:tc>
          <w:tcPr>
            <w:tcW w:w="1687" w:type="dxa"/>
          </w:tcPr>
          <w:p w14:paraId="7758D2E6" w14:textId="09362A35" w:rsidR="00F02870" w:rsidRDefault="0074643A"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911,787</w:t>
            </w:r>
          </w:p>
        </w:tc>
      </w:tr>
      <w:tr w:rsidR="00F02870" w:rsidRPr="00BB3C18" w14:paraId="0473D7A2" w14:textId="77777777" w:rsidTr="00F02870">
        <w:tc>
          <w:tcPr>
            <w:tcW w:w="5001" w:type="dxa"/>
            <w:shd w:val="clear" w:color="auto" w:fill="auto"/>
          </w:tcPr>
          <w:p w14:paraId="7AF05735" w14:textId="60307C71" w:rsidR="00F02870" w:rsidRDefault="00F02870" w:rsidP="00F02870">
            <w:pPr>
              <w:spacing w:line="276" w:lineRule="auto"/>
              <w:ind w:hanging="108"/>
              <w:rPr>
                <w:rFonts w:asciiTheme="minorHAnsi" w:hAnsiTheme="minorHAnsi" w:cstheme="minorHAnsi"/>
                <w:sz w:val="20"/>
                <w:szCs w:val="20"/>
              </w:rPr>
            </w:pPr>
            <w:r>
              <w:rPr>
                <w:rFonts w:asciiTheme="minorHAnsi" w:hAnsiTheme="minorHAnsi" w:cstheme="minorHAnsi"/>
                <w:sz w:val="20"/>
                <w:szCs w:val="20"/>
              </w:rPr>
              <w:t>Consultancy fees</w:t>
            </w:r>
          </w:p>
        </w:tc>
        <w:tc>
          <w:tcPr>
            <w:tcW w:w="2793" w:type="dxa"/>
            <w:shd w:val="clear" w:color="auto" w:fill="auto"/>
          </w:tcPr>
          <w:p w14:paraId="714E76A6" w14:textId="5040F0AA" w:rsidR="00F02870" w:rsidDel="007B2C19" w:rsidRDefault="00C22B49"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255,254</w:t>
            </w:r>
          </w:p>
        </w:tc>
        <w:tc>
          <w:tcPr>
            <w:tcW w:w="1687" w:type="dxa"/>
          </w:tcPr>
          <w:p w14:paraId="6A2ABBCF" w14:textId="2DF961AB" w:rsidR="00F02870" w:rsidRDefault="0074643A"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1,053,856</w:t>
            </w:r>
          </w:p>
        </w:tc>
      </w:tr>
      <w:tr w:rsidR="00F02870" w:rsidRPr="00BB3C18" w14:paraId="3117F86E" w14:textId="77777777" w:rsidTr="00F02870">
        <w:tc>
          <w:tcPr>
            <w:tcW w:w="5001" w:type="dxa"/>
            <w:shd w:val="clear" w:color="auto" w:fill="auto"/>
          </w:tcPr>
          <w:p w14:paraId="314F1491" w14:textId="334D66FC" w:rsidR="00F02870" w:rsidRPr="00BB3C18" w:rsidRDefault="00F02870" w:rsidP="00F02870">
            <w:pPr>
              <w:spacing w:line="276" w:lineRule="auto"/>
              <w:ind w:hanging="108"/>
              <w:rPr>
                <w:rFonts w:asciiTheme="minorHAnsi" w:hAnsiTheme="minorHAnsi" w:cstheme="minorHAnsi"/>
                <w:sz w:val="20"/>
                <w:szCs w:val="20"/>
              </w:rPr>
            </w:pPr>
            <w:r>
              <w:rPr>
                <w:rFonts w:asciiTheme="minorHAnsi" w:hAnsiTheme="minorHAnsi" w:cstheme="minorHAnsi"/>
                <w:sz w:val="20"/>
                <w:szCs w:val="20"/>
              </w:rPr>
              <w:t>Other s</w:t>
            </w:r>
            <w:r w:rsidRPr="00BB3C18">
              <w:rPr>
                <w:rFonts w:asciiTheme="minorHAnsi" w:hAnsiTheme="minorHAnsi" w:cstheme="minorHAnsi"/>
                <w:sz w:val="20"/>
                <w:szCs w:val="20"/>
              </w:rPr>
              <w:t>upplies and external services</w:t>
            </w:r>
          </w:p>
        </w:tc>
        <w:tc>
          <w:tcPr>
            <w:tcW w:w="2793" w:type="dxa"/>
            <w:shd w:val="clear" w:color="auto" w:fill="auto"/>
          </w:tcPr>
          <w:p w14:paraId="41D4C6C2" w14:textId="1405C4BD" w:rsidR="00F02870" w:rsidRPr="008610CA" w:rsidRDefault="007326C8"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86,027</w:t>
            </w:r>
          </w:p>
        </w:tc>
        <w:tc>
          <w:tcPr>
            <w:tcW w:w="1687" w:type="dxa"/>
          </w:tcPr>
          <w:p w14:paraId="1AD9D047" w14:textId="2F4D169E" w:rsidR="00F02870" w:rsidRPr="00BB3C18" w:rsidRDefault="0074643A"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44</w:t>
            </w:r>
            <w:r w:rsidR="00540F01">
              <w:rPr>
                <w:rFonts w:asciiTheme="minorHAnsi" w:hAnsiTheme="minorHAnsi" w:cstheme="minorHAnsi"/>
                <w:sz w:val="20"/>
                <w:szCs w:val="20"/>
              </w:rPr>
              <w:t>4,473</w:t>
            </w:r>
          </w:p>
        </w:tc>
      </w:tr>
      <w:tr w:rsidR="00F02870" w:rsidRPr="00BB3C18" w14:paraId="064BFE87" w14:textId="77777777" w:rsidTr="00F02870">
        <w:tc>
          <w:tcPr>
            <w:tcW w:w="5001" w:type="dxa"/>
          </w:tcPr>
          <w:p w14:paraId="57B39575" w14:textId="38EC6CEB"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Staff costs</w:t>
            </w:r>
          </w:p>
        </w:tc>
        <w:tc>
          <w:tcPr>
            <w:tcW w:w="2793" w:type="dxa"/>
            <w:tcBorders>
              <w:bottom w:val="single" w:sz="4" w:space="0" w:color="auto"/>
            </w:tcBorders>
          </w:tcPr>
          <w:p w14:paraId="1F79915B" w14:textId="2EB91D4C" w:rsidR="00F02870" w:rsidRPr="008610CA" w:rsidRDefault="00C22B49"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687" w:type="dxa"/>
            <w:tcBorders>
              <w:bottom w:val="single" w:sz="4" w:space="0" w:color="auto"/>
            </w:tcBorders>
          </w:tcPr>
          <w:p w14:paraId="15CA2076" w14:textId="799DE8C4" w:rsidR="00F02870" w:rsidRPr="00BB3C18" w:rsidRDefault="0074643A"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1,164,975</w:t>
            </w:r>
          </w:p>
        </w:tc>
      </w:tr>
      <w:tr w:rsidR="007B2C19" w:rsidRPr="00BB3C18" w14:paraId="3E48B8B9" w14:textId="77777777" w:rsidTr="00F02870">
        <w:tc>
          <w:tcPr>
            <w:tcW w:w="5001" w:type="dxa"/>
            <w:tcBorders>
              <w:right w:val="single" w:sz="4" w:space="0" w:color="auto"/>
            </w:tcBorders>
          </w:tcPr>
          <w:p w14:paraId="2C70223D" w14:textId="19DCFF9A" w:rsidR="007B2C19" w:rsidRPr="00BB3C18" w:rsidRDefault="007B2C19" w:rsidP="007B2C19">
            <w:pPr>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Total operating expenses</w:t>
            </w:r>
          </w:p>
        </w:tc>
        <w:tc>
          <w:tcPr>
            <w:tcW w:w="2793" w:type="dxa"/>
            <w:tcBorders>
              <w:top w:val="single" w:sz="4" w:space="0" w:color="auto"/>
              <w:left w:val="single" w:sz="4" w:space="0" w:color="auto"/>
              <w:bottom w:val="single" w:sz="4" w:space="0" w:color="auto"/>
            </w:tcBorders>
          </w:tcPr>
          <w:p w14:paraId="64DE438B" w14:textId="25BC45BD" w:rsidR="007B2C19" w:rsidRPr="008610CA" w:rsidRDefault="007326C8" w:rsidP="007B2C19">
            <w:pPr>
              <w:spacing w:line="276" w:lineRule="auto"/>
              <w:jc w:val="right"/>
              <w:rPr>
                <w:rFonts w:asciiTheme="minorHAnsi" w:hAnsiTheme="minorHAnsi" w:cstheme="minorHAnsi"/>
                <w:b/>
                <w:sz w:val="20"/>
                <w:szCs w:val="20"/>
              </w:rPr>
            </w:pPr>
            <w:r>
              <w:rPr>
                <w:rFonts w:asciiTheme="minorHAnsi" w:hAnsiTheme="minorHAnsi" w:cstheme="minorHAnsi"/>
                <w:b/>
                <w:sz w:val="20"/>
                <w:szCs w:val="20"/>
              </w:rPr>
              <w:t>334,179</w:t>
            </w:r>
          </w:p>
        </w:tc>
        <w:tc>
          <w:tcPr>
            <w:tcW w:w="1687" w:type="dxa"/>
            <w:tcBorders>
              <w:top w:val="single" w:sz="4" w:space="0" w:color="auto"/>
              <w:bottom w:val="single" w:sz="4" w:space="0" w:color="auto"/>
              <w:right w:val="single" w:sz="4" w:space="0" w:color="auto"/>
            </w:tcBorders>
          </w:tcPr>
          <w:p w14:paraId="3DD20CFA" w14:textId="5A0114B0" w:rsidR="007B2C19" w:rsidRPr="00DF411F" w:rsidRDefault="0074643A" w:rsidP="007B2C19">
            <w:pPr>
              <w:spacing w:line="276" w:lineRule="auto"/>
              <w:jc w:val="right"/>
              <w:rPr>
                <w:rFonts w:asciiTheme="minorHAnsi" w:hAnsiTheme="minorHAnsi" w:cstheme="minorHAnsi"/>
                <w:bCs/>
                <w:sz w:val="20"/>
                <w:szCs w:val="20"/>
              </w:rPr>
            </w:pPr>
            <w:r>
              <w:rPr>
                <w:rFonts w:asciiTheme="minorHAnsi" w:hAnsiTheme="minorHAnsi" w:cstheme="minorHAnsi"/>
                <w:b/>
                <w:sz w:val="20"/>
                <w:szCs w:val="20"/>
              </w:rPr>
              <w:t>3,57</w:t>
            </w:r>
            <w:r w:rsidR="00540F01">
              <w:rPr>
                <w:rFonts w:asciiTheme="minorHAnsi" w:hAnsiTheme="minorHAnsi" w:cstheme="minorHAnsi"/>
                <w:b/>
                <w:sz w:val="20"/>
                <w:szCs w:val="20"/>
              </w:rPr>
              <w:t>5,091</w:t>
            </w:r>
          </w:p>
        </w:tc>
      </w:tr>
      <w:tr w:rsidR="00F02870" w:rsidRPr="00BB3C18" w14:paraId="642DB9DA" w14:textId="77777777" w:rsidTr="00F02870">
        <w:tc>
          <w:tcPr>
            <w:tcW w:w="5001" w:type="dxa"/>
          </w:tcPr>
          <w:p w14:paraId="2C3043E4" w14:textId="77777777" w:rsidR="00F02870"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Depreciation, amortisation and impairment of assets</w:t>
            </w:r>
          </w:p>
          <w:p w14:paraId="35A2B11C" w14:textId="1B2CF6DA" w:rsidR="007326C8" w:rsidRPr="00BB3C18" w:rsidRDefault="007326C8" w:rsidP="00F02870">
            <w:pPr>
              <w:spacing w:line="276" w:lineRule="auto"/>
              <w:ind w:hanging="108"/>
              <w:rPr>
                <w:rFonts w:asciiTheme="minorHAnsi" w:hAnsiTheme="minorHAnsi" w:cstheme="minorHAnsi"/>
                <w:sz w:val="20"/>
                <w:szCs w:val="20"/>
              </w:rPr>
            </w:pPr>
            <w:r>
              <w:rPr>
                <w:rFonts w:asciiTheme="minorHAnsi" w:hAnsiTheme="minorHAnsi" w:cstheme="minorHAnsi"/>
                <w:sz w:val="20"/>
                <w:szCs w:val="20"/>
              </w:rPr>
              <w:t>Writing down of subsidiary undertakings</w:t>
            </w:r>
          </w:p>
        </w:tc>
        <w:tc>
          <w:tcPr>
            <w:tcW w:w="2793" w:type="dxa"/>
            <w:tcBorders>
              <w:top w:val="single" w:sz="4" w:space="0" w:color="auto"/>
            </w:tcBorders>
          </w:tcPr>
          <w:p w14:paraId="2AE616F8" w14:textId="77777777" w:rsidR="00F02870" w:rsidRDefault="00E95A45"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p w14:paraId="3D715737" w14:textId="2568CA9D" w:rsidR="007326C8" w:rsidRDefault="007326C8"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(130,</w:t>
            </w:r>
            <w:r w:rsidR="001F2CB0">
              <w:rPr>
                <w:rFonts w:asciiTheme="minorHAnsi" w:hAnsiTheme="minorHAnsi" w:cstheme="minorHAnsi"/>
                <w:sz w:val="20"/>
                <w:szCs w:val="20"/>
              </w:rPr>
              <w:t>2</w:t>
            </w:r>
            <w:r>
              <w:rPr>
                <w:rFonts w:asciiTheme="minorHAnsi" w:hAnsiTheme="minorHAnsi" w:cstheme="minorHAnsi"/>
                <w:sz w:val="20"/>
                <w:szCs w:val="20"/>
              </w:rPr>
              <w:t>49)</w:t>
            </w:r>
          </w:p>
        </w:tc>
        <w:tc>
          <w:tcPr>
            <w:tcW w:w="1687" w:type="dxa"/>
            <w:tcBorders>
              <w:top w:val="single" w:sz="4" w:space="0" w:color="auto"/>
            </w:tcBorders>
          </w:tcPr>
          <w:p w14:paraId="6D25E592" w14:textId="42CC37F4" w:rsidR="00F02870" w:rsidRDefault="00F02870"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2,50</w:t>
            </w:r>
            <w:r w:rsidR="0074643A">
              <w:rPr>
                <w:rFonts w:asciiTheme="minorHAnsi" w:hAnsiTheme="minorHAnsi" w:cstheme="minorHAnsi"/>
                <w:sz w:val="20"/>
                <w:szCs w:val="20"/>
              </w:rPr>
              <w:t>4</w:t>
            </w:r>
          </w:p>
          <w:p w14:paraId="402B9CDE" w14:textId="70A74018" w:rsidR="007326C8" w:rsidRPr="008610CA" w:rsidRDefault="007326C8" w:rsidP="007326C8">
            <w:pPr>
              <w:spacing w:line="276" w:lineRule="auto"/>
              <w:jc w:val="right"/>
              <w:rPr>
                <w:rFonts w:asciiTheme="minorHAnsi" w:hAnsiTheme="minorHAnsi" w:cstheme="minorHAnsi"/>
                <w:bCs/>
                <w:sz w:val="20"/>
                <w:szCs w:val="20"/>
              </w:rPr>
            </w:pPr>
            <w:r>
              <w:rPr>
                <w:rFonts w:asciiTheme="minorHAnsi" w:hAnsiTheme="minorHAnsi" w:cstheme="minorHAnsi"/>
                <w:sz w:val="20"/>
                <w:szCs w:val="20"/>
              </w:rPr>
              <w:t>-</w:t>
            </w:r>
          </w:p>
        </w:tc>
      </w:tr>
      <w:tr w:rsidR="007B2C19" w:rsidRPr="00BB3C18" w14:paraId="77970B39" w14:textId="77777777" w:rsidTr="00F02870">
        <w:tc>
          <w:tcPr>
            <w:tcW w:w="5001" w:type="dxa"/>
            <w:tcBorders>
              <w:right w:val="single" w:sz="4" w:space="0" w:color="auto"/>
            </w:tcBorders>
          </w:tcPr>
          <w:p w14:paraId="3F1A36DB" w14:textId="471EB04F" w:rsidR="007B2C19" w:rsidRPr="00BB3C18" w:rsidRDefault="007B2C19" w:rsidP="007B2C19">
            <w:pPr>
              <w:spacing w:line="276" w:lineRule="auto"/>
              <w:ind w:hanging="108"/>
              <w:rPr>
                <w:rFonts w:asciiTheme="minorHAnsi" w:hAnsiTheme="minorHAnsi" w:cstheme="minorHAnsi"/>
                <w:b/>
                <w:sz w:val="20"/>
                <w:szCs w:val="20"/>
              </w:rPr>
            </w:pPr>
            <w:r>
              <w:rPr>
                <w:rFonts w:asciiTheme="minorHAnsi" w:hAnsiTheme="minorHAnsi" w:cstheme="minorHAnsi"/>
                <w:b/>
                <w:sz w:val="20"/>
                <w:szCs w:val="20"/>
              </w:rPr>
              <w:t>Total administrative expenses</w:t>
            </w:r>
          </w:p>
        </w:tc>
        <w:tc>
          <w:tcPr>
            <w:tcW w:w="2793" w:type="dxa"/>
            <w:tcBorders>
              <w:top w:val="single" w:sz="4" w:space="0" w:color="auto"/>
              <w:left w:val="single" w:sz="4" w:space="0" w:color="auto"/>
              <w:bottom w:val="single" w:sz="4" w:space="0" w:color="auto"/>
            </w:tcBorders>
          </w:tcPr>
          <w:p w14:paraId="6BB73564" w14:textId="2D55FEB6" w:rsidR="007B2C19" w:rsidRDefault="00584CFE" w:rsidP="007B2C19">
            <w:pPr>
              <w:spacing w:line="276" w:lineRule="auto"/>
              <w:jc w:val="right"/>
              <w:rPr>
                <w:rFonts w:asciiTheme="minorHAnsi" w:hAnsiTheme="minorHAnsi" w:cstheme="minorHAnsi"/>
                <w:b/>
                <w:sz w:val="20"/>
                <w:szCs w:val="20"/>
              </w:rPr>
            </w:pPr>
            <w:r>
              <w:rPr>
                <w:rFonts w:asciiTheme="minorHAnsi" w:hAnsiTheme="minorHAnsi" w:cstheme="minorHAnsi"/>
                <w:b/>
                <w:sz w:val="20"/>
                <w:szCs w:val="20"/>
              </w:rPr>
              <w:t>203,</w:t>
            </w:r>
            <w:r w:rsidR="007326C8">
              <w:rPr>
                <w:rFonts w:asciiTheme="minorHAnsi" w:hAnsiTheme="minorHAnsi" w:cstheme="minorHAnsi"/>
                <w:b/>
                <w:sz w:val="20"/>
                <w:szCs w:val="20"/>
              </w:rPr>
              <w:t>930</w:t>
            </w:r>
          </w:p>
        </w:tc>
        <w:tc>
          <w:tcPr>
            <w:tcW w:w="1687" w:type="dxa"/>
            <w:tcBorders>
              <w:top w:val="single" w:sz="4" w:space="0" w:color="auto"/>
              <w:bottom w:val="single" w:sz="4" w:space="0" w:color="auto"/>
              <w:right w:val="single" w:sz="4" w:space="0" w:color="auto"/>
            </w:tcBorders>
          </w:tcPr>
          <w:p w14:paraId="6E882241" w14:textId="5B0EA8DD" w:rsidR="007B2C19" w:rsidRPr="00DF411F" w:rsidRDefault="0074643A" w:rsidP="007B2C19">
            <w:pPr>
              <w:spacing w:line="276" w:lineRule="auto"/>
              <w:jc w:val="right"/>
              <w:rPr>
                <w:rFonts w:asciiTheme="minorHAnsi" w:hAnsiTheme="minorHAnsi" w:cstheme="minorHAnsi"/>
                <w:bCs/>
                <w:sz w:val="20"/>
                <w:szCs w:val="20"/>
              </w:rPr>
            </w:pPr>
            <w:r>
              <w:rPr>
                <w:rFonts w:asciiTheme="minorHAnsi" w:hAnsiTheme="minorHAnsi" w:cstheme="minorHAnsi"/>
                <w:b/>
                <w:sz w:val="20"/>
                <w:szCs w:val="20"/>
              </w:rPr>
              <w:t>3,57</w:t>
            </w:r>
            <w:r w:rsidR="00540F01">
              <w:rPr>
                <w:rFonts w:asciiTheme="minorHAnsi" w:hAnsiTheme="minorHAnsi" w:cstheme="minorHAnsi"/>
                <w:b/>
                <w:sz w:val="20"/>
                <w:szCs w:val="20"/>
              </w:rPr>
              <w:t>7,595</w:t>
            </w:r>
          </w:p>
        </w:tc>
      </w:tr>
      <w:tr w:rsidR="00F02870" w:rsidRPr="00BB3C18" w14:paraId="21A48FA7" w14:textId="77777777" w:rsidTr="00C22B49">
        <w:tc>
          <w:tcPr>
            <w:tcW w:w="5001" w:type="dxa"/>
          </w:tcPr>
          <w:p w14:paraId="093F6D43" w14:textId="78969465" w:rsidR="00F02870" w:rsidRPr="00BB3C18" w:rsidRDefault="00F02870" w:rsidP="00F02870">
            <w:pPr>
              <w:spacing w:line="276" w:lineRule="auto"/>
              <w:ind w:hanging="108"/>
              <w:rPr>
                <w:rFonts w:asciiTheme="minorHAnsi" w:hAnsiTheme="minorHAnsi" w:cstheme="minorHAnsi"/>
                <w:b/>
                <w:sz w:val="20"/>
                <w:szCs w:val="20"/>
              </w:rPr>
            </w:pPr>
            <w:r>
              <w:rPr>
                <w:rFonts w:asciiTheme="minorHAnsi" w:hAnsiTheme="minorHAnsi" w:cstheme="minorHAnsi"/>
                <w:sz w:val="20"/>
                <w:szCs w:val="20"/>
              </w:rPr>
              <w:t>Direct costs incurred in connection with EHGOF financing facility</w:t>
            </w:r>
          </w:p>
        </w:tc>
        <w:tc>
          <w:tcPr>
            <w:tcW w:w="2793" w:type="dxa"/>
            <w:tcBorders>
              <w:top w:val="single" w:sz="4" w:space="0" w:color="auto"/>
            </w:tcBorders>
          </w:tcPr>
          <w:p w14:paraId="614F4954" w14:textId="7E208947" w:rsidR="00F02870" w:rsidRPr="00FA6F7D" w:rsidRDefault="004E7C59" w:rsidP="00F02870">
            <w:pPr>
              <w:spacing w:line="276" w:lineRule="auto"/>
              <w:jc w:val="right"/>
              <w:rPr>
                <w:rFonts w:asciiTheme="minorHAnsi" w:hAnsiTheme="minorHAnsi" w:cstheme="minorHAnsi"/>
                <w:b/>
                <w:sz w:val="20"/>
                <w:szCs w:val="20"/>
                <w:highlight w:val="magenta"/>
              </w:rPr>
            </w:pPr>
            <w:r w:rsidRPr="004E7C59">
              <w:rPr>
                <w:rFonts w:asciiTheme="minorHAnsi" w:hAnsiTheme="minorHAnsi" w:cstheme="minorHAnsi"/>
                <w:b/>
                <w:sz w:val="20"/>
                <w:szCs w:val="20"/>
              </w:rPr>
              <w:t>585,000</w:t>
            </w:r>
          </w:p>
        </w:tc>
        <w:tc>
          <w:tcPr>
            <w:tcW w:w="1687" w:type="dxa"/>
            <w:tcBorders>
              <w:top w:val="single" w:sz="4" w:space="0" w:color="auto"/>
            </w:tcBorders>
          </w:tcPr>
          <w:p w14:paraId="39BCF8E1" w14:textId="387470C9" w:rsidR="00F02870" w:rsidRPr="00DF411F" w:rsidRDefault="0074643A" w:rsidP="00F02870">
            <w:pPr>
              <w:spacing w:line="276" w:lineRule="auto"/>
              <w:jc w:val="right"/>
              <w:rPr>
                <w:rFonts w:asciiTheme="minorHAnsi" w:hAnsiTheme="minorHAnsi" w:cstheme="minorHAnsi"/>
                <w:bCs/>
                <w:sz w:val="20"/>
                <w:szCs w:val="20"/>
              </w:rPr>
            </w:pPr>
            <w:r>
              <w:rPr>
                <w:rFonts w:asciiTheme="minorHAnsi" w:hAnsiTheme="minorHAnsi" w:cstheme="minorHAnsi"/>
                <w:b/>
                <w:sz w:val="20"/>
                <w:szCs w:val="20"/>
              </w:rPr>
              <w:t>70,000</w:t>
            </w:r>
          </w:p>
        </w:tc>
      </w:tr>
      <w:tr w:rsidR="00830DDE" w:rsidRPr="00BB3C18" w14:paraId="26D0C9BC" w14:textId="77777777" w:rsidTr="00C22B49">
        <w:tc>
          <w:tcPr>
            <w:tcW w:w="5001" w:type="dxa"/>
          </w:tcPr>
          <w:p w14:paraId="6F4F74FF" w14:textId="448872A5" w:rsidR="00830DDE" w:rsidRPr="00830DDE" w:rsidRDefault="00830DDE" w:rsidP="00F02870">
            <w:pPr>
              <w:spacing w:line="276" w:lineRule="auto"/>
              <w:ind w:hanging="108"/>
              <w:rPr>
                <w:rFonts w:asciiTheme="minorHAnsi" w:hAnsiTheme="minorHAnsi" w:cstheme="minorHAnsi"/>
                <w:bCs/>
                <w:sz w:val="20"/>
                <w:szCs w:val="20"/>
              </w:rPr>
            </w:pPr>
            <w:r w:rsidRPr="00830DDE">
              <w:rPr>
                <w:rFonts w:asciiTheme="minorHAnsi" w:hAnsiTheme="minorHAnsi" w:cstheme="minorHAnsi"/>
                <w:bCs/>
                <w:sz w:val="20"/>
                <w:szCs w:val="20"/>
              </w:rPr>
              <w:t>Other penalties</w:t>
            </w:r>
          </w:p>
        </w:tc>
        <w:tc>
          <w:tcPr>
            <w:tcW w:w="2793" w:type="dxa"/>
            <w:tcBorders>
              <w:bottom w:val="single" w:sz="4" w:space="0" w:color="auto"/>
            </w:tcBorders>
          </w:tcPr>
          <w:p w14:paraId="56484AF4" w14:textId="277B0C20" w:rsidR="00830DDE" w:rsidRPr="00FA6F7D" w:rsidRDefault="004E7C59" w:rsidP="00F02870">
            <w:pPr>
              <w:spacing w:line="276" w:lineRule="auto"/>
              <w:jc w:val="right"/>
              <w:rPr>
                <w:rFonts w:asciiTheme="minorHAnsi" w:hAnsiTheme="minorHAnsi" w:cstheme="minorHAnsi"/>
                <w:b/>
                <w:sz w:val="20"/>
                <w:szCs w:val="20"/>
                <w:highlight w:val="magenta"/>
              </w:rPr>
            </w:pPr>
            <w:r w:rsidRPr="004E7C59">
              <w:rPr>
                <w:rFonts w:asciiTheme="minorHAnsi" w:hAnsiTheme="minorHAnsi" w:cstheme="minorHAnsi"/>
                <w:b/>
                <w:sz w:val="20"/>
                <w:szCs w:val="20"/>
              </w:rPr>
              <w:t>-</w:t>
            </w:r>
          </w:p>
        </w:tc>
        <w:tc>
          <w:tcPr>
            <w:tcW w:w="1687" w:type="dxa"/>
            <w:tcBorders>
              <w:bottom w:val="single" w:sz="4" w:space="0" w:color="auto"/>
            </w:tcBorders>
          </w:tcPr>
          <w:p w14:paraId="2E705745" w14:textId="792C3768" w:rsidR="00830DDE" w:rsidRDefault="0074643A" w:rsidP="00F02870">
            <w:pPr>
              <w:spacing w:line="276" w:lineRule="auto"/>
              <w:jc w:val="right"/>
              <w:rPr>
                <w:rFonts w:asciiTheme="minorHAnsi" w:hAnsiTheme="minorHAnsi" w:cstheme="minorHAnsi"/>
                <w:b/>
                <w:sz w:val="20"/>
                <w:szCs w:val="20"/>
              </w:rPr>
            </w:pPr>
            <w:r>
              <w:rPr>
                <w:rFonts w:asciiTheme="minorHAnsi" w:hAnsiTheme="minorHAnsi" w:cstheme="minorHAnsi"/>
                <w:b/>
                <w:sz w:val="20"/>
                <w:szCs w:val="20"/>
              </w:rPr>
              <w:t>4,593,154</w:t>
            </w:r>
          </w:p>
        </w:tc>
      </w:tr>
      <w:tr w:rsidR="00F02870" w:rsidRPr="00BB3C18" w14:paraId="3B9B7829" w14:textId="77777777" w:rsidTr="00C22B49">
        <w:tc>
          <w:tcPr>
            <w:tcW w:w="5001" w:type="dxa"/>
            <w:tcBorders>
              <w:right w:val="single" w:sz="4" w:space="0" w:color="auto"/>
            </w:tcBorders>
          </w:tcPr>
          <w:p w14:paraId="319DFD66" w14:textId="21D277B6" w:rsidR="00F02870" w:rsidRPr="00BB3C18" w:rsidRDefault="00F02870" w:rsidP="00F02870">
            <w:pPr>
              <w:spacing w:line="276" w:lineRule="auto"/>
              <w:ind w:hanging="108"/>
              <w:rPr>
                <w:rFonts w:asciiTheme="minorHAnsi" w:hAnsiTheme="minorHAnsi" w:cstheme="minorHAnsi"/>
                <w:b/>
                <w:sz w:val="20"/>
                <w:szCs w:val="20"/>
              </w:rPr>
            </w:pPr>
          </w:p>
        </w:tc>
        <w:tc>
          <w:tcPr>
            <w:tcW w:w="2793" w:type="dxa"/>
            <w:tcBorders>
              <w:top w:val="single" w:sz="4" w:space="0" w:color="auto"/>
              <w:left w:val="single" w:sz="4" w:space="0" w:color="auto"/>
              <w:bottom w:val="single" w:sz="4" w:space="0" w:color="auto"/>
            </w:tcBorders>
          </w:tcPr>
          <w:p w14:paraId="150F0D9F" w14:textId="25A5D2B5" w:rsidR="00F02870" w:rsidRPr="008610CA" w:rsidRDefault="00B01DFD" w:rsidP="00F02870">
            <w:pPr>
              <w:spacing w:line="276" w:lineRule="auto"/>
              <w:jc w:val="right"/>
              <w:rPr>
                <w:rFonts w:asciiTheme="minorHAnsi" w:hAnsiTheme="minorHAnsi" w:cstheme="minorHAnsi"/>
                <w:b/>
                <w:sz w:val="20"/>
                <w:szCs w:val="20"/>
              </w:rPr>
            </w:pPr>
            <w:r>
              <w:rPr>
                <w:rFonts w:asciiTheme="minorHAnsi" w:hAnsiTheme="minorHAnsi" w:cstheme="minorHAnsi"/>
                <w:b/>
                <w:sz w:val="20"/>
                <w:szCs w:val="20"/>
              </w:rPr>
              <w:t>788,</w:t>
            </w:r>
            <w:r w:rsidR="007326C8">
              <w:rPr>
                <w:rFonts w:asciiTheme="minorHAnsi" w:hAnsiTheme="minorHAnsi" w:cstheme="minorHAnsi"/>
                <w:b/>
                <w:sz w:val="20"/>
                <w:szCs w:val="20"/>
              </w:rPr>
              <w:t>930</w:t>
            </w:r>
          </w:p>
        </w:tc>
        <w:tc>
          <w:tcPr>
            <w:tcW w:w="1687" w:type="dxa"/>
            <w:tcBorders>
              <w:top w:val="single" w:sz="4" w:space="0" w:color="auto"/>
              <w:bottom w:val="single" w:sz="4" w:space="0" w:color="auto"/>
              <w:right w:val="single" w:sz="4" w:space="0" w:color="auto"/>
            </w:tcBorders>
          </w:tcPr>
          <w:p w14:paraId="7D8A3EE3" w14:textId="2278D34F" w:rsidR="00F02870" w:rsidRPr="00DF411F" w:rsidRDefault="0074643A" w:rsidP="00F02870">
            <w:pPr>
              <w:spacing w:line="276" w:lineRule="auto"/>
              <w:jc w:val="right"/>
              <w:rPr>
                <w:rFonts w:asciiTheme="minorHAnsi" w:hAnsiTheme="minorHAnsi" w:cstheme="minorHAnsi"/>
                <w:bCs/>
                <w:sz w:val="20"/>
                <w:szCs w:val="20"/>
              </w:rPr>
            </w:pPr>
            <w:r>
              <w:rPr>
                <w:rFonts w:asciiTheme="minorHAnsi" w:hAnsiTheme="minorHAnsi" w:cstheme="minorHAnsi"/>
                <w:b/>
                <w:sz w:val="20"/>
                <w:szCs w:val="20"/>
              </w:rPr>
              <w:t>8,24</w:t>
            </w:r>
            <w:r w:rsidR="00540F01">
              <w:rPr>
                <w:rFonts w:asciiTheme="minorHAnsi" w:hAnsiTheme="minorHAnsi" w:cstheme="minorHAnsi"/>
                <w:b/>
                <w:sz w:val="20"/>
                <w:szCs w:val="20"/>
              </w:rPr>
              <w:t>0,749</w:t>
            </w:r>
          </w:p>
        </w:tc>
      </w:tr>
    </w:tbl>
    <w:p w14:paraId="0312F81A" w14:textId="2B290F1F" w:rsidR="005B7F66" w:rsidRPr="00BB3C18" w:rsidRDefault="00A62230" w:rsidP="00D118C2">
      <w:pPr>
        <w:pStyle w:val="ListParagraph"/>
        <w:keepNext/>
        <w:numPr>
          <w:ilvl w:val="0"/>
          <w:numId w:val="3"/>
        </w:numPr>
        <w:spacing w:before="240" w:line="276" w:lineRule="auto"/>
        <w:ind w:hanging="720"/>
        <w:contextualSpacing w:val="0"/>
        <w:jc w:val="both"/>
        <w:rPr>
          <w:rFonts w:asciiTheme="minorHAnsi" w:hAnsiTheme="minorHAnsi" w:cstheme="minorHAnsi"/>
          <w:b/>
          <w:sz w:val="20"/>
          <w:szCs w:val="20"/>
        </w:rPr>
      </w:pPr>
      <w:r w:rsidRPr="00BB3C18">
        <w:rPr>
          <w:rFonts w:asciiTheme="minorHAnsi" w:hAnsiTheme="minorHAnsi" w:cstheme="minorHAnsi"/>
          <w:b/>
          <w:sz w:val="20"/>
          <w:szCs w:val="20"/>
        </w:rPr>
        <w:t>Staff Costs</w:t>
      </w:r>
    </w:p>
    <w:tbl>
      <w:tblPr>
        <w:tblW w:w="9498" w:type="dxa"/>
        <w:tblInd w:w="567" w:type="dxa"/>
        <w:tblLayout w:type="fixed"/>
        <w:tblLook w:val="00A0" w:firstRow="1" w:lastRow="0" w:firstColumn="1" w:lastColumn="0" w:noHBand="0" w:noVBand="0"/>
      </w:tblPr>
      <w:tblGrid>
        <w:gridCol w:w="6233"/>
        <w:gridCol w:w="140"/>
        <w:gridCol w:w="11"/>
        <w:gridCol w:w="1519"/>
        <w:gridCol w:w="14"/>
        <w:gridCol w:w="21"/>
        <w:gridCol w:w="1543"/>
        <w:gridCol w:w="17"/>
      </w:tblGrid>
      <w:tr w:rsidR="00E73374" w:rsidRPr="00BB3C18" w14:paraId="5A10639C" w14:textId="77777777" w:rsidTr="00E97B27">
        <w:tc>
          <w:tcPr>
            <w:tcW w:w="6233" w:type="dxa"/>
          </w:tcPr>
          <w:p w14:paraId="74DF72C7" w14:textId="77777777" w:rsidR="00E73374" w:rsidRPr="00BB3C18" w:rsidRDefault="00E73374" w:rsidP="000B0042">
            <w:pPr>
              <w:keepNext/>
              <w:spacing w:line="276" w:lineRule="auto"/>
              <w:jc w:val="right"/>
              <w:rPr>
                <w:rFonts w:asciiTheme="minorHAnsi" w:hAnsiTheme="minorHAnsi" w:cstheme="minorHAnsi"/>
                <w:b/>
                <w:sz w:val="20"/>
                <w:szCs w:val="20"/>
              </w:rPr>
            </w:pPr>
          </w:p>
        </w:tc>
        <w:tc>
          <w:tcPr>
            <w:tcW w:w="1705" w:type="dxa"/>
            <w:gridSpan w:val="5"/>
          </w:tcPr>
          <w:p w14:paraId="7E42454D" w14:textId="77777777" w:rsidR="00DF411F" w:rsidRDefault="00DF411F" w:rsidP="000B0042">
            <w:pPr>
              <w:keepNext/>
              <w:spacing w:line="276" w:lineRule="auto"/>
              <w:ind w:left="-203"/>
              <w:jc w:val="right"/>
              <w:rPr>
                <w:rFonts w:asciiTheme="minorHAnsi" w:hAnsiTheme="minorHAnsi" w:cstheme="minorHAnsi"/>
                <w:b/>
                <w:sz w:val="20"/>
                <w:szCs w:val="20"/>
              </w:rPr>
            </w:pPr>
          </w:p>
          <w:p w14:paraId="1753CC02" w14:textId="1D1BF346" w:rsidR="00E73374" w:rsidRPr="00BB3C18" w:rsidRDefault="00DF411F" w:rsidP="000B0042">
            <w:pPr>
              <w:keepNext/>
              <w:spacing w:line="276" w:lineRule="auto"/>
              <w:ind w:left="-203"/>
              <w:jc w:val="right"/>
              <w:rPr>
                <w:rFonts w:asciiTheme="minorHAnsi" w:hAnsiTheme="minorHAnsi" w:cstheme="minorHAnsi"/>
                <w:b/>
                <w:sz w:val="20"/>
                <w:szCs w:val="20"/>
              </w:rPr>
            </w:pPr>
            <w:r>
              <w:rPr>
                <w:rFonts w:asciiTheme="minorHAnsi" w:hAnsiTheme="minorHAnsi" w:cstheme="minorHAnsi"/>
                <w:b/>
                <w:sz w:val="20"/>
                <w:szCs w:val="20"/>
              </w:rPr>
              <w:t>Year</w:t>
            </w:r>
            <w:r w:rsidR="00E73374" w:rsidRPr="00BB3C18">
              <w:rPr>
                <w:rFonts w:asciiTheme="minorHAnsi" w:hAnsiTheme="minorHAnsi" w:cstheme="minorHAnsi"/>
                <w:b/>
                <w:sz w:val="20"/>
                <w:szCs w:val="20"/>
              </w:rPr>
              <w:t xml:space="preserve"> ended</w:t>
            </w:r>
            <w:r w:rsidR="00E73374" w:rsidRPr="00BB3C18">
              <w:rPr>
                <w:rFonts w:asciiTheme="minorHAnsi" w:hAnsiTheme="minorHAnsi" w:cstheme="minorHAnsi"/>
                <w:b/>
                <w:sz w:val="20"/>
                <w:szCs w:val="20"/>
              </w:rPr>
              <w:br/>
              <w:t xml:space="preserve">30 June </w:t>
            </w:r>
          </w:p>
          <w:p w14:paraId="3B431F80" w14:textId="29008E68" w:rsidR="00E73374" w:rsidRPr="00BB3C18" w:rsidRDefault="00E73374" w:rsidP="000B0042">
            <w:pPr>
              <w:keepNext/>
              <w:spacing w:line="276" w:lineRule="auto"/>
              <w:ind w:left="-203"/>
              <w:jc w:val="right"/>
              <w:rPr>
                <w:rFonts w:asciiTheme="minorHAnsi" w:hAnsiTheme="minorHAnsi" w:cstheme="minorHAnsi"/>
                <w:sz w:val="20"/>
                <w:szCs w:val="20"/>
              </w:rPr>
            </w:pPr>
            <w:r w:rsidRPr="00BB3C18">
              <w:rPr>
                <w:rFonts w:asciiTheme="minorHAnsi" w:hAnsiTheme="minorHAnsi" w:cstheme="minorHAnsi"/>
                <w:b/>
                <w:sz w:val="20"/>
                <w:szCs w:val="20"/>
              </w:rPr>
              <w:t>20</w:t>
            </w:r>
            <w:r w:rsidR="00DF411F">
              <w:rPr>
                <w:rFonts w:asciiTheme="minorHAnsi" w:hAnsiTheme="minorHAnsi" w:cstheme="minorHAnsi"/>
                <w:b/>
                <w:sz w:val="20"/>
                <w:szCs w:val="20"/>
              </w:rPr>
              <w:t>2</w:t>
            </w:r>
            <w:r w:rsidR="0074643A">
              <w:rPr>
                <w:rFonts w:asciiTheme="minorHAnsi" w:hAnsiTheme="minorHAnsi" w:cstheme="minorHAnsi"/>
                <w:b/>
                <w:sz w:val="20"/>
                <w:szCs w:val="20"/>
              </w:rPr>
              <w:t>2</w:t>
            </w:r>
            <w:r w:rsidRPr="00BB3C18">
              <w:rPr>
                <w:rFonts w:asciiTheme="minorHAnsi" w:hAnsiTheme="minorHAnsi" w:cstheme="minorHAnsi"/>
                <w:b/>
                <w:sz w:val="20"/>
                <w:szCs w:val="20"/>
              </w:rPr>
              <w:br/>
              <w:t>£</w:t>
            </w:r>
          </w:p>
        </w:tc>
        <w:tc>
          <w:tcPr>
            <w:tcW w:w="1560" w:type="dxa"/>
            <w:gridSpan w:val="2"/>
          </w:tcPr>
          <w:p w14:paraId="7BD91AFB" w14:textId="77777777" w:rsidR="00F02870" w:rsidRDefault="00F02870" w:rsidP="000B0042">
            <w:pPr>
              <w:keepNext/>
              <w:spacing w:line="276" w:lineRule="auto"/>
              <w:ind w:right="-74"/>
              <w:jc w:val="right"/>
              <w:rPr>
                <w:rFonts w:asciiTheme="minorHAnsi" w:hAnsiTheme="minorHAnsi" w:cstheme="minorHAnsi"/>
                <w:b/>
                <w:sz w:val="20"/>
                <w:szCs w:val="20"/>
              </w:rPr>
            </w:pPr>
          </w:p>
          <w:p w14:paraId="191C37DC" w14:textId="344D6F14" w:rsidR="00E73374" w:rsidRPr="00BB3C18" w:rsidRDefault="00F02870" w:rsidP="000B0042">
            <w:pPr>
              <w:keepNext/>
              <w:spacing w:line="276" w:lineRule="auto"/>
              <w:ind w:right="-74"/>
              <w:jc w:val="right"/>
              <w:rPr>
                <w:rFonts w:asciiTheme="minorHAnsi" w:hAnsiTheme="minorHAnsi" w:cstheme="minorHAnsi"/>
                <w:b/>
                <w:sz w:val="20"/>
                <w:szCs w:val="20"/>
              </w:rPr>
            </w:pPr>
            <w:r>
              <w:rPr>
                <w:rFonts w:asciiTheme="minorHAnsi" w:hAnsiTheme="minorHAnsi" w:cstheme="minorHAnsi"/>
                <w:b/>
                <w:sz w:val="20"/>
                <w:szCs w:val="20"/>
              </w:rPr>
              <w:t>Year</w:t>
            </w:r>
            <w:r w:rsidR="00E73374" w:rsidRPr="00BB3C18">
              <w:rPr>
                <w:rFonts w:asciiTheme="minorHAnsi" w:hAnsiTheme="minorHAnsi" w:cstheme="minorHAnsi"/>
                <w:b/>
                <w:sz w:val="20"/>
                <w:szCs w:val="20"/>
              </w:rPr>
              <w:t xml:space="preserve"> ended</w:t>
            </w:r>
            <w:r w:rsidR="00E73374" w:rsidRPr="00BB3C18">
              <w:rPr>
                <w:rFonts w:asciiTheme="minorHAnsi" w:hAnsiTheme="minorHAnsi" w:cstheme="minorHAnsi"/>
                <w:b/>
                <w:sz w:val="20"/>
                <w:szCs w:val="20"/>
              </w:rPr>
              <w:br/>
              <w:t>3</w:t>
            </w:r>
            <w:r w:rsidR="00DF411F">
              <w:rPr>
                <w:rFonts w:asciiTheme="minorHAnsi" w:hAnsiTheme="minorHAnsi" w:cstheme="minorHAnsi"/>
                <w:b/>
                <w:sz w:val="20"/>
                <w:szCs w:val="20"/>
              </w:rPr>
              <w:t>0 June</w:t>
            </w:r>
            <w:r w:rsidR="00E73374" w:rsidRPr="00BB3C18">
              <w:rPr>
                <w:rFonts w:asciiTheme="minorHAnsi" w:hAnsiTheme="minorHAnsi" w:cstheme="minorHAnsi"/>
                <w:b/>
                <w:sz w:val="20"/>
                <w:szCs w:val="20"/>
              </w:rPr>
              <w:br/>
              <w:t>20</w:t>
            </w:r>
            <w:r>
              <w:rPr>
                <w:rFonts w:asciiTheme="minorHAnsi" w:hAnsiTheme="minorHAnsi" w:cstheme="minorHAnsi"/>
                <w:b/>
                <w:sz w:val="20"/>
                <w:szCs w:val="20"/>
              </w:rPr>
              <w:t>2</w:t>
            </w:r>
            <w:r w:rsidR="0074643A">
              <w:rPr>
                <w:rFonts w:asciiTheme="minorHAnsi" w:hAnsiTheme="minorHAnsi" w:cstheme="minorHAnsi"/>
                <w:b/>
                <w:sz w:val="20"/>
                <w:szCs w:val="20"/>
              </w:rPr>
              <w:t>1</w:t>
            </w:r>
          </w:p>
          <w:p w14:paraId="6A97BBE6" w14:textId="77777777" w:rsidR="00E73374" w:rsidRPr="00BB3C18" w:rsidRDefault="00E73374" w:rsidP="000B0042">
            <w:pPr>
              <w:keepNext/>
              <w:spacing w:line="276" w:lineRule="auto"/>
              <w:ind w:right="-74"/>
              <w:jc w:val="right"/>
              <w:rPr>
                <w:rFonts w:asciiTheme="minorHAnsi" w:hAnsiTheme="minorHAnsi" w:cstheme="minorHAnsi"/>
                <w:sz w:val="20"/>
                <w:szCs w:val="20"/>
              </w:rPr>
            </w:pPr>
            <w:r w:rsidRPr="00BB3C18">
              <w:rPr>
                <w:rFonts w:asciiTheme="minorHAnsi" w:hAnsiTheme="minorHAnsi" w:cstheme="minorHAnsi"/>
                <w:b/>
                <w:sz w:val="20"/>
                <w:szCs w:val="20"/>
              </w:rPr>
              <w:t>£</w:t>
            </w:r>
          </w:p>
        </w:tc>
      </w:tr>
      <w:tr w:rsidR="00E73374" w:rsidRPr="00BB3C18" w14:paraId="214377EE" w14:textId="77777777" w:rsidTr="00E97B27">
        <w:tc>
          <w:tcPr>
            <w:tcW w:w="6233" w:type="dxa"/>
          </w:tcPr>
          <w:p w14:paraId="0316948A" w14:textId="5D27E0D3" w:rsidR="00E73374" w:rsidRPr="00BB3C18" w:rsidRDefault="00E73374" w:rsidP="000B0042">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Staff costs (including directors) comprise:</w:t>
            </w:r>
          </w:p>
        </w:tc>
        <w:tc>
          <w:tcPr>
            <w:tcW w:w="1705" w:type="dxa"/>
            <w:gridSpan w:val="5"/>
          </w:tcPr>
          <w:p w14:paraId="144D2AB5" w14:textId="77777777" w:rsidR="00E73374" w:rsidRPr="00BB3C18" w:rsidRDefault="00E73374" w:rsidP="000B0042">
            <w:pPr>
              <w:spacing w:line="276" w:lineRule="auto"/>
              <w:jc w:val="right"/>
              <w:rPr>
                <w:rFonts w:asciiTheme="minorHAnsi" w:hAnsiTheme="minorHAnsi" w:cstheme="minorHAnsi"/>
                <w:sz w:val="20"/>
                <w:szCs w:val="20"/>
              </w:rPr>
            </w:pPr>
          </w:p>
        </w:tc>
        <w:tc>
          <w:tcPr>
            <w:tcW w:w="1560" w:type="dxa"/>
            <w:gridSpan w:val="2"/>
          </w:tcPr>
          <w:p w14:paraId="6F6C1A8D" w14:textId="5DE8DC03" w:rsidR="00E73374" w:rsidRPr="00BB3C18" w:rsidRDefault="00E73374" w:rsidP="000B0042">
            <w:pPr>
              <w:spacing w:line="276" w:lineRule="auto"/>
              <w:jc w:val="right"/>
              <w:rPr>
                <w:rFonts w:asciiTheme="minorHAnsi" w:hAnsiTheme="minorHAnsi" w:cstheme="minorHAnsi"/>
                <w:sz w:val="20"/>
                <w:szCs w:val="20"/>
              </w:rPr>
            </w:pPr>
          </w:p>
        </w:tc>
      </w:tr>
      <w:tr w:rsidR="00F02870" w:rsidRPr="00BB3C18" w14:paraId="545BC544" w14:textId="77777777" w:rsidTr="00E97B27">
        <w:tc>
          <w:tcPr>
            <w:tcW w:w="6233" w:type="dxa"/>
          </w:tcPr>
          <w:p w14:paraId="345C9DBC" w14:textId="65B40F3C"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Wages and salaries</w:t>
            </w:r>
          </w:p>
        </w:tc>
        <w:tc>
          <w:tcPr>
            <w:tcW w:w="1705" w:type="dxa"/>
            <w:gridSpan w:val="5"/>
          </w:tcPr>
          <w:p w14:paraId="601BF895" w14:textId="4D79C018" w:rsidR="00F02870" w:rsidRPr="0084283F" w:rsidRDefault="004E7C59"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gridSpan w:val="2"/>
          </w:tcPr>
          <w:p w14:paraId="2C1C4A51" w14:textId="2918B6BD" w:rsidR="00F02870" w:rsidRPr="00BB3C18" w:rsidRDefault="0074643A"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1,128,545</w:t>
            </w:r>
          </w:p>
        </w:tc>
      </w:tr>
      <w:tr w:rsidR="00F02870" w:rsidRPr="00BB3C18" w14:paraId="64A6042C" w14:textId="77777777" w:rsidTr="00E97B27">
        <w:tc>
          <w:tcPr>
            <w:tcW w:w="6233" w:type="dxa"/>
          </w:tcPr>
          <w:p w14:paraId="5FAB9240" w14:textId="73016C2A"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Defined contribution pension cost</w:t>
            </w:r>
          </w:p>
        </w:tc>
        <w:tc>
          <w:tcPr>
            <w:tcW w:w="1705" w:type="dxa"/>
            <w:gridSpan w:val="5"/>
          </w:tcPr>
          <w:p w14:paraId="54168534" w14:textId="5AA9CF3D" w:rsidR="00F02870" w:rsidRPr="0084283F" w:rsidRDefault="004E7C59"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gridSpan w:val="2"/>
          </w:tcPr>
          <w:p w14:paraId="7F010191" w14:textId="232A2B2F" w:rsidR="00F02870" w:rsidRPr="00BB3C18" w:rsidRDefault="0074643A"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(150)</w:t>
            </w:r>
          </w:p>
        </w:tc>
      </w:tr>
      <w:tr w:rsidR="00F02870" w:rsidRPr="00BB3C18" w14:paraId="636E8C19" w14:textId="77777777" w:rsidTr="00E97B27">
        <w:tc>
          <w:tcPr>
            <w:tcW w:w="6233" w:type="dxa"/>
          </w:tcPr>
          <w:p w14:paraId="7F888FE8" w14:textId="52D29442"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Social security contributions and similar taxes</w:t>
            </w:r>
          </w:p>
        </w:tc>
        <w:tc>
          <w:tcPr>
            <w:tcW w:w="1705" w:type="dxa"/>
            <w:gridSpan w:val="5"/>
          </w:tcPr>
          <w:p w14:paraId="3505C499" w14:textId="3451D9C2" w:rsidR="00F02870" w:rsidRPr="0084283F" w:rsidRDefault="004E7C59" w:rsidP="00F02870">
            <w:pPr>
              <w:spacing w:line="276" w:lineRule="auto"/>
              <w:ind w:firstLine="274"/>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gridSpan w:val="2"/>
          </w:tcPr>
          <w:p w14:paraId="3953EB16" w14:textId="3FD99A23" w:rsidR="00F02870" w:rsidRPr="00BB3C18" w:rsidRDefault="0074643A"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36,580</w:t>
            </w:r>
          </w:p>
        </w:tc>
      </w:tr>
      <w:tr w:rsidR="00E73374" w:rsidRPr="00BB3C18" w14:paraId="4973F958" w14:textId="77777777" w:rsidTr="00E97B27">
        <w:tc>
          <w:tcPr>
            <w:tcW w:w="6233" w:type="dxa"/>
            <w:tcBorders>
              <w:right w:val="single" w:sz="4" w:space="0" w:color="auto"/>
            </w:tcBorders>
          </w:tcPr>
          <w:p w14:paraId="322322CC" w14:textId="4C544034" w:rsidR="00E73374" w:rsidRPr="00BB3C18" w:rsidRDefault="00E73374" w:rsidP="000B0042">
            <w:pPr>
              <w:spacing w:line="276" w:lineRule="auto"/>
              <w:ind w:hanging="108"/>
              <w:rPr>
                <w:rFonts w:asciiTheme="minorHAnsi" w:hAnsiTheme="minorHAnsi" w:cstheme="minorHAnsi"/>
                <w:sz w:val="20"/>
                <w:szCs w:val="20"/>
                <w:highlight w:val="yellow"/>
              </w:rPr>
            </w:pPr>
          </w:p>
        </w:tc>
        <w:tc>
          <w:tcPr>
            <w:tcW w:w="1705" w:type="dxa"/>
            <w:gridSpan w:val="5"/>
            <w:tcBorders>
              <w:top w:val="single" w:sz="4" w:space="0" w:color="auto"/>
              <w:left w:val="single" w:sz="4" w:space="0" w:color="auto"/>
              <w:bottom w:val="single" w:sz="4" w:space="0" w:color="auto"/>
            </w:tcBorders>
          </w:tcPr>
          <w:p w14:paraId="08FAAEE0" w14:textId="1A4A184F" w:rsidR="00E73374" w:rsidRPr="0084283F" w:rsidRDefault="004E7C59" w:rsidP="000B0042">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gridSpan w:val="2"/>
            <w:tcBorders>
              <w:top w:val="single" w:sz="4" w:space="0" w:color="auto"/>
              <w:bottom w:val="single" w:sz="4" w:space="0" w:color="auto"/>
              <w:right w:val="single" w:sz="4" w:space="0" w:color="auto"/>
            </w:tcBorders>
          </w:tcPr>
          <w:p w14:paraId="141374C9" w14:textId="3488BB22" w:rsidR="00E73374" w:rsidRPr="00BB3C18" w:rsidRDefault="0074643A" w:rsidP="000B0042">
            <w:pPr>
              <w:spacing w:line="276" w:lineRule="auto"/>
              <w:jc w:val="right"/>
              <w:rPr>
                <w:rFonts w:asciiTheme="minorHAnsi" w:hAnsiTheme="minorHAnsi" w:cstheme="minorHAnsi"/>
                <w:sz w:val="20"/>
                <w:szCs w:val="20"/>
              </w:rPr>
            </w:pPr>
            <w:r>
              <w:rPr>
                <w:rFonts w:asciiTheme="minorHAnsi" w:hAnsiTheme="minorHAnsi" w:cstheme="minorHAnsi"/>
                <w:sz w:val="20"/>
                <w:szCs w:val="20"/>
              </w:rPr>
              <w:t>1,164,975</w:t>
            </w:r>
          </w:p>
        </w:tc>
      </w:tr>
      <w:tr w:rsidR="00E73374" w:rsidRPr="00BB3C18" w14:paraId="176EA943" w14:textId="77777777" w:rsidTr="00E97B27">
        <w:trPr>
          <w:gridAfter w:val="1"/>
          <w:wAfter w:w="17" w:type="dxa"/>
        </w:trPr>
        <w:tc>
          <w:tcPr>
            <w:tcW w:w="6373" w:type="dxa"/>
            <w:gridSpan w:val="2"/>
          </w:tcPr>
          <w:p w14:paraId="72EDEC54" w14:textId="424385EC" w:rsidR="00E73374" w:rsidRPr="00BB3C18" w:rsidRDefault="00E73374" w:rsidP="00E73374">
            <w:pPr>
              <w:keepNext/>
              <w:spacing w:line="276" w:lineRule="auto"/>
              <w:rPr>
                <w:rFonts w:asciiTheme="minorHAnsi" w:hAnsiTheme="minorHAnsi" w:cstheme="minorHAnsi"/>
                <w:b/>
                <w:sz w:val="20"/>
                <w:szCs w:val="20"/>
              </w:rPr>
            </w:pPr>
          </w:p>
        </w:tc>
        <w:tc>
          <w:tcPr>
            <w:tcW w:w="1530" w:type="dxa"/>
            <w:gridSpan w:val="2"/>
          </w:tcPr>
          <w:p w14:paraId="386EA6D5" w14:textId="2F0247BA" w:rsidR="00E73374" w:rsidRPr="00BB3C18" w:rsidRDefault="00E73374" w:rsidP="004E7C59">
            <w:pPr>
              <w:keepNext/>
              <w:spacing w:line="276" w:lineRule="auto"/>
              <w:rPr>
                <w:rFonts w:asciiTheme="minorHAnsi" w:hAnsiTheme="minorHAnsi" w:cstheme="minorHAnsi"/>
                <w:sz w:val="20"/>
                <w:szCs w:val="20"/>
              </w:rPr>
            </w:pPr>
          </w:p>
        </w:tc>
        <w:tc>
          <w:tcPr>
            <w:tcW w:w="1578" w:type="dxa"/>
            <w:gridSpan w:val="3"/>
          </w:tcPr>
          <w:p w14:paraId="776FCF3F" w14:textId="058688FC" w:rsidR="00E73374" w:rsidRPr="00BB3C18" w:rsidRDefault="00E73374" w:rsidP="00E73374">
            <w:pPr>
              <w:keepNext/>
              <w:spacing w:line="276" w:lineRule="auto"/>
              <w:ind w:right="-74"/>
              <w:jc w:val="right"/>
              <w:rPr>
                <w:rFonts w:asciiTheme="minorHAnsi" w:hAnsiTheme="minorHAnsi" w:cstheme="minorHAnsi"/>
                <w:b/>
                <w:sz w:val="20"/>
                <w:szCs w:val="20"/>
              </w:rPr>
            </w:pPr>
          </w:p>
        </w:tc>
      </w:tr>
      <w:tr w:rsidR="004C3CE0" w:rsidRPr="00BB3C18" w14:paraId="6F4E1D83" w14:textId="77777777" w:rsidTr="001F2CB0">
        <w:tc>
          <w:tcPr>
            <w:tcW w:w="6384" w:type="dxa"/>
            <w:gridSpan w:val="3"/>
          </w:tcPr>
          <w:p w14:paraId="047A9F9F" w14:textId="77777777" w:rsidR="004C3CE0" w:rsidRPr="00BB3C18" w:rsidRDefault="004C3CE0" w:rsidP="001F2CB0">
            <w:pPr>
              <w:keepNext/>
              <w:spacing w:line="276" w:lineRule="auto"/>
              <w:ind w:left="-105"/>
              <w:rPr>
                <w:rFonts w:asciiTheme="minorHAnsi" w:hAnsiTheme="minorHAnsi" w:cstheme="minorHAnsi"/>
                <w:b/>
                <w:sz w:val="20"/>
                <w:szCs w:val="20"/>
              </w:rPr>
            </w:pPr>
            <w:r w:rsidRPr="00BB3C18">
              <w:rPr>
                <w:rFonts w:asciiTheme="minorHAnsi" w:hAnsiTheme="minorHAnsi" w:cstheme="minorHAnsi"/>
                <w:b/>
                <w:sz w:val="20"/>
                <w:szCs w:val="20"/>
              </w:rPr>
              <w:t>Employee Numbers</w:t>
            </w:r>
          </w:p>
        </w:tc>
        <w:tc>
          <w:tcPr>
            <w:tcW w:w="1533" w:type="dxa"/>
            <w:gridSpan w:val="2"/>
          </w:tcPr>
          <w:p w14:paraId="6F4A4A76" w14:textId="77777777" w:rsidR="004C3CE0" w:rsidRPr="00BB3C18" w:rsidRDefault="004C3CE0" w:rsidP="00B24C11">
            <w:pPr>
              <w:keepNext/>
              <w:spacing w:line="276" w:lineRule="auto"/>
              <w:rPr>
                <w:rFonts w:asciiTheme="minorHAnsi" w:hAnsiTheme="minorHAnsi" w:cstheme="minorHAnsi"/>
                <w:sz w:val="20"/>
                <w:szCs w:val="20"/>
              </w:rPr>
            </w:pPr>
          </w:p>
        </w:tc>
        <w:tc>
          <w:tcPr>
            <w:tcW w:w="1581" w:type="dxa"/>
            <w:gridSpan w:val="3"/>
          </w:tcPr>
          <w:p w14:paraId="10177773" w14:textId="77777777" w:rsidR="004C3CE0" w:rsidRPr="00BB3C18" w:rsidRDefault="004C3CE0" w:rsidP="00B24C11">
            <w:pPr>
              <w:keepNext/>
              <w:spacing w:line="276" w:lineRule="auto"/>
              <w:ind w:right="-74"/>
              <w:jc w:val="right"/>
              <w:rPr>
                <w:rFonts w:asciiTheme="minorHAnsi" w:hAnsiTheme="minorHAnsi" w:cstheme="minorHAnsi"/>
                <w:b/>
                <w:sz w:val="20"/>
                <w:szCs w:val="20"/>
              </w:rPr>
            </w:pPr>
          </w:p>
        </w:tc>
      </w:tr>
      <w:tr w:rsidR="004C3CE0" w:rsidRPr="00BB3C18" w14:paraId="00226580" w14:textId="77777777" w:rsidTr="001F2CB0">
        <w:tc>
          <w:tcPr>
            <w:tcW w:w="9498" w:type="dxa"/>
            <w:gridSpan w:val="8"/>
          </w:tcPr>
          <w:p w14:paraId="22CF2746" w14:textId="77777777" w:rsidR="004C3CE0" w:rsidRPr="00BB3C18" w:rsidRDefault="004C3CE0" w:rsidP="001F2CB0">
            <w:pPr>
              <w:spacing w:line="276" w:lineRule="auto"/>
              <w:ind w:left="-105"/>
              <w:rPr>
                <w:rFonts w:asciiTheme="minorHAnsi" w:hAnsiTheme="minorHAnsi" w:cstheme="minorHAnsi"/>
                <w:sz w:val="20"/>
                <w:szCs w:val="20"/>
              </w:rPr>
            </w:pPr>
            <w:r w:rsidRPr="00BB3C18">
              <w:rPr>
                <w:rFonts w:asciiTheme="minorHAnsi" w:hAnsiTheme="minorHAnsi" w:cstheme="minorHAnsi"/>
                <w:sz w:val="20"/>
                <w:szCs w:val="20"/>
              </w:rPr>
              <w:t>The average number of staff employed by the group during the period amounted to:</w:t>
            </w:r>
          </w:p>
        </w:tc>
      </w:tr>
      <w:tr w:rsidR="004C3CE0" w:rsidRPr="00016D06" w14:paraId="12EF4582" w14:textId="77777777" w:rsidTr="001F2CB0">
        <w:tc>
          <w:tcPr>
            <w:tcW w:w="6384" w:type="dxa"/>
            <w:gridSpan w:val="3"/>
          </w:tcPr>
          <w:p w14:paraId="429C9466" w14:textId="77777777" w:rsidR="004C3CE0" w:rsidRPr="00BB3C18" w:rsidRDefault="004C3CE0" w:rsidP="001F2CB0">
            <w:pPr>
              <w:spacing w:line="276" w:lineRule="auto"/>
              <w:ind w:left="-105"/>
              <w:rPr>
                <w:rFonts w:asciiTheme="minorHAnsi" w:hAnsiTheme="minorHAnsi" w:cstheme="minorHAnsi"/>
                <w:sz w:val="20"/>
                <w:szCs w:val="20"/>
              </w:rPr>
            </w:pPr>
            <w:r w:rsidRPr="00BB3C18">
              <w:rPr>
                <w:rFonts w:asciiTheme="minorHAnsi" w:hAnsiTheme="minorHAnsi" w:cstheme="minorHAnsi"/>
                <w:sz w:val="20"/>
                <w:szCs w:val="20"/>
              </w:rPr>
              <w:t>General and administration</w:t>
            </w:r>
          </w:p>
        </w:tc>
        <w:tc>
          <w:tcPr>
            <w:tcW w:w="1533" w:type="dxa"/>
            <w:gridSpan w:val="2"/>
          </w:tcPr>
          <w:p w14:paraId="0BF5F00A" w14:textId="7183F530" w:rsidR="004C3CE0" w:rsidRPr="00016D06" w:rsidRDefault="001F2CB0" w:rsidP="00B24C11">
            <w:pPr>
              <w:spacing w:line="276" w:lineRule="auto"/>
              <w:jc w:val="right"/>
              <w:rPr>
                <w:rFonts w:asciiTheme="minorHAnsi" w:hAnsiTheme="minorHAnsi" w:cstheme="minorHAnsi"/>
                <w:sz w:val="20"/>
                <w:szCs w:val="20"/>
              </w:rPr>
            </w:pPr>
            <w:r>
              <w:rPr>
                <w:rFonts w:asciiTheme="minorHAnsi" w:hAnsiTheme="minorHAnsi" w:cstheme="minorHAnsi"/>
                <w:sz w:val="20"/>
                <w:szCs w:val="20"/>
              </w:rPr>
              <w:t>4</w:t>
            </w:r>
          </w:p>
        </w:tc>
        <w:tc>
          <w:tcPr>
            <w:tcW w:w="1581" w:type="dxa"/>
            <w:gridSpan w:val="3"/>
          </w:tcPr>
          <w:p w14:paraId="75066F78" w14:textId="66F283A6" w:rsidR="004C3CE0" w:rsidRPr="001F2CB0" w:rsidRDefault="00950989" w:rsidP="00B24C11">
            <w:pPr>
              <w:spacing w:line="276" w:lineRule="auto"/>
              <w:jc w:val="right"/>
              <w:rPr>
                <w:rFonts w:asciiTheme="minorHAnsi" w:hAnsiTheme="minorHAnsi" w:cstheme="minorHAnsi"/>
                <w:sz w:val="20"/>
                <w:szCs w:val="20"/>
              </w:rPr>
            </w:pPr>
            <w:r w:rsidRPr="001F2CB0">
              <w:rPr>
                <w:rFonts w:asciiTheme="minorHAnsi" w:hAnsiTheme="minorHAnsi" w:cstheme="minorHAnsi"/>
                <w:sz w:val="20"/>
                <w:szCs w:val="20"/>
              </w:rPr>
              <w:t>3</w:t>
            </w:r>
          </w:p>
        </w:tc>
      </w:tr>
      <w:tr w:rsidR="004C3CE0" w:rsidRPr="00016D06" w14:paraId="74AE0E01" w14:textId="77777777" w:rsidTr="001F2CB0">
        <w:tc>
          <w:tcPr>
            <w:tcW w:w="6384" w:type="dxa"/>
            <w:gridSpan w:val="3"/>
            <w:tcBorders>
              <w:right w:val="single" w:sz="4" w:space="0" w:color="auto"/>
            </w:tcBorders>
          </w:tcPr>
          <w:p w14:paraId="004A49E6" w14:textId="77777777" w:rsidR="004C3CE0" w:rsidRDefault="004C3CE0" w:rsidP="00B24C11">
            <w:pPr>
              <w:spacing w:line="276" w:lineRule="auto"/>
              <w:rPr>
                <w:rFonts w:asciiTheme="minorHAnsi" w:hAnsiTheme="minorHAnsi" w:cstheme="minorHAnsi"/>
                <w:sz w:val="20"/>
                <w:szCs w:val="20"/>
              </w:rPr>
            </w:pPr>
          </w:p>
          <w:p w14:paraId="3D019C7A" w14:textId="77777777" w:rsidR="004C3CE0" w:rsidRPr="00BB3C18" w:rsidRDefault="004C3CE0" w:rsidP="00B24C11">
            <w:pPr>
              <w:spacing w:line="276" w:lineRule="auto"/>
              <w:rPr>
                <w:rFonts w:asciiTheme="minorHAnsi" w:hAnsiTheme="minorHAnsi" w:cstheme="minorHAnsi"/>
                <w:sz w:val="20"/>
                <w:szCs w:val="20"/>
              </w:rPr>
            </w:pPr>
          </w:p>
        </w:tc>
        <w:tc>
          <w:tcPr>
            <w:tcW w:w="1533" w:type="dxa"/>
            <w:gridSpan w:val="2"/>
            <w:tcBorders>
              <w:top w:val="single" w:sz="4" w:space="0" w:color="auto"/>
              <w:left w:val="single" w:sz="4" w:space="0" w:color="auto"/>
              <w:bottom w:val="single" w:sz="4" w:space="0" w:color="auto"/>
            </w:tcBorders>
          </w:tcPr>
          <w:p w14:paraId="01DCB656" w14:textId="45E7AA3A" w:rsidR="004C3CE0" w:rsidRPr="00016D06" w:rsidRDefault="001F2CB0" w:rsidP="00B24C11">
            <w:pPr>
              <w:spacing w:line="276" w:lineRule="auto"/>
              <w:jc w:val="right"/>
              <w:rPr>
                <w:rFonts w:asciiTheme="minorHAnsi" w:hAnsiTheme="minorHAnsi" w:cstheme="minorHAnsi"/>
                <w:sz w:val="20"/>
                <w:szCs w:val="20"/>
              </w:rPr>
            </w:pPr>
            <w:r>
              <w:rPr>
                <w:rFonts w:asciiTheme="minorHAnsi" w:hAnsiTheme="minorHAnsi" w:cstheme="minorHAnsi"/>
                <w:sz w:val="20"/>
                <w:szCs w:val="20"/>
              </w:rPr>
              <w:t>4</w:t>
            </w:r>
          </w:p>
        </w:tc>
        <w:tc>
          <w:tcPr>
            <w:tcW w:w="1581" w:type="dxa"/>
            <w:gridSpan w:val="3"/>
            <w:tcBorders>
              <w:top w:val="single" w:sz="4" w:space="0" w:color="auto"/>
              <w:bottom w:val="single" w:sz="4" w:space="0" w:color="auto"/>
              <w:right w:val="single" w:sz="4" w:space="0" w:color="auto"/>
            </w:tcBorders>
          </w:tcPr>
          <w:p w14:paraId="0B4BC415" w14:textId="30A4C608" w:rsidR="004C3CE0" w:rsidRPr="001F2CB0" w:rsidRDefault="00950989" w:rsidP="00B24C11">
            <w:pPr>
              <w:spacing w:line="276" w:lineRule="auto"/>
              <w:jc w:val="right"/>
              <w:rPr>
                <w:rFonts w:asciiTheme="minorHAnsi" w:hAnsiTheme="minorHAnsi" w:cstheme="minorHAnsi"/>
                <w:sz w:val="20"/>
                <w:szCs w:val="20"/>
              </w:rPr>
            </w:pPr>
            <w:r w:rsidRPr="001F2CB0">
              <w:rPr>
                <w:rFonts w:asciiTheme="minorHAnsi" w:hAnsiTheme="minorHAnsi" w:cstheme="minorHAnsi"/>
                <w:sz w:val="20"/>
                <w:szCs w:val="20"/>
              </w:rPr>
              <w:t>3</w:t>
            </w:r>
          </w:p>
        </w:tc>
      </w:tr>
    </w:tbl>
    <w:p w14:paraId="3F490CE8" w14:textId="5810F294" w:rsidR="00E73374" w:rsidRPr="00BB3C18" w:rsidRDefault="00E73374" w:rsidP="00F15529">
      <w:pPr>
        <w:pStyle w:val="ListParagraph"/>
        <w:spacing w:before="120" w:line="320" w:lineRule="exact"/>
        <w:ind w:left="567"/>
        <w:contextualSpacing w:val="0"/>
        <w:jc w:val="both"/>
        <w:rPr>
          <w:rFonts w:asciiTheme="minorHAnsi" w:hAnsiTheme="minorHAnsi" w:cstheme="minorHAnsi"/>
          <w:b/>
          <w:sz w:val="20"/>
          <w:szCs w:val="20"/>
        </w:rPr>
      </w:pPr>
      <w:r w:rsidRPr="00BB3C18">
        <w:rPr>
          <w:rFonts w:asciiTheme="minorHAnsi" w:hAnsiTheme="minorHAnsi" w:cstheme="minorHAnsi"/>
          <w:b/>
          <w:sz w:val="20"/>
          <w:szCs w:val="20"/>
        </w:rPr>
        <w:t>Key management personnel compensation</w:t>
      </w:r>
    </w:p>
    <w:p w14:paraId="1EE85765" w14:textId="13AD8A30" w:rsidR="00E73374" w:rsidRPr="00BE0D83" w:rsidRDefault="00E73374" w:rsidP="001F2CB0">
      <w:pPr>
        <w:pStyle w:val="ListParagraph"/>
        <w:spacing w:before="120" w:line="320" w:lineRule="exact"/>
        <w:ind w:left="567" w:right="-438"/>
        <w:contextualSpacing w:val="0"/>
        <w:jc w:val="both"/>
        <w:rPr>
          <w:rFonts w:asciiTheme="minorHAnsi" w:hAnsiTheme="minorHAnsi" w:cstheme="minorHAnsi"/>
          <w:sz w:val="20"/>
          <w:szCs w:val="20"/>
        </w:rPr>
      </w:pPr>
      <w:r w:rsidRPr="00BB3C18">
        <w:rPr>
          <w:rFonts w:asciiTheme="minorHAnsi" w:hAnsiTheme="minorHAnsi" w:cstheme="minorHAnsi"/>
          <w:sz w:val="20"/>
          <w:szCs w:val="20"/>
        </w:rPr>
        <w:t xml:space="preserve">Key management personnel are those persons having authority and responsibility for planning, directing and </w:t>
      </w:r>
      <w:r w:rsidRPr="00BE0D83">
        <w:rPr>
          <w:rFonts w:asciiTheme="minorHAnsi" w:hAnsiTheme="minorHAnsi" w:cstheme="minorHAnsi"/>
          <w:sz w:val="20"/>
          <w:szCs w:val="20"/>
        </w:rPr>
        <w:t>controlling the activities, and are the directors of the company.</w:t>
      </w:r>
    </w:p>
    <w:p w14:paraId="039B17A0" w14:textId="39BE2245" w:rsidR="00E73374" w:rsidRDefault="00E73374" w:rsidP="001F2CB0">
      <w:pPr>
        <w:pStyle w:val="ListParagraph"/>
        <w:spacing w:before="120" w:line="320" w:lineRule="exact"/>
        <w:ind w:left="567" w:right="-438"/>
        <w:contextualSpacing w:val="0"/>
        <w:jc w:val="both"/>
        <w:rPr>
          <w:rFonts w:asciiTheme="minorHAnsi" w:hAnsiTheme="minorHAnsi" w:cstheme="minorHAnsi"/>
          <w:sz w:val="20"/>
          <w:szCs w:val="20"/>
        </w:rPr>
      </w:pPr>
      <w:r w:rsidRPr="00BE0D83">
        <w:rPr>
          <w:rFonts w:asciiTheme="minorHAnsi" w:hAnsiTheme="minorHAnsi" w:cstheme="minorHAnsi"/>
          <w:sz w:val="20"/>
          <w:szCs w:val="20"/>
        </w:rPr>
        <w:t xml:space="preserve">Remuneration of the directors and highest paid director is shown in the </w:t>
      </w:r>
      <w:r w:rsidR="001F2CB0">
        <w:rPr>
          <w:rFonts w:asciiTheme="minorHAnsi" w:hAnsiTheme="minorHAnsi" w:cstheme="minorHAnsi"/>
          <w:sz w:val="20"/>
          <w:szCs w:val="20"/>
        </w:rPr>
        <w:t>R</w:t>
      </w:r>
      <w:r w:rsidR="00F15529" w:rsidRPr="00BE0D83">
        <w:rPr>
          <w:rFonts w:asciiTheme="minorHAnsi" w:hAnsiTheme="minorHAnsi" w:cstheme="minorHAnsi"/>
          <w:sz w:val="20"/>
          <w:szCs w:val="20"/>
        </w:rPr>
        <w:t xml:space="preserve">emuneration </w:t>
      </w:r>
      <w:r w:rsidR="001F2CB0">
        <w:rPr>
          <w:rFonts w:asciiTheme="minorHAnsi" w:hAnsiTheme="minorHAnsi" w:cstheme="minorHAnsi"/>
          <w:sz w:val="20"/>
          <w:szCs w:val="20"/>
        </w:rPr>
        <w:t>C</w:t>
      </w:r>
      <w:r w:rsidR="00F15529" w:rsidRPr="00BE0D83">
        <w:rPr>
          <w:rFonts w:asciiTheme="minorHAnsi" w:hAnsiTheme="minorHAnsi" w:cstheme="minorHAnsi"/>
          <w:sz w:val="20"/>
          <w:szCs w:val="20"/>
        </w:rPr>
        <w:t xml:space="preserve">ommittee </w:t>
      </w:r>
      <w:r w:rsidR="001F2CB0">
        <w:rPr>
          <w:rFonts w:asciiTheme="minorHAnsi" w:hAnsiTheme="minorHAnsi" w:cstheme="minorHAnsi"/>
          <w:sz w:val="20"/>
          <w:szCs w:val="20"/>
        </w:rPr>
        <w:t xml:space="preserve">Report </w:t>
      </w:r>
      <w:r w:rsidR="00F15529" w:rsidRPr="00BE0D83">
        <w:rPr>
          <w:rFonts w:asciiTheme="minorHAnsi" w:hAnsiTheme="minorHAnsi" w:cstheme="minorHAnsi"/>
          <w:sz w:val="20"/>
          <w:szCs w:val="20"/>
        </w:rPr>
        <w:t xml:space="preserve">on page </w:t>
      </w:r>
      <w:r w:rsidR="002B7D69">
        <w:rPr>
          <w:rFonts w:asciiTheme="minorHAnsi" w:hAnsiTheme="minorHAnsi" w:cstheme="minorHAnsi"/>
          <w:sz w:val="20"/>
          <w:szCs w:val="20"/>
        </w:rPr>
        <w:t>18</w:t>
      </w:r>
      <w:r w:rsidRPr="00BE0D83">
        <w:rPr>
          <w:rFonts w:asciiTheme="minorHAnsi" w:hAnsiTheme="minorHAnsi" w:cstheme="minorHAnsi"/>
          <w:sz w:val="20"/>
          <w:szCs w:val="20"/>
        </w:rPr>
        <w:t>.</w:t>
      </w:r>
      <w:r w:rsidRPr="00BB3C18">
        <w:rPr>
          <w:rFonts w:asciiTheme="minorHAnsi" w:hAnsiTheme="minorHAnsi" w:cstheme="minorHAnsi"/>
          <w:sz w:val="20"/>
          <w:szCs w:val="20"/>
        </w:rPr>
        <w:t xml:space="preserve"> </w:t>
      </w:r>
    </w:p>
    <w:p w14:paraId="4E357CAB" w14:textId="77777777" w:rsidR="00D3747D" w:rsidRDefault="00D3747D" w:rsidP="001F2CB0">
      <w:pPr>
        <w:pStyle w:val="ListParagraph"/>
        <w:spacing w:before="120" w:line="320" w:lineRule="exact"/>
        <w:ind w:left="567" w:right="-438"/>
        <w:contextualSpacing w:val="0"/>
        <w:jc w:val="both"/>
        <w:rPr>
          <w:rFonts w:asciiTheme="minorHAnsi" w:hAnsiTheme="minorHAnsi" w:cstheme="minorHAnsi"/>
          <w:sz w:val="20"/>
          <w:szCs w:val="20"/>
        </w:rPr>
      </w:pPr>
    </w:p>
    <w:p w14:paraId="73009F5C" w14:textId="66BAEE15" w:rsidR="0089385A" w:rsidRPr="00253A91" w:rsidRDefault="0089385A" w:rsidP="001F2CB0">
      <w:pPr>
        <w:pStyle w:val="ListParagraph"/>
        <w:numPr>
          <w:ilvl w:val="0"/>
          <w:numId w:val="3"/>
        </w:numPr>
        <w:spacing w:before="240" w:line="320" w:lineRule="exact"/>
        <w:ind w:left="567" w:hanging="567"/>
        <w:jc w:val="both"/>
        <w:rPr>
          <w:rFonts w:asciiTheme="minorHAnsi" w:hAnsiTheme="minorHAnsi" w:cstheme="minorHAnsi"/>
          <w:b/>
          <w:sz w:val="20"/>
          <w:szCs w:val="20"/>
        </w:rPr>
      </w:pPr>
      <w:r w:rsidRPr="00253A91">
        <w:rPr>
          <w:rFonts w:asciiTheme="minorHAnsi" w:hAnsiTheme="minorHAnsi" w:cstheme="minorHAnsi"/>
          <w:b/>
          <w:sz w:val="20"/>
          <w:szCs w:val="20"/>
        </w:rPr>
        <w:t>Discontinued operations</w:t>
      </w:r>
    </w:p>
    <w:p w14:paraId="5D86B216" w14:textId="62AAC27E" w:rsidR="0075747C" w:rsidRPr="00BB3C18" w:rsidRDefault="00253A91" w:rsidP="0075747C">
      <w:pPr>
        <w:pStyle w:val="ListParagraph"/>
        <w:ind w:left="567"/>
        <w:contextualSpacing w:val="0"/>
        <w:jc w:val="both"/>
        <w:rPr>
          <w:rFonts w:asciiTheme="minorHAnsi" w:hAnsiTheme="minorHAnsi" w:cstheme="minorHAnsi"/>
          <w:sz w:val="20"/>
          <w:szCs w:val="20"/>
        </w:rPr>
      </w:pPr>
      <w:r w:rsidRPr="00253A91">
        <w:rPr>
          <w:rFonts w:asciiTheme="minorHAnsi" w:hAnsiTheme="minorHAnsi" w:cstheme="minorHAnsi"/>
          <w:sz w:val="20"/>
          <w:szCs w:val="20"/>
        </w:rPr>
        <w:t>In</w:t>
      </w:r>
      <w:r w:rsidR="00CE7036" w:rsidRPr="00253A91">
        <w:rPr>
          <w:rFonts w:asciiTheme="minorHAnsi" w:hAnsiTheme="minorHAnsi" w:cstheme="minorHAnsi"/>
          <w:sz w:val="20"/>
          <w:szCs w:val="20"/>
        </w:rPr>
        <w:t xml:space="preserve"> March 2019 the </w:t>
      </w:r>
      <w:r w:rsidR="0075747C" w:rsidRPr="00253A91">
        <w:rPr>
          <w:rFonts w:asciiTheme="minorHAnsi" w:hAnsiTheme="minorHAnsi" w:cstheme="minorHAnsi"/>
          <w:sz w:val="20"/>
          <w:szCs w:val="20"/>
        </w:rPr>
        <w:t>Board made the decision to discontinue the stem cell research operations.</w:t>
      </w:r>
      <w:r w:rsidR="00CE7036" w:rsidRPr="00253A91">
        <w:rPr>
          <w:rFonts w:asciiTheme="minorHAnsi" w:hAnsiTheme="minorHAnsi" w:cstheme="minorHAnsi"/>
          <w:sz w:val="20"/>
          <w:szCs w:val="20"/>
        </w:rPr>
        <w:t xml:space="preserve"> The operating loss until the date of discontinuation</w:t>
      </w:r>
      <w:r w:rsidR="0075747C" w:rsidRPr="00253A91">
        <w:rPr>
          <w:rFonts w:asciiTheme="minorHAnsi" w:hAnsiTheme="minorHAnsi" w:cstheme="minorHAnsi"/>
          <w:sz w:val="20"/>
          <w:szCs w:val="20"/>
        </w:rPr>
        <w:t xml:space="preserve"> of the operations </w:t>
      </w:r>
      <w:r w:rsidR="00CE7036" w:rsidRPr="00253A91">
        <w:rPr>
          <w:rFonts w:asciiTheme="minorHAnsi" w:hAnsiTheme="minorHAnsi" w:cstheme="minorHAnsi"/>
          <w:sz w:val="20"/>
          <w:szCs w:val="20"/>
        </w:rPr>
        <w:t>is summarised as follows:</w:t>
      </w:r>
    </w:p>
    <w:p w14:paraId="59309FAB" w14:textId="77777777" w:rsidR="0075747C" w:rsidRPr="00BB3C18" w:rsidRDefault="0075747C" w:rsidP="0075747C">
      <w:pPr>
        <w:pStyle w:val="ListParagraph"/>
        <w:ind w:left="567"/>
        <w:contextualSpacing w:val="0"/>
        <w:jc w:val="both"/>
        <w:rPr>
          <w:rFonts w:asciiTheme="minorHAnsi" w:hAnsiTheme="minorHAnsi" w:cstheme="minorHAnsi"/>
          <w:sz w:val="20"/>
          <w:szCs w:val="20"/>
        </w:rPr>
      </w:pPr>
    </w:p>
    <w:tbl>
      <w:tblPr>
        <w:tblW w:w="9498" w:type="dxa"/>
        <w:tblInd w:w="567" w:type="dxa"/>
        <w:tblLayout w:type="fixed"/>
        <w:tblLook w:val="00A0" w:firstRow="1" w:lastRow="0" w:firstColumn="1" w:lastColumn="0" w:noHBand="0" w:noVBand="0"/>
      </w:tblPr>
      <w:tblGrid>
        <w:gridCol w:w="6379"/>
        <w:gridCol w:w="1559"/>
        <w:gridCol w:w="1560"/>
      </w:tblGrid>
      <w:tr w:rsidR="00CE7036" w:rsidRPr="00BB3C18" w14:paraId="45AE0CC4" w14:textId="77777777" w:rsidTr="001E6E9D">
        <w:tc>
          <w:tcPr>
            <w:tcW w:w="6379" w:type="dxa"/>
            <w:shd w:val="clear" w:color="auto" w:fill="auto"/>
          </w:tcPr>
          <w:p w14:paraId="4E039A37" w14:textId="77777777" w:rsidR="00CE7036" w:rsidRPr="00BB3C18" w:rsidRDefault="00CE7036" w:rsidP="00C64695">
            <w:pPr>
              <w:spacing w:line="276" w:lineRule="auto"/>
              <w:ind w:hanging="108"/>
              <w:rPr>
                <w:rFonts w:asciiTheme="minorHAnsi" w:hAnsiTheme="minorHAnsi" w:cstheme="minorHAnsi"/>
                <w:b/>
                <w:sz w:val="20"/>
                <w:szCs w:val="20"/>
              </w:rPr>
            </w:pPr>
          </w:p>
        </w:tc>
        <w:tc>
          <w:tcPr>
            <w:tcW w:w="1559" w:type="dxa"/>
            <w:shd w:val="clear" w:color="auto" w:fill="auto"/>
          </w:tcPr>
          <w:p w14:paraId="0E9B94AD" w14:textId="77777777" w:rsidR="00E73D65" w:rsidRDefault="00E73D65" w:rsidP="00EC0CC2">
            <w:pPr>
              <w:keepNext/>
              <w:spacing w:line="276" w:lineRule="auto"/>
              <w:ind w:left="-203"/>
              <w:jc w:val="right"/>
              <w:rPr>
                <w:rFonts w:asciiTheme="minorHAnsi" w:hAnsiTheme="minorHAnsi" w:cstheme="minorHAnsi"/>
                <w:b/>
                <w:sz w:val="20"/>
                <w:szCs w:val="20"/>
              </w:rPr>
            </w:pPr>
          </w:p>
          <w:p w14:paraId="2BA77115" w14:textId="51005196" w:rsidR="00EC0CC2" w:rsidRPr="00BB3C18" w:rsidRDefault="00E73D65" w:rsidP="00EC0CC2">
            <w:pPr>
              <w:keepNext/>
              <w:spacing w:line="276" w:lineRule="auto"/>
              <w:ind w:left="-203"/>
              <w:jc w:val="right"/>
              <w:rPr>
                <w:rFonts w:asciiTheme="minorHAnsi" w:hAnsiTheme="minorHAnsi" w:cstheme="minorHAnsi"/>
                <w:b/>
                <w:sz w:val="20"/>
                <w:szCs w:val="20"/>
              </w:rPr>
            </w:pPr>
            <w:r>
              <w:rPr>
                <w:rFonts w:asciiTheme="minorHAnsi" w:hAnsiTheme="minorHAnsi" w:cstheme="minorHAnsi"/>
                <w:b/>
                <w:sz w:val="20"/>
                <w:szCs w:val="20"/>
              </w:rPr>
              <w:t>Year</w:t>
            </w:r>
            <w:r w:rsidR="00EC0CC2" w:rsidRPr="00BB3C18">
              <w:rPr>
                <w:rFonts w:asciiTheme="minorHAnsi" w:hAnsiTheme="minorHAnsi" w:cstheme="minorHAnsi"/>
                <w:b/>
                <w:sz w:val="20"/>
                <w:szCs w:val="20"/>
              </w:rPr>
              <w:t xml:space="preserve"> ended</w:t>
            </w:r>
            <w:r w:rsidR="00EC0CC2" w:rsidRPr="00BB3C18">
              <w:rPr>
                <w:rFonts w:asciiTheme="minorHAnsi" w:hAnsiTheme="minorHAnsi" w:cstheme="minorHAnsi"/>
                <w:b/>
                <w:sz w:val="20"/>
                <w:szCs w:val="20"/>
              </w:rPr>
              <w:br/>
              <w:t xml:space="preserve">30 June </w:t>
            </w:r>
          </w:p>
          <w:p w14:paraId="7B401E6C" w14:textId="1953E14D" w:rsidR="00CE7036" w:rsidRPr="00BB3C18" w:rsidRDefault="00CE7036" w:rsidP="00EC0CC2">
            <w:pPr>
              <w:spacing w:line="276" w:lineRule="auto"/>
              <w:jc w:val="right"/>
              <w:rPr>
                <w:rFonts w:asciiTheme="minorHAnsi" w:hAnsiTheme="minorHAnsi" w:cstheme="minorHAnsi"/>
                <w:b/>
                <w:sz w:val="20"/>
                <w:szCs w:val="20"/>
              </w:rPr>
            </w:pPr>
            <w:r w:rsidRPr="00BB3C18">
              <w:rPr>
                <w:rFonts w:asciiTheme="minorHAnsi" w:hAnsiTheme="minorHAnsi" w:cstheme="minorHAnsi"/>
                <w:b/>
                <w:sz w:val="20"/>
                <w:szCs w:val="20"/>
              </w:rPr>
              <w:t>20</w:t>
            </w:r>
            <w:r w:rsidR="00E73D65">
              <w:rPr>
                <w:rFonts w:asciiTheme="minorHAnsi" w:hAnsiTheme="minorHAnsi" w:cstheme="minorHAnsi"/>
                <w:b/>
                <w:sz w:val="20"/>
                <w:szCs w:val="20"/>
              </w:rPr>
              <w:t>2</w:t>
            </w:r>
            <w:r w:rsidR="00016D06">
              <w:rPr>
                <w:rFonts w:asciiTheme="minorHAnsi" w:hAnsiTheme="minorHAnsi" w:cstheme="minorHAnsi"/>
                <w:b/>
                <w:sz w:val="20"/>
                <w:szCs w:val="20"/>
              </w:rPr>
              <w:t>2</w:t>
            </w:r>
          </w:p>
        </w:tc>
        <w:tc>
          <w:tcPr>
            <w:tcW w:w="1560" w:type="dxa"/>
          </w:tcPr>
          <w:p w14:paraId="4B45F9A0" w14:textId="77777777" w:rsidR="00F02870" w:rsidRDefault="00F02870" w:rsidP="007D7334">
            <w:pPr>
              <w:spacing w:line="276" w:lineRule="auto"/>
              <w:ind w:left="-58"/>
              <w:jc w:val="right"/>
              <w:rPr>
                <w:rFonts w:asciiTheme="minorHAnsi" w:hAnsiTheme="minorHAnsi" w:cstheme="minorHAnsi"/>
                <w:b/>
                <w:sz w:val="20"/>
                <w:szCs w:val="20"/>
              </w:rPr>
            </w:pPr>
          </w:p>
          <w:p w14:paraId="15814A74" w14:textId="3A58C47C" w:rsidR="00243B47" w:rsidRDefault="00F02870" w:rsidP="007D7334">
            <w:pPr>
              <w:spacing w:line="276" w:lineRule="auto"/>
              <w:ind w:left="-58"/>
              <w:jc w:val="right"/>
              <w:rPr>
                <w:rFonts w:asciiTheme="minorHAnsi" w:hAnsiTheme="minorHAnsi" w:cstheme="minorHAnsi"/>
                <w:b/>
                <w:sz w:val="20"/>
                <w:szCs w:val="20"/>
              </w:rPr>
            </w:pPr>
            <w:r>
              <w:rPr>
                <w:rFonts w:asciiTheme="minorHAnsi" w:hAnsiTheme="minorHAnsi" w:cstheme="minorHAnsi"/>
                <w:b/>
                <w:sz w:val="20"/>
                <w:szCs w:val="20"/>
              </w:rPr>
              <w:t>Year</w:t>
            </w:r>
            <w:r w:rsidR="00EC0CC2" w:rsidRPr="00BB3C18">
              <w:rPr>
                <w:rFonts w:asciiTheme="minorHAnsi" w:hAnsiTheme="minorHAnsi" w:cstheme="minorHAnsi"/>
                <w:b/>
                <w:sz w:val="20"/>
                <w:szCs w:val="20"/>
              </w:rPr>
              <w:t xml:space="preserve"> ended</w:t>
            </w:r>
            <w:r w:rsidR="00EC0CC2" w:rsidRPr="00BB3C18">
              <w:rPr>
                <w:rFonts w:asciiTheme="minorHAnsi" w:hAnsiTheme="minorHAnsi" w:cstheme="minorHAnsi"/>
                <w:b/>
                <w:sz w:val="20"/>
                <w:szCs w:val="20"/>
              </w:rPr>
              <w:br/>
              <w:t>3</w:t>
            </w:r>
            <w:r w:rsidR="00243B47">
              <w:rPr>
                <w:rFonts w:asciiTheme="minorHAnsi" w:hAnsiTheme="minorHAnsi" w:cstheme="minorHAnsi"/>
                <w:b/>
                <w:sz w:val="20"/>
                <w:szCs w:val="20"/>
              </w:rPr>
              <w:t>0</w:t>
            </w:r>
            <w:r w:rsidR="00EC0CC2" w:rsidRPr="00BB3C18">
              <w:rPr>
                <w:rFonts w:asciiTheme="minorHAnsi" w:hAnsiTheme="minorHAnsi" w:cstheme="minorHAnsi"/>
                <w:b/>
                <w:sz w:val="20"/>
                <w:szCs w:val="20"/>
              </w:rPr>
              <w:t xml:space="preserve"> </w:t>
            </w:r>
            <w:r w:rsidR="00243B47">
              <w:rPr>
                <w:rFonts w:asciiTheme="minorHAnsi" w:hAnsiTheme="minorHAnsi" w:cstheme="minorHAnsi"/>
                <w:b/>
                <w:sz w:val="20"/>
                <w:szCs w:val="20"/>
              </w:rPr>
              <w:t>June</w:t>
            </w:r>
            <w:r w:rsidR="00EC0CC2" w:rsidRPr="00BB3C18">
              <w:rPr>
                <w:rFonts w:asciiTheme="minorHAnsi" w:hAnsiTheme="minorHAnsi" w:cstheme="minorHAnsi"/>
                <w:b/>
                <w:sz w:val="20"/>
                <w:szCs w:val="20"/>
              </w:rPr>
              <w:t xml:space="preserve"> </w:t>
            </w:r>
          </w:p>
          <w:p w14:paraId="65DC0B65" w14:textId="3E9075CF" w:rsidR="00CE7036" w:rsidRPr="00BB3C18" w:rsidRDefault="00CE7036" w:rsidP="007D7334">
            <w:pPr>
              <w:spacing w:line="276" w:lineRule="auto"/>
              <w:ind w:left="-58"/>
              <w:jc w:val="right"/>
              <w:rPr>
                <w:rFonts w:asciiTheme="minorHAnsi" w:hAnsiTheme="minorHAnsi" w:cstheme="minorHAnsi"/>
                <w:b/>
                <w:sz w:val="20"/>
                <w:szCs w:val="20"/>
              </w:rPr>
            </w:pPr>
            <w:r w:rsidRPr="00BB3C18">
              <w:rPr>
                <w:rFonts w:asciiTheme="minorHAnsi" w:hAnsiTheme="minorHAnsi" w:cstheme="minorHAnsi"/>
                <w:b/>
                <w:sz w:val="20"/>
                <w:szCs w:val="20"/>
              </w:rPr>
              <w:t>20</w:t>
            </w:r>
            <w:r w:rsidR="00F02870">
              <w:rPr>
                <w:rFonts w:asciiTheme="minorHAnsi" w:hAnsiTheme="minorHAnsi" w:cstheme="minorHAnsi"/>
                <w:b/>
                <w:sz w:val="20"/>
                <w:szCs w:val="20"/>
              </w:rPr>
              <w:t>2</w:t>
            </w:r>
            <w:r w:rsidR="00016D06">
              <w:rPr>
                <w:rFonts w:asciiTheme="minorHAnsi" w:hAnsiTheme="minorHAnsi" w:cstheme="minorHAnsi"/>
                <w:b/>
                <w:sz w:val="20"/>
                <w:szCs w:val="20"/>
              </w:rPr>
              <w:t>1</w:t>
            </w:r>
          </w:p>
        </w:tc>
      </w:tr>
      <w:tr w:rsidR="0089385A" w:rsidRPr="00BB3C18" w14:paraId="78D55CB3" w14:textId="77777777" w:rsidTr="001E6E9D">
        <w:tc>
          <w:tcPr>
            <w:tcW w:w="6379" w:type="dxa"/>
            <w:shd w:val="clear" w:color="auto" w:fill="auto"/>
          </w:tcPr>
          <w:p w14:paraId="02C639CE" w14:textId="7F2F325E" w:rsidR="0089385A" w:rsidRPr="00BB3C18" w:rsidRDefault="0089385A" w:rsidP="00C64695">
            <w:pPr>
              <w:spacing w:line="276" w:lineRule="auto"/>
              <w:ind w:hanging="108"/>
              <w:rPr>
                <w:rFonts w:asciiTheme="minorHAnsi" w:hAnsiTheme="minorHAnsi" w:cstheme="minorHAnsi"/>
                <w:b/>
                <w:sz w:val="20"/>
                <w:szCs w:val="20"/>
              </w:rPr>
            </w:pPr>
          </w:p>
        </w:tc>
        <w:tc>
          <w:tcPr>
            <w:tcW w:w="1559" w:type="dxa"/>
            <w:shd w:val="clear" w:color="auto" w:fill="auto"/>
          </w:tcPr>
          <w:p w14:paraId="09A45195" w14:textId="77777777" w:rsidR="0089385A" w:rsidRPr="00BB3C18" w:rsidRDefault="0089385A" w:rsidP="00C64695">
            <w:pPr>
              <w:spacing w:line="276" w:lineRule="auto"/>
              <w:jc w:val="right"/>
              <w:rPr>
                <w:rFonts w:asciiTheme="minorHAnsi" w:hAnsiTheme="minorHAnsi" w:cstheme="minorHAnsi"/>
                <w:b/>
                <w:sz w:val="20"/>
                <w:szCs w:val="20"/>
              </w:rPr>
            </w:pPr>
            <w:r w:rsidRPr="00BB3C18">
              <w:rPr>
                <w:rFonts w:asciiTheme="minorHAnsi" w:hAnsiTheme="minorHAnsi" w:cstheme="minorHAnsi"/>
                <w:b/>
                <w:sz w:val="20"/>
                <w:szCs w:val="20"/>
              </w:rPr>
              <w:t>£</w:t>
            </w:r>
          </w:p>
        </w:tc>
        <w:tc>
          <w:tcPr>
            <w:tcW w:w="1560" w:type="dxa"/>
          </w:tcPr>
          <w:p w14:paraId="7FDA6804" w14:textId="77777777" w:rsidR="0089385A" w:rsidRPr="00BB3C18" w:rsidRDefault="0089385A" w:rsidP="007D7334">
            <w:pPr>
              <w:spacing w:line="276" w:lineRule="auto"/>
              <w:ind w:left="-58"/>
              <w:jc w:val="right"/>
              <w:rPr>
                <w:rFonts w:asciiTheme="minorHAnsi" w:hAnsiTheme="minorHAnsi" w:cstheme="minorHAnsi"/>
                <w:b/>
                <w:sz w:val="20"/>
                <w:szCs w:val="20"/>
              </w:rPr>
            </w:pPr>
            <w:r w:rsidRPr="00BB3C18">
              <w:rPr>
                <w:rFonts w:asciiTheme="minorHAnsi" w:hAnsiTheme="minorHAnsi" w:cstheme="minorHAnsi"/>
                <w:b/>
                <w:sz w:val="20"/>
                <w:szCs w:val="20"/>
              </w:rPr>
              <w:t>£</w:t>
            </w:r>
          </w:p>
        </w:tc>
      </w:tr>
      <w:tr w:rsidR="00F02870" w:rsidRPr="00BB3C18" w14:paraId="799F6B45" w14:textId="77777777" w:rsidTr="001E6E9D">
        <w:tc>
          <w:tcPr>
            <w:tcW w:w="6379" w:type="dxa"/>
            <w:shd w:val="clear" w:color="auto" w:fill="auto"/>
          </w:tcPr>
          <w:p w14:paraId="0897044D" w14:textId="761A882E"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Administrative expenses</w:t>
            </w:r>
            <w:r>
              <w:rPr>
                <w:rFonts w:asciiTheme="minorHAnsi" w:hAnsiTheme="minorHAnsi" w:cstheme="minorHAnsi"/>
                <w:sz w:val="20"/>
                <w:szCs w:val="20"/>
              </w:rPr>
              <w:t xml:space="preserve"> – write back of creditor balances</w:t>
            </w:r>
          </w:p>
        </w:tc>
        <w:tc>
          <w:tcPr>
            <w:tcW w:w="1559" w:type="dxa"/>
            <w:shd w:val="clear" w:color="auto" w:fill="auto"/>
          </w:tcPr>
          <w:p w14:paraId="248CA7C9" w14:textId="31C32722" w:rsidR="00F02870" w:rsidRPr="0084283F" w:rsidRDefault="00016D06"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tcPr>
          <w:p w14:paraId="430D8B22" w14:textId="2841EC87" w:rsidR="00F02870" w:rsidRPr="00BB3C18" w:rsidRDefault="00016D06" w:rsidP="00F02870">
            <w:pPr>
              <w:spacing w:line="276" w:lineRule="auto"/>
              <w:ind w:left="-58"/>
              <w:jc w:val="right"/>
              <w:rPr>
                <w:rFonts w:asciiTheme="minorHAnsi" w:hAnsiTheme="minorHAnsi" w:cstheme="minorHAnsi"/>
                <w:sz w:val="20"/>
                <w:szCs w:val="20"/>
              </w:rPr>
            </w:pPr>
            <w:r>
              <w:rPr>
                <w:rFonts w:asciiTheme="minorHAnsi" w:hAnsiTheme="minorHAnsi" w:cstheme="minorHAnsi"/>
                <w:sz w:val="20"/>
                <w:szCs w:val="20"/>
              </w:rPr>
              <w:t>(</w:t>
            </w:r>
            <w:r w:rsidR="00E04BED">
              <w:rPr>
                <w:rFonts w:asciiTheme="minorHAnsi" w:hAnsiTheme="minorHAnsi" w:cstheme="minorHAnsi"/>
                <w:sz w:val="20"/>
                <w:szCs w:val="20"/>
              </w:rPr>
              <w:t>3,673</w:t>
            </w:r>
            <w:r>
              <w:rPr>
                <w:rFonts w:asciiTheme="minorHAnsi" w:hAnsiTheme="minorHAnsi" w:cstheme="minorHAnsi"/>
                <w:sz w:val="20"/>
                <w:szCs w:val="20"/>
              </w:rPr>
              <w:t>)</w:t>
            </w:r>
          </w:p>
        </w:tc>
      </w:tr>
      <w:tr w:rsidR="00F02870" w:rsidRPr="00BB3C18" w14:paraId="014C3CA5" w14:textId="77777777" w:rsidTr="001E6E9D">
        <w:tc>
          <w:tcPr>
            <w:tcW w:w="6379" w:type="dxa"/>
            <w:shd w:val="clear" w:color="auto" w:fill="auto"/>
          </w:tcPr>
          <w:p w14:paraId="076CAFBA" w14:textId="1EA85155" w:rsidR="00F02870" w:rsidRPr="00BB3C18" w:rsidRDefault="00F02870" w:rsidP="00F02870">
            <w:pPr>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 xml:space="preserve">Operating </w:t>
            </w:r>
            <w:r>
              <w:rPr>
                <w:rFonts w:asciiTheme="minorHAnsi" w:hAnsiTheme="minorHAnsi" w:cstheme="minorHAnsi"/>
                <w:b/>
                <w:sz w:val="20"/>
                <w:szCs w:val="20"/>
              </w:rPr>
              <w:t>profit/(</w:t>
            </w:r>
            <w:r w:rsidRPr="00BB3C18">
              <w:rPr>
                <w:rFonts w:asciiTheme="minorHAnsi" w:hAnsiTheme="minorHAnsi" w:cstheme="minorHAnsi"/>
                <w:b/>
                <w:sz w:val="20"/>
                <w:szCs w:val="20"/>
              </w:rPr>
              <w:t>loss</w:t>
            </w:r>
            <w:r>
              <w:rPr>
                <w:rFonts w:asciiTheme="minorHAnsi" w:hAnsiTheme="minorHAnsi" w:cstheme="minorHAnsi"/>
                <w:b/>
                <w:sz w:val="20"/>
                <w:szCs w:val="20"/>
              </w:rPr>
              <w:t>)</w:t>
            </w:r>
          </w:p>
        </w:tc>
        <w:tc>
          <w:tcPr>
            <w:tcW w:w="1559" w:type="dxa"/>
            <w:tcBorders>
              <w:top w:val="single" w:sz="4" w:space="0" w:color="auto"/>
            </w:tcBorders>
            <w:shd w:val="clear" w:color="auto" w:fill="auto"/>
          </w:tcPr>
          <w:p w14:paraId="6F9E2B4A" w14:textId="56322E9E" w:rsidR="00F02870" w:rsidRPr="0084283F" w:rsidRDefault="00016D06"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tcBorders>
              <w:top w:val="single" w:sz="4" w:space="0" w:color="auto"/>
            </w:tcBorders>
          </w:tcPr>
          <w:p w14:paraId="21EFA2FB" w14:textId="59878E30" w:rsidR="00F02870" w:rsidRPr="00BB3C18" w:rsidRDefault="00016D06" w:rsidP="00F02870">
            <w:pPr>
              <w:spacing w:line="276" w:lineRule="auto"/>
              <w:ind w:left="-58"/>
              <w:jc w:val="right"/>
              <w:rPr>
                <w:rFonts w:asciiTheme="minorHAnsi" w:hAnsiTheme="minorHAnsi" w:cstheme="minorHAnsi"/>
                <w:sz w:val="20"/>
                <w:szCs w:val="20"/>
              </w:rPr>
            </w:pPr>
            <w:r>
              <w:rPr>
                <w:rFonts w:asciiTheme="minorHAnsi" w:hAnsiTheme="minorHAnsi" w:cstheme="minorHAnsi"/>
                <w:sz w:val="20"/>
                <w:szCs w:val="20"/>
              </w:rPr>
              <w:t>(</w:t>
            </w:r>
            <w:r w:rsidR="00E04BED">
              <w:rPr>
                <w:rFonts w:asciiTheme="minorHAnsi" w:hAnsiTheme="minorHAnsi" w:cstheme="minorHAnsi"/>
                <w:sz w:val="20"/>
                <w:szCs w:val="20"/>
              </w:rPr>
              <w:t>3,673</w:t>
            </w:r>
            <w:r>
              <w:rPr>
                <w:rFonts w:asciiTheme="minorHAnsi" w:hAnsiTheme="minorHAnsi" w:cstheme="minorHAnsi"/>
                <w:sz w:val="20"/>
                <w:szCs w:val="20"/>
              </w:rPr>
              <w:t>)</w:t>
            </w:r>
          </w:p>
        </w:tc>
      </w:tr>
      <w:tr w:rsidR="00F02870" w:rsidRPr="00BB3C18" w14:paraId="0ECED672" w14:textId="77777777" w:rsidTr="001E6E9D">
        <w:tc>
          <w:tcPr>
            <w:tcW w:w="6379" w:type="dxa"/>
            <w:shd w:val="clear" w:color="auto" w:fill="auto"/>
          </w:tcPr>
          <w:p w14:paraId="64BF4807" w14:textId="77777777" w:rsidR="00F02870" w:rsidRPr="00BB3C18" w:rsidRDefault="00F02870" w:rsidP="00F02870">
            <w:pPr>
              <w:spacing w:line="276" w:lineRule="auto"/>
              <w:ind w:hanging="108"/>
              <w:rPr>
                <w:rFonts w:asciiTheme="minorHAnsi" w:hAnsiTheme="minorHAnsi" w:cstheme="minorHAnsi"/>
                <w:sz w:val="20"/>
                <w:szCs w:val="20"/>
              </w:rPr>
            </w:pPr>
          </w:p>
        </w:tc>
        <w:tc>
          <w:tcPr>
            <w:tcW w:w="1559" w:type="dxa"/>
            <w:shd w:val="clear" w:color="auto" w:fill="auto"/>
          </w:tcPr>
          <w:p w14:paraId="193B1654" w14:textId="77777777" w:rsidR="00F02870" w:rsidRPr="0084283F" w:rsidRDefault="00F02870" w:rsidP="00F02870">
            <w:pPr>
              <w:spacing w:line="276" w:lineRule="auto"/>
              <w:jc w:val="right"/>
              <w:rPr>
                <w:rFonts w:asciiTheme="minorHAnsi" w:hAnsiTheme="minorHAnsi" w:cstheme="minorHAnsi"/>
                <w:sz w:val="20"/>
                <w:szCs w:val="20"/>
              </w:rPr>
            </w:pPr>
          </w:p>
        </w:tc>
        <w:tc>
          <w:tcPr>
            <w:tcW w:w="1560" w:type="dxa"/>
          </w:tcPr>
          <w:p w14:paraId="0AD45508" w14:textId="77777777" w:rsidR="00F02870" w:rsidRPr="00BB3C18" w:rsidRDefault="00F02870" w:rsidP="00F02870">
            <w:pPr>
              <w:spacing w:line="276" w:lineRule="auto"/>
              <w:ind w:left="-58"/>
              <w:jc w:val="right"/>
              <w:rPr>
                <w:rFonts w:asciiTheme="minorHAnsi" w:hAnsiTheme="minorHAnsi" w:cstheme="minorHAnsi"/>
                <w:sz w:val="20"/>
                <w:szCs w:val="20"/>
              </w:rPr>
            </w:pPr>
          </w:p>
        </w:tc>
      </w:tr>
      <w:tr w:rsidR="00F02870" w:rsidRPr="00BB3C18" w14:paraId="11823307" w14:textId="77777777" w:rsidTr="001E6E9D">
        <w:tc>
          <w:tcPr>
            <w:tcW w:w="6379" w:type="dxa"/>
            <w:shd w:val="clear" w:color="auto" w:fill="auto"/>
          </w:tcPr>
          <w:p w14:paraId="1F47DDF0" w14:textId="462A4647"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Taxation</w:t>
            </w:r>
          </w:p>
        </w:tc>
        <w:tc>
          <w:tcPr>
            <w:tcW w:w="1559" w:type="dxa"/>
            <w:tcBorders>
              <w:bottom w:val="single" w:sz="4" w:space="0" w:color="auto"/>
            </w:tcBorders>
            <w:shd w:val="clear" w:color="auto" w:fill="auto"/>
          </w:tcPr>
          <w:p w14:paraId="231A14C9" w14:textId="2EEB3E09" w:rsidR="00F02870" w:rsidRPr="0084283F" w:rsidRDefault="001A5528"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tcBorders>
              <w:bottom w:val="single" w:sz="4" w:space="0" w:color="auto"/>
            </w:tcBorders>
          </w:tcPr>
          <w:p w14:paraId="3A9C1945" w14:textId="6586B9CA" w:rsidR="00F02870" w:rsidRPr="00BB3C18" w:rsidRDefault="00F02870" w:rsidP="00F02870">
            <w:pPr>
              <w:spacing w:line="276" w:lineRule="auto"/>
              <w:ind w:left="-58"/>
              <w:jc w:val="right"/>
              <w:rPr>
                <w:rFonts w:asciiTheme="minorHAnsi" w:hAnsiTheme="minorHAnsi" w:cstheme="minorHAnsi"/>
                <w:sz w:val="20"/>
                <w:szCs w:val="20"/>
              </w:rPr>
            </w:pPr>
            <w:r w:rsidRPr="0084283F">
              <w:rPr>
                <w:rFonts w:asciiTheme="minorHAnsi" w:hAnsiTheme="minorHAnsi" w:cstheme="minorHAnsi"/>
                <w:sz w:val="20"/>
                <w:szCs w:val="20"/>
              </w:rPr>
              <w:t>-</w:t>
            </w:r>
          </w:p>
        </w:tc>
      </w:tr>
      <w:tr w:rsidR="00F02870" w:rsidRPr="00BB3C18" w14:paraId="11280202" w14:textId="77777777" w:rsidTr="001E6E9D">
        <w:tc>
          <w:tcPr>
            <w:tcW w:w="6379" w:type="dxa"/>
            <w:shd w:val="clear" w:color="auto" w:fill="auto"/>
          </w:tcPr>
          <w:p w14:paraId="690E1379" w14:textId="58ED1BEA" w:rsidR="00F02870" w:rsidRPr="00BB3C18" w:rsidRDefault="00F02870" w:rsidP="00F02870">
            <w:pPr>
              <w:spacing w:line="276" w:lineRule="auto"/>
              <w:ind w:hanging="108"/>
              <w:rPr>
                <w:rFonts w:asciiTheme="minorHAnsi" w:hAnsiTheme="minorHAnsi" w:cstheme="minorHAnsi"/>
                <w:b/>
                <w:sz w:val="20"/>
                <w:szCs w:val="20"/>
              </w:rPr>
            </w:pPr>
            <w:r>
              <w:rPr>
                <w:rFonts w:asciiTheme="minorHAnsi" w:hAnsiTheme="minorHAnsi" w:cstheme="minorHAnsi"/>
                <w:b/>
                <w:sz w:val="20"/>
                <w:szCs w:val="20"/>
              </w:rPr>
              <w:t>Profit/(l</w:t>
            </w:r>
            <w:r w:rsidRPr="00BB3C18">
              <w:rPr>
                <w:rFonts w:asciiTheme="minorHAnsi" w:hAnsiTheme="minorHAnsi" w:cstheme="minorHAnsi"/>
                <w:b/>
                <w:sz w:val="20"/>
                <w:szCs w:val="20"/>
              </w:rPr>
              <w:t>oss</w:t>
            </w:r>
            <w:r>
              <w:rPr>
                <w:rFonts w:asciiTheme="minorHAnsi" w:hAnsiTheme="minorHAnsi" w:cstheme="minorHAnsi"/>
                <w:b/>
                <w:sz w:val="20"/>
                <w:szCs w:val="20"/>
              </w:rPr>
              <w:t>)</w:t>
            </w:r>
            <w:r w:rsidRPr="00BB3C18">
              <w:rPr>
                <w:rFonts w:asciiTheme="minorHAnsi" w:hAnsiTheme="minorHAnsi" w:cstheme="minorHAnsi"/>
                <w:b/>
                <w:sz w:val="20"/>
                <w:szCs w:val="20"/>
              </w:rPr>
              <w:t xml:space="preserve"> for the period</w:t>
            </w:r>
          </w:p>
        </w:tc>
        <w:tc>
          <w:tcPr>
            <w:tcW w:w="1559" w:type="dxa"/>
            <w:shd w:val="clear" w:color="auto" w:fill="auto"/>
          </w:tcPr>
          <w:p w14:paraId="5C0DEA5D" w14:textId="6FD5126A" w:rsidR="00F02870" w:rsidRPr="0084283F" w:rsidRDefault="00016D06"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tcPr>
          <w:p w14:paraId="1CE4D0B9" w14:textId="26742F0B" w:rsidR="00F02870" w:rsidRPr="00BB3C18" w:rsidRDefault="00016D06" w:rsidP="00F02870">
            <w:pPr>
              <w:spacing w:line="276" w:lineRule="auto"/>
              <w:ind w:left="-58"/>
              <w:jc w:val="right"/>
              <w:rPr>
                <w:rFonts w:asciiTheme="minorHAnsi" w:hAnsiTheme="minorHAnsi" w:cstheme="minorHAnsi"/>
                <w:sz w:val="20"/>
                <w:szCs w:val="20"/>
              </w:rPr>
            </w:pPr>
            <w:r>
              <w:rPr>
                <w:rFonts w:asciiTheme="minorHAnsi" w:hAnsiTheme="minorHAnsi" w:cstheme="minorHAnsi"/>
                <w:sz w:val="20"/>
                <w:szCs w:val="20"/>
              </w:rPr>
              <w:t>(</w:t>
            </w:r>
            <w:r w:rsidR="00E04BED">
              <w:rPr>
                <w:rFonts w:asciiTheme="minorHAnsi" w:hAnsiTheme="minorHAnsi" w:cstheme="minorHAnsi"/>
                <w:sz w:val="20"/>
                <w:szCs w:val="20"/>
              </w:rPr>
              <w:t>3,673</w:t>
            </w:r>
            <w:r>
              <w:rPr>
                <w:rFonts w:asciiTheme="minorHAnsi" w:hAnsiTheme="minorHAnsi" w:cstheme="minorHAnsi"/>
                <w:sz w:val="20"/>
                <w:szCs w:val="20"/>
              </w:rPr>
              <w:t>)</w:t>
            </w:r>
          </w:p>
        </w:tc>
      </w:tr>
      <w:tr w:rsidR="00F02870" w:rsidRPr="00BB3C18" w14:paraId="63DA67BE" w14:textId="77777777" w:rsidTr="001E6E9D">
        <w:tc>
          <w:tcPr>
            <w:tcW w:w="6379" w:type="dxa"/>
            <w:shd w:val="clear" w:color="auto" w:fill="auto"/>
          </w:tcPr>
          <w:p w14:paraId="010F6B35" w14:textId="77777777" w:rsidR="00F02870" w:rsidRPr="00BB3C18" w:rsidRDefault="00F02870" w:rsidP="00F02870">
            <w:pPr>
              <w:spacing w:line="276" w:lineRule="auto"/>
              <w:ind w:hanging="108"/>
              <w:rPr>
                <w:rFonts w:asciiTheme="minorHAnsi" w:hAnsiTheme="minorHAnsi" w:cstheme="minorHAnsi"/>
                <w:sz w:val="20"/>
                <w:szCs w:val="20"/>
              </w:rPr>
            </w:pPr>
          </w:p>
        </w:tc>
        <w:tc>
          <w:tcPr>
            <w:tcW w:w="1559" w:type="dxa"/>
            <w:shd w:val="clear" w:color="auto" w:fill="auto"/>
          </w:tcPr>
          <w:p w14:paraId="47908E4B" w14:textId="77777777" w:rsidR="00F02870" w:rsidRPr="0084283F" w:rsidRDefault="00F02870" w:rsidP="00F02870">
            <w:pPr>
              <w:spacing w:line="276" w:lineRule="auto"/>
              <w:jc w:val="right"/>
              <w:rPr>
                <w:rFonts w:asciiTheme="minorHAnsi" w:hAnsiTheme="minorHAnsi" w:cstheme="minorHAnsi"/>
                <w:sz w:val="20"/>
                <w:szCs w:val="20"/>
              </w:rPr>
            </w:pPr>
          </w:p>
        </w:tc>
        <w:tc>
          <w:tcPr>
            <w:tcW w:w="1560" w:type="dxa"/>
          </w:tcPr>
          <w:p w14:paraId="0FAFBC60" w14:textId="77777777" w:rsidR="00F02870" w:rsidRPr="00BB3C18" w:rsidRDefault="00F02870" w:rsidP="00F02870">
            <w:pPr>
              <w:spacing w:line="276" w:lineRule="auto"/>
              <w:ind w:left="-58"/>
              <w:jc w:val="right"/>
              <w:rPr>
                <w:rFonts w:asciiTheme="minorHAnsi" w:hAnsiTheme="minorHAnsi" w:cstheme="minorHAnsi"/>
                <w:sz w:val="20"/>
                <w:szCs w:val="20"/>
              </w:rPr>
            </w:pPr>
          </w:p>
        </w:tc>
      </w:tr>
      <w:tr w:rsidR="00F02870" w:rsidRPr="00BB3C18" w14:paraId="10E48FD9" w14:textId="77777777" w:rsidTr="001E6E9D">
        <w:tc>
          <w:tcPr>
            <w:tcW w:w="6379" w:type="dxa"/>
            <w:shd w:val="clear" w:color="auto" w:fill="auto"/>
          </w:tcPr>
          <w:p w14:paraId="0955E0B1" w14:textId="45CA3E98" w:rsidR="00F02870" w:rsidRPr="00BB3C18" w:rsidRDefault="00F02870" w:rsidP="00F02870">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Other comprehensive expense</w:t>
            </w:r>
          </w:p>
        </w:tc>
        <w:tc>
          <w:tcPr>
            <w:tcW w:w="1559" w:type="dxa"/>
            <w:tcBorders>
              <w:bottom w:val="single" w:sz="4" w:space="0" w:color="auto"/>
            </w:tcBorders>
            <w:shd w:val="clear" w:color="auto" w:fill="auto"/>
          </w:tcPr>
          <w:p w14:paraId="3E99A59E" w14:textId="625DA334" w:rsidR="00F02870" w:rsidRPr="0084283F" w:rsidRDefault="001A5528" w:rsidP="00F02870">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tcBorders>
              <w:bottom w:val="single" w:sz="4" w:space="0" w:color="auto"/>
            </w:tcBorders>
          </w:tcPr>
          <w:p w14:paraId="27736488" w14:textId="3D4AE865" w:rsidR="00F02870" w:rsidRPr="00BB3C18" w:rsidRDefault="00F02870" w:rsidP="00F02870">
            <w:pPr>
              <w:spacing w:line="276" w:lineRule="auto"/>
              <w:ind w:left="-58"/>
              <w:jc w:val="right"/>
              <w:rPr>
                <w:rFonts w:asciiTheme="minorHAnsi" w:hAnsiTheme="minorHAnsi" w:cstheme="minorHAnsi"/>
                <w:sz w:val="20"/>
                <w:szCs w:val="20"/>
              </w:rPr>
            </w:pPr>
            <w:r w:rsidRPr="0084283F">
              <w:rPr>
                <w:rFonts w:asciiTheme="minorHAnsi" w:hAnsiTheme="minorHAnsi" w:cstheme="minorHAnsi"/>
                <w:sz w:val="20"/>
                <w:szCs w:val="20"/>
              </w:rPr>
              <w:t>-</w:t>
            </w:r>
          </w:p>
        </w:tc>
      </w:tr>
      <w:tr w:rsidR="00BE76F7" w:rsidRPr="00BB3C18" w14:paraId="04F65516" w14:textId="77777777" w:rsidTr="001E6E9D">
        <w:tc>
          <w:tcPr>
            <w:tcW w:w="6379" w:type="dxa"/>
            <w:shd w:val="clear" w:color="auto" w:fill="auto"/>
          </w:tcPr>
          <w:p w14:paraId="2B6F3487" w14:textId="56659EF9" w:rsidR="00BE76F7" w:rsidRPr="00BB3C18" w:rsidRDefault="00BE76F7" w:rsidP="00C64695">
            <w:pPr>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 xml:space="preserve">Total comprehensive </w:t>
            </w:r>
            <w:r w:rsidR="003F34B9">
              <w:rPr>
                <w:rFonts w:asciiTheme="minorHAnsi" w:hAnsiTheme="minorHAnsi" w:cstheme="minorHAnsi"/>
                <w:b/>
                <w:sz w:val="20"/>
                <w:szCs w:val="20"/>
              </w:rPr>
              <w:t>profit/(</w:t>
            </w:r>
            <w:r w:rsidRPr="00BB3C18">
              <w:rPr>
                <w:rFonts w:asciiTheme="minorHAnsi" w:hAnsiTheme="minorHAnsi" w:cstheme="minorHAnsi"/>
                <w:b/>
                <w:sz w:val="20"/>
                <w:szCs w:val="20"/>
              </w:rPr>
              <w:t>loss</w:t>
            </w:r>
            <w:r w:rsidR="003F34B9">
              <w:rPr>
                <w:rFonts w:asciiTheme="minorHAnsi" w:hAnsiTheme="minorHAnsi" w:cstheme="minorHAnsi"/>
                <w:b/>
                <w:sz w:val="20"/>
                <w:szCs w:val="20"/>
              </w:rPr>
              <w:t>)</w:t>
            </w:r>
            <w:r w:rsidRPr="00BB3C18">
              <w:rPr>
                <w:rFonts w:asciiTheme="minorHAnsi" w:hAnsiTheme="minorHAnsi" w:cstheme="minorHAnsi"/>
                <w:b/>
                <w:sz w:val="20"/>
                <w:szCs w:val="20"/>
              </w:rPr>
              <w:t xml:space="preserve"> for the period</w:t>
            </w:r>
          </w:p>
        </w:tc>
        <w:tc>
          <w:tcPr>
            <w:tcW w:w="1559" w:type="dxa"/>
            <w:tcBorders>
              <w:top w:val="single" w:sz="4" w:space="0" w:color="auto"/>
              <w:bottom w:val="double" w:sz="4" w:space="0" w:color="auto"/>
            </w:tcBorders>
            <w:shd w:val="clear" w:color="auto" w:fill="auto"/>
          </w:tcPr>
          <w:p w14:paraId="643ED776" w14:textId="14D0B706" w:rsidR="00BE76F7" w:rsidRPr="0084283F" w:rsidRDefault="00016D06" w:rsidP="00C64695">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60" w:type="dxa"/>
            <w:tcBorders>
              <w:top w:val="single" w:sz="4" w:space="0" w:color="auto"/>
              <w:bottom w:val="double" w:sz="4" w:space="0" w:color="auto"/>
            </w:tcBorders>
          </w:tcPr>
          <w:p w14:paraId="59DCC174" w14:textId="56E48523" w:rsidR="00BE76F7" w:rsidRPr="00BB3C18" w:rsidRDefault="00E04BED" w:rsidP="007D7334">
            <w:pPr>
              <w:spacing w:line="276" w:lineRule="auto"/>
              <w:ind w:left="-58"/>
              <w:jc w:val="right"/>
              <w:rPr>
                <w:rFonts w:asciiTheme="minorHAnsi" w:hAnsiTheme="minorHAnsi" w:cstheme="minorHAnsi"/>
                <w:sz w:val="20"/>
                <w:szCs w:val="20"/>
              </w:rPr>
            </w:pPr>
            <w:r>
              <w:rPr>
                <w:rFonts w:asciiTheme="minorHAnsi" w:hAnsiTheme="minorHAnsi" w:cstheme="minorHAnsi"/>
                <w:sz w:val="20"/>
                <w:szCs w:val="20"/>
              </w:rPr>
              <w:t>(3,673</w:t>
            </w:r>
            <w:r w:rsidR="00016D06">
              <w:rPr>
                <w:rFonts w:asciiTheme="minorHAnsi" w:hAnsiTheme="minorHAnsi" w:cstheme="minorHAnsi"/>
                <w:sz w:val="20"/>
                <w:szCs w:val="20"/>
              </w:rPr>
              <w:t>)</w:t>
            </w:r>
          </w:p>
        </w:tc>
      </w:tr>
      <w:tr w:rsidR="00BE76F7" w:rsidRPr="00BB3C18" w14:paraId="78C934C0" w14:textId="77777777" w:rsidTr="001E6E9D">
        <w:tc>
          <w:tcPr>
            <w:tcW w:w="6379" w:type="dxa"/>
            <w:shd w:val="clear" w:color="auto" w:fill="auto"/>
          </w:tcPr>
          <w:p w14:paraId="44B77CED" w14:textId="77777777" w:rsidR="00BE76F7" w:rsidRPr="00BB3C18" w:rsidRDefault="00BE76F7" w:rsidP="00C64695">
            <w:pPr>
              <w:spacing w:line="276" w:lineRule="auto"/>
              <w:ind w:hanging="108"/>
              <w:rPr>
                <w:rFonts w:asciiTheme="minorHAnsi" w:hAnsiTheme="minorHAnsi" w:cstheme="minorHAnsi"/>
                <w:sz w:val="20"/>
                <w:szCs w:val="20"/>
              </w:rPr>
            </w:pPr>
          </w:p>
        </w:tc>
        <w:tc>
          <w:tcPr>
            <w:tcW w:w="1559" w:type="dxa"/>
            <w:tcBorders>
              <w:top w:val="double" w:sz="4" w:space="0" w:color="auto"/>
            </w:tcBorders>
            <w:shd w:val="clear" w:color="auto" w:fill="auto"/>
          </w:tcPr>
          <w:p w14:paraId="4E40733A" w14:textId="77777777" w:rsidR="00BE76F7" w:rsidRPr="00BB3C18" w:rsidRDefault="00BE76F7" w:rsidP="00C64695">
            <w:pPr>
              <w:spacing w:line="276" w:lineRule="auto"/>
              <w:jc w:val="right"/>
              <w:rPr>
                <w:rFonts w:asciiTheme="minorHAnsi" w:hAnsiTheme="minorHAnsi" w:cstheme="minorHAnsi"/>
                <w:sz w:val="20"/>
                <w:szCs w:val="20"/>
              </w:rPr>
            </w:pPr>
          </w:p>
        </w:tc>
        <w:tc>
          <w:tcPr>
            <w:tcW w:w="1560" w:type="dxa"/>
            <w:tcBorders>
              <w:top w:val="double" w:sz="4" w:space="0" w:color="auto"/>
            </w:tcBorders>
          </w:tcPr>
          <w:p w14:paraId="19915DD3" w14:textId="77777777" w:rsidR="00BE76F7" w:rsidRPr="00BB3C18" w:rsidRDefault="00BE76F7" w:rsidP="001E6E9D">
            <w:pPr>
              <w:spacing w:line="276" w:lineRule="auto"/>
              <w:ind w:left="178"/>
              <w:jc w:val="right"/>
              <w:rPr>
                <w:rFonts w:asciiTheme="minorHAnsi" w:hAnsiTheme="minorHAnsi" w:cstheme="minorHAnsi"/>
                <w:sz w:val="20"/>
                <w:szCs w:val="20"/>
              </w:rPr>
            </w:pPr>
          </w:p>
        </w:tc>
      </w:tr>
    </w:tbl>
    <w:p w14:paraId="0312F828" w14:textId="0EB12D69" w:rsidR="005B7F66" w:rsidRPr="00BB3C18" w:rsidRDefault="00BE76F7" w:rsidP="001F2CB0">
      <w:pPr>
        <w:pStyle w:val="ListParagraph"/>
        <w:numPr>
          <w:ilvl w:val="0"/>
          <w:numId w:val="3"/>
        </w:numPr>
        <w:spacing w:before="240" w:line="276" w:lineRule="auto"/>
        <w:ind w:left="567" w:hanging="567"/>
        <w:contextualSpacing w:val="0"/>
        <w:jc w:val="both"/>
        <w:rPr>
          <w:rFonts w:asciiTheme="minorHAnsi" w:hAnsiTheme="minorHAnsi" w:cstheme="minorHAnsi"/>
          <w:b/>
          <w:sz w:val="20"/>
          <w:szCs w:val="20"/>
        </w:rPr>
      </w:pPr>
      <w:r w:rsidRPr="00BB3C18">
        <w:rPr>
          <w:rFonts w:asciiTheme="minorHAnsi" w:hAnsiTheme="minorHAnsi" w:cstheme="minorHAnsi"/>
          <w:b/>
          <w:sz w:val="20"/>
          <w:szCs w:val="20"/>
        </w:rPr>
        <w:t>F</w:t>
      </w:r>
      <w:r w:rsidR="00A62230" w:rsidRPr="00BB3C18">
        <w:rPr>
          <w:rFonts w:asciiTheme="minorHAnsi" w:hAnsiTheme="minorHAnsi" w:cstheme="minorHAnsi"/>
          <w:b/>
          <w:sz w:val="20"/>
          <w:szCs w:val="20"/>
        </w:rPr>
        <w:t xml:space="preserve">inance </w:t>
      </w:r>
      <w:r w:rsidRPr="00BB3C18">
        <w:rPr>
          <w:rFonts w:asciiTheme="minorHAnsi" w:hAnsiTheme="minorHAnsi" w:cstheme="minorHAnsi"/>
          <w:b/>
          <w:sz w:val="20"/>
          <w:szCs w:val="20"/>
        </w:rPr>
        <w:t>Costs</w:t>
      </w:r>
    </w:p>
    <w:tbl>
      <w:tblPr>
        <w:tblW w:w="9481" w:type="dxa"/>
        <w:tblInd w:w="567" w:type="dxa"/>
        <w:tblLook w:val="00A0" w:firstRow="1" w:lastRow="0" w:firstColumn="1" w:lastColumn="0" w:noHBand="0" w:noVBand="0"/>
      </w:tblPr>
      <w:tblGrid>
        <w:gridCol w:w="6373"/>
        <w:gridCol w:w="1530"/>
        <w:gridCol w:w="1578"/>
      </w:tblGrid>
      <w:tr w:rsidR="00AF3D52" w:rsidRPr="00BB3C18" w14:paraId="70023ADE" w14:textId="77777777" w:rsidTr="000B0042">
        <w:tc>
          <w:tcPr>
            <w:tcW w:w="6373" w:type="dxa"/>
          </w:tcPr>
          <w:p w14:paraId="366895F8" w14:textId="77777777" w:rsidR="00AF3D52" w:rsidRPr="00BB3C18" w:rsidRDefault="00AF3D52" w:rsidP="000B0042">
            <w:pPr>
              <w:keepNext/>
              <w:spacing w:line="276" w:lineRule="auto"/>
              <w:jc w:val="right"/>
              <w:rPr>
                <w:rFonts w:asciiTheme="minorHAnsi" w:hAnsiTheme="minorHAnsi" w:cstheme="minorHAnsi"/>
                <w:b/>
                <w:sz w:val="20"/>
                <w:szCs w:val="20"/>
              </w:rPr>
            </w:pPr>
          </w:p>
        </w:tc>
        <w:tc>
          <w:tcPr>
            <w:tcW w:w="1530" w:type="dxa"/>
          </w:tcPr>
          <w:p w14:paraId="654E2A53" w14:textId="6AF56C24" w:rsidR="00AF3D52" w:rsidRPr="00BB3C18" w:rsidRDefault="00E73D65" w:rsidP="000B0042">
            <w:pPr>
              <w:keepNext/>
              <w:spacing w:line="276" w:lineRule="auto"/>
              <w:ind w:left="-203"/>
              <w:jc w:val="right"/>
              <w:rPr>
                <w:rFonts w:asciiTheme="minorHAnsi" w:hAnsiTheme="minorHAnsi" w:cstheme="minorHAnsi"/>
                <w:sz w:val="20"/>
                <w:szCs w:val="20"/>
              </w:rPr>
            </w:pPr>
            <w:r>
              <w:rPr>
                <w:rFonts w:asciiTheme="minorHAnsi" w:hAnsiTheme="minorHAnsi" w:cstheme="minorHAnsi"/>
                <w:b/>
                <w:sz w:val="20"/>
                <w:szCs w:val="20"/>
              </w:rPr>
              <w:t>Year</w:t>
            </w:r>
            <w:r w:rsidR="00AF3D52" w:rsidRPr="00BB3C18">
              <w:rPr>
                <w:rFonts w:asciiTheme="minorHAnsi" w:hAnsiTheme="minorHAnsi" w:cstheme="minorHAnsi"/>
                <w:b/>
                <w:sz w:val="20"/>
                <w:szCs w:val="20"/>
              </w:rPr>
              <w:t xml:space="preserve"> ended</w:t>
            </w:r>
            <w:r w:rsidR="00AF3D52" w:rsidRPr="00BB3C18">
              <w:rPr>
                <w:rFonts w:asciiTheme="minorHAnsi" w:hAnsiTheme="minorHAnsi" w:cstheme="minorHAnsi"/>
                <w:b/>
                <w:sz w:val="20"/>
                <w:szCs w:val="20"/>
              </w:rPr>
              <w:br/>
              <w:t>30 June 20</w:t>
            </w:r>
            <w:r>
              <w:rPr>
                <w:rFonts w:asciiTheme="minorHAnsi" w:hAnsiTheme="minorHAnsi" w:cstheme="minorHAnsi"/>
                <w:b/>
                <w:sz w:val="20"/>
                <w:szCs w:val="20"/>
              </w:rPr>
              <w:t>2</w:t>
            </w:r>
            <w:r w:rsidR="00016D06">
              <w:rPr>
                <w:rFonts w:asciiTheme="minorHAnsi" w:hAnsiTheme="minorHAnsi" w:cstheme="minorHAnsi"/>
                <w:b/>
                <w:sz w:val="20"/>
                <w:szCs w:val="20"/>
              </w:rPr>
              <w:t>2</w:t>
            </w:r>
            <w:r w:rsidR="00AF3D52" w:rsidRPr="00BB3C18">
              <w:rPr>
                <w:rFonts w:asciiTheme="minorHAnsi" w:hAnsiTheme="minorHAnsi" w:cstheme="minorHAnsi"/>
                <w:b/>
                <w:sz w:val="20"/>
                <w:szCs w:val="20"/>
              </w:rPr>
              <w:br/>
              <w:t>£</w:t>
            </w:r>
          </w:p>
        </w:tc>
        <w:tc>
          <w:tcPr>
            <w:tcW w:w="1578" w:type="dxa"/>
          </w:tcPr>
          <w:p w14:paraId="4EBE6467" w14:textId="6A380414" w:rsidR="006E2F0F" w:rsidRDefault="006E2F0F" w:rsidP="006E2F0F">
            <w:pPr>
              <w:keepNext/>
              <w:spacing w:line="276" w:lineRule="auto"/>
              <w:ind w:right="-74"/>
              <w:jc w:val="right"/>
              <w:rPr>
                <w:rFonts w:asciiTheme="minorHAnsi" w:hAnsiTheme="minorHAnsi" w:cstheme="minorHAnsi"/>
                <w:b/>
                <w:sz w:val="20"/>
                <w:szCs w:val="20"/>
              </w:rPr>
            </w:pPr>
            <w:r>
              <w:rPr>
                <w:rFonts w:asciiTheme="minorHAnsi" w:hAnsiTheme="minorHAnsi" w:cstheme="minorHAnsi"/>
                <w:b/>
                <w:sz w:val="20"/>
                <w:szCs w:val="20"/>
              </w:rPr>
              <w:t>Year</w:t>
            </w:r>
            <w:r w:rsidR="00E73D65">
              <w:rPr>
                <w:rFonts w:asciiTheme="minorHAnsi" w:hAnsiTheme="minorHAnsi" w:cstheme="minorHAnsi"/>
                <w:b/>
                <w:sz w:val="20"/>
                <w:szCs w:val="20"/>
              </w:rPr>
              <w:t xml:space="preserve"> ended </w:t>
            </w:r>
            <w:r w:rsidR="00AF3D52" w:rsidRPr="00BB3C18">
              <w:rPr>
                <w:rFonts w:asciiTheme="minorHAnsi" w:hAnsiTheme="minorHAnsi" w:cstheme="minorHAnsi"/>
                <w:b/>
                <w:sz w:val="20"/>
                <w:szCs w:val="20"/>
              </w:rPr>
              <w:br/>
            </w:r>
            <w:r w:rsidR="00E73D65">
              <w:rPr>
                <w:rFonts w:asciiTheme="minorHAnsi" w:hAnsiTheme="minorHAnsi" w:cstheme="minorHAnsi"/>
                <w:b/>
                <w:sz w:val="20"/>
                <w:szCs w:val="20"/>
              </w:rPr>
              <w:t>30 June 20</w:t>
            </w:r>
            <w:r>
              <w:rPr>
                <w:rFonts w:asciiTheme="minorHAnsi" w:hAnsiTheme="minorHAnsi" w:cstheme="minorHAnsi"/>
                <w:b/>
                <w:sz w:val="20"/>
                <w:szCs w:val="20"/>
              </w:rPr>
              <w:t>2</w:t>
            </w:r>
            <w:r w:rsidR="00016D06">
              <w:rPr>
                <w:rFonts w:asciiTheme="minorHAnsi" w:hAnsiTheme="minorHAnsi" w:cstheme="minorHAnsi"/>
                <w:b/>
                <w:sz w:val="20"/>
                <w:szCs w:val="20"/>
              </w:rPr>
              <w:t>1</w:t>
            </w:r>
          </w:p>
          <w:p w14:paraId="4E92C7A7" w14:textId="57A0CBFC" w:rsidR="00AF3D52" w:rsidRPr="00BB3C18" w:rsidRDefault="00AF3D52" w:rsidP="006E2F0F">
            <w:pPr>
              <w:keepNext/>
              <w:spacing w:line="276" w:lineRule="auto"/>
              <w:ind w:right="-74"/>
              <w:jc w:val="right"/>
              <w:rPr>
                <w:rFonts w:asciiTheme="minorHAnsi" w:hAnsiTheme="minorHAnsi" w:cstheme="minorHAnsi"/>
                <w:sz w:val="20"/>
                <w:szCs w:val="20"/>
              </w:rPr>
            </w:pPr>
            <w:r w:rsidRPr="00BB3C18">
              <w:rPr>
                <w:rFonts w:asciiTheme="minorHAnsi" w:hAnsiTheme="minorHAnsi" w:cstheme="minorHAnsi"/>
                <w:b/>
                <w:sz w:val="20"/>
                <w:szCs w:val="20"/>
              </w:rPr>
              <w:t>£</w:t>
            </w:r>
          </w:p>
        </w:tc>
      </w:tr>
      <w:tr w:rsidR="00AF3D52" w:rsidRPr="00BB3C18" w14:paraId="162BC6BA" w14:textId="77777777" w:rsidTr="000B0042">
        <w:tc>
          <w:tcPr>
            <w:tcW w:w="6373" w:type="dxa"/>
          </w:tcPr>
          <w:p w14:paraId="20994864" w14:textId="3E27CB3E" w:rsidR="00AF3D52" w:rsidRPr="00BB3C18" w:rsidRDefault="00AF3D52" w:rsidP="000B0042">
            <w:pPr>
              <w:keepNext/>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 xml:space="preserve">Finance </w:t>
            </w:r>
            <w:r w:rsidR="00BE76F7" w:rsidRPr="00BB3C18">
              <w:rPr>
                <w:rFonts w:asciiTheme="minorHAnsi" w:hAnsiTheme="minorHAnsi" w:cstheme="minorHAnsi"/>
                <w:b/>
                <w:sz w:val="20"/>
                <w:szCs w:val="20"/>
              </w:rPr>
              <w:t>costs</w:t>
            </w:r>
          </w:p>
        </w:tc>
        <w:tc>
          <w:tcPr>
            <w:tcW w:w="1530" w:type="dxa"/>
          </w:tcPr>
          <w:p w14:paraId="337AF3D4" w14:textId="77777777" w:rsidR="00AF3D52" w:rsidRPr="00BB3C18" w:rsidRDefault="00AF3D52" w:rsidP="000B0042">
            <w:pPr>
              <w:keepNext/>
              <w:spacing w:line="276" w:lineRule="auto"/>
              <w:jc w:val="right"/>
              <w:rPr>
                <w:rFonts w:asciiTheme="minorHAnsi" w:hAnsiTheme="minorHAnsi" w:cstheme="minorHAnsi"/>
                <w:sz w:val="20"/>
                <w:szCs w:val="20"/>
              </w:rPr>
            </w:pPr>
          </w:p>
        </w:tc>
        <w:tc>
          <w:tcPr>
            <w:tcW w:w="1578" w:type="dxa"/>
          </w:tcPr>
          <w:p w14:paraId="0EE8DB25" w14:textId="77777777" w:rsidR="00AF3D52" w:rsidRPr="00BB3C18" w:rsidRDefault="00AF3D52" w:rsidP="000B0042">
            <w:pPr>
              <w:keepNext/>
              <w:spacing w:line="276" w:lineRule="auto"/>
              <w:jc w:val="right"/>
              <w:rPr>
                <w:rFonts w:asciiTheme="minorHAnsi" w:hAnsiTheme="minorHAnsi" w:cstheme="minorHAnsi"/>
                <w:sz w:val="20"/>
                <w:szCs w:val="20"/>
              </w:rPr>
            </w:pPr>
          </w:p>
        </w:tc>
      </w:tr>
      <w:tr w:rsidR="00507AA0" w:rsidRPr="00BB3C18" w14:paraId="362A8BC5" w14:textId="77777777" w:rsidTr="00E328D3">
        <w:tc>
          <w:tcPr>
            <w:tcW w:w="6373" w:type="dxa"/>
          </w:tcPr>
          <w:p w14:paraId="3103B3FD" w14:textId="3A4431C5" w:rsidR="00507AA0" w:rsidRDefault="00507AA0" w:rsidP="006E2F0F">
            <w:pPr>
              <w:spacing w:line="276" w:lineRule="auto"/>
              <w:ind w:hanging="108"/>
              <w:rPr>
                <w:rFonts w:asciiTheme="minorHAnsi" w:hAnsiTheme="minorHAnsi" w:cstheme="minorHAnsi"/>
                <w:sz w:val="20"/>
                <w:szCs w:val="20"/>
              </w:rPr>
            </w:pPr>
            <w:r>
              <w:rPr>
                <w:rFonts w:asciiTheme="minorHAnsi" w:hAnsiTheme="minorHAnsi" w:cstheme="minorHAnsi"/>
                <w:sz w:val="20"/>
                <w:szCs w:val="20"/>
              </w:rPr>
              <w:t>Other loan penalties</w:t>
            </w:r>
          </w:p>
        </w:tc>
        <w:tc>
          <w:tcPr>
            <w:tcW w:w="1530" w:type="dxa"/>
          </w:tcPr>
          <w:p w14:paraId="761CC128" w14:textId="47042413" w:rsidR="00507AA0" w:rsidDel="006E2F0F" w:rsidRDefault="00AA3771" w:rsidP="006E2F0F">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78" w:type="dxa"/>
          </w:tcPr>
          <w:p w14:paraId="482B09FA" w14:textId="4BF94B20" w:rsidR="00507AA0" w:rsidRDefault="00016D06" w:rsidP="006E2F0F">
            <w:pPr>
              <w:spacing w:line="276" w:lineRule="auto"/>
              <w:jc w:val="right"/>
              <w:rPr>
                <w:rFonts w:asciiTheme="minorHAnsi" w:hAnsiTheme="minorHAnsi" w:cstheme="minorHAnsi"/>
                <w:sz w:val="20"/>
                <w:szCs w:val="20"/>
              </w:rPr>
            </w:pPr>
            <w:r>
              <w:rPr>
                <w:rFonts w:asciiTheme="minorHAnsi" w:hAnsiTheme="minorHAnsi" w:cstheme="minorHAnsi"/>
                <w:sz w:val="20"/>
                <w:szCs w:val="20"/>
              </w:rPr>
              <w:t>4,59</w:t>
            </w:r>
            <w:r w:rsidR="00B119C1">
              <w:rPr>
                <w:rFonts w:asciiTheme="minorHAnsi" w:hAnsiTheme="minorHAnsi" w:cstheme="minorHAnsi"/>
                <w:sz w:val="20"/>
                <w:szCs w:val="20"/>
              </w:rPr>
              <w:t>2</w:t>
            </w:r>
            <w:r>
              <w:rPr>
                <w:rFonts w:asciiTheme="minorHAnsi" w:hAnsiTheme="minorHAnsi" w:cstheme="minorHAnsi"/>
                <w:sz w:val="20"/>
                <w:szCs w:val="20"/>
              </w:rPr>
              <w:t>,</w:t>
            </w:r>
            <w:r w:rsidR="00B119C1">
              <w:rPr>
                <w:rFonts w:asciiTheme="minorHAnsi" w:hAnsiTheme="minorHAnsi" w:cstheme="minorHAnsi"/>
                <w:sz w:val="20"/>
                <w:szCs w:val="20"/>
              </w:rPr>
              <w:t>522</w:t>
            </w:r>
          </w:p>
        </w:tc>
      </w:tr>
      <w:tr w:rsidR="00B119C1" w:rsidRPr="00BB3C18" w14:paraId="07D68C81" w14:textId="77777777" w:rsidTr="00E328D3">
        <w:tc>
          <w:tcPr>
            <w:tcW w:w="6373" w:type="dxa"/>
          </w:tcPr>
          <w:p w14:paraId="32841002" w14:textId="47768AA3" w:rsidR="00B119C1" w:rsidRDefault="00B119C1" w:rsidP="006E2F0F">
            <w:pPr>
              <w:spacing w:line="276" w:lineRule="auto"/>
              <w:ind w:hanging="108"/>
              <w:rPr>
                <w:rFonts w:asciiTheme="minorHAnsi" w:hAnsiTheme="minorHAnsi" w:cstheme="minorHAnsi"/>
                <w:sz w:val="20"/>
                <w:szCs w:val="20"/>
              </w:rPr>
            </w:pPr>
            <w:r>
              <w:rPr>
                <w:rFonts w:asciiTheme="minorHAnsi" w:hAnsiTheme="minorHAnsi" w:cstheme="minorHAnsi"/>
                <w:sz w:val="20"/>
                <w:szCs w:val="20"/>
              </w:rPr>
              <w:t>Interest on leases</w:t>
            </w:r>
          </w:p>
        </w:tc>
        <w:tc>
          <w:tcPr>
            <w:tcW w:w="1530" w:type="dxa"/>
          </w:tcPr>
          <w:p w14:paraId="0F66F1EC" w14:textId="29B16263" w:rsidR="00B119C1" w:rsidRDefault="00B119C1" w:rsidP="006E2F0F">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78" w:type="dxa"/>
          </w:tcPr>
          <w:p w14:paraId="7B5BB25D" w14:textId="59B956D3" w:rsidR="00B119C1" w:rsidRDefault="00B119C1" w:rsidP="006E2F0F">
            <w:pPr>
              <w:spacing w:line="276" w:lineRule="auto"/>
              <w:jc w:val="right"/>
              <w:rPr>
                <w:rFonts w:asciiTheme="minorHAnsi" w:hAnsiTheme="minorHAnsi" w:cstheme="minorHAnsi"/>
                <w:sz w:val="20"/>
                <w:szCs w:val="20"/>
              </w:rPr>
            </w:pPr>
            <w:r>
              <w:rPr>
                <w:rFonts w:asciiTheme="minorHAnsi" w:hAnsiTheme="minorHAnsi" w:cstheme="minorHAnsi"/>
                <w:sz w:val="20"/>
                <w:szCs w:val="20"/>
              </w:rPr>
              <w:t>632</w:t>
            </w:r>
          </w:p>
        </w:tc>
      </w:tr>
      <w:tr w:rsidR="00DB1915" w:rsidRPr="00BB3C18" w14:paraId="417EB0D4" w14:textId="77777777" w:rsidTr="000B0042">
        <w:tc>
          <w:tcPr>
            <w:tcW w:w="6373" w:type="dxa"/>
            <w:tcBorders>
              <w:right w:val="single" w:sz="4" w:space="0" w:color="auto"/>
            </w:tcBorders>
          </w:tcPr>
          <w:p w14:paraId="098314A0" w14:textId="68665EA6" w:rsidR="00DB1915" w:rsidRPr="00BB3C18" w:rsidRDefault="00DB1915" w:rsidP="00DB1915">
            <w:pPr>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Total finance expense</w:t>
            </w:r>
          </w:p>
        </w:tc>
        <w:tc>
          <w:tcPr>
            <w:tcW w:w="1530" w:type="dxa"/>
            <w:tcBorders>
              <w:top w:val="single" w:sz="4" w:space="0" w:color="auto"/>
              <w:left w:val="single" w:sz="4" w:space="0" w:color="auto"/>
              <w:bottom w:val="single" w:sz="4" w:space="0" w:color="auto"/>
            </w:tcBorders>
          </w:tcPr>
          <w:p w14:paraId="04BAE53E" w14:textId="49A9D536" w:rsidR="00DB1915" w:rsidRPr="001C3609" w:rsidRDefault="00AA3771" w:rsidP="00DB1915">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578" w:type="dxa"/>
            <w:tcBorders>
              <w:top w:val="single" w:sz="4" w:space="0" w:color="auto"/>
              <w:bottom w:val="single" w:sz="4" w:space="0" w:color="auto"/>
              <w:right w:val="single" w:sz="4" w:space="0" w:color="auto"/>
            </w:tcBorders>
          </w:tcPr>
          <w:p w14:paraId="10F927F6" w14:textId="2ACC78F0" w:rsidR="00DB1915" w:rsidRPr="001C3609" w:rsidRDefault="00016D06" w:rsidP="00DB1915">
            <w:pPr>
              <w:spacing w:line="276" w:lineRule="auto"/>
              <w:jc w:val="right"/>
              <w:rPr>
                <w:rFonts w:asciiTheme="minorHAnsi" w:hAnsiTheme="minorHAnsi" w:cstheme="minorHAnsi"/>
                <w:sz w:val="20"/>
                <w:szCs w:val="20"/>
              </w:rPr>
            </w:pPr>
            <w:r>
              <w:rPr>
                <w:rFonts w:asciiTheme="minorHAnsi" w:hAnsiTheme="minorHAnsi" w:cstheme="minorHAnsi"/>
                <w:sz w:val="20"/>
                <w:szCs w:val="20"/>
              </w:rPr>
              <w:t>4,</w:t>
            </w:r>
            <w:r w:rsidR="00B119C1">
              <w:rPr>
                <w:rFonts w:asciiTheme="minorHAnsi" w:hAnsiTheme="minorHAnsi" w:cstheme="minorHAnsi"/>
                <w:sz w:val="20"/>
                <w:szCs w:val="20"/>
              </w:rPr>
              <w:t>593,154</w:t>
            </w:r>
          </w:p>
        </w:tc>
      </w:tr>
    </w:tbl>
    <w:p w14:paraId="04A6C6E9" w14:textId="77777777" w:rsidR="001F2CB0" w:rsidRDefault="001F2CB0" w:rsidP="001F2CB0">
      <w:pPr>
        <w:pStyle w:val="ListParagraph"/>
        <w:keepNext/>
        <w:keepLines/>
        <w:spacing w:before="240" w:line="276" w:lineRule="auto"/>
        <w:ind w:left="567"/>
        <w:contextualSpacing w:val="0"/>
        <w:jc w:val="both"/>
        <w:rPr>
          <w:rFonts w:asciiTheme="minorHAnsi" w:hAnsiTheme="minorHAnsi" w:cstheme="minorHAnsi"/>
          <w:b/>
          <w:sz w:val="20"/>
          <w:szCs w:val="20"/>
        </w:rPr>
      </w:pPr>
    </w:p>
    <w:p w14:paraId="0312F82B" w14:textId="62E4F563" w:rsidR="00DB274D" w:rsidRPr="00BB3C18" w:rsidRDefault="00A62230" w:rsidP="001F2CB0">
      <w:pPr>
        <w:pStyle w:val="ListParagraph"/>
        <w:keepNext/>
        <w:keepLines/>
        <w:numPr>
          <w:ilvl w:val="0"/>
          <w:numId w:val="3"/>
        </w:numPr>
        <w:spacing w:before="240" w:line="276" w:lineRule="auto"/>
        <w:ind w:left="567" w:hanging="567"/>
        <w:contextualSpacing w:val="0"/>
        <w:jc w:val="both"/>
        <w:rPr>
          <w:rFonts w:asciiTheme="minorHAnsi" w:hAnsiTheme="minorHAnsi" w:cstheme="minorHAnsi"/>
          <w:b/>
          <w:sz w:val="20"/>
          <w:szCs w:val="20"/>
        </w:rPr>
      </w:pPr>
      <w:r w:rsidRPr="00BB3C18">
        <w:rPr>
          <w:rFonts w:asciiTheme="minorHAnsi" w:hAnsiTheme="minorHAnsi" w:cstheme="minorHAnsi"/>
          <w:b/>
          <w:sz w:val="20"/>
          <w:szCs w:val="20"/>
        </w:rPr>
        <w:t>Taxation</w:t>
      </w:r>
    </w:p>
    <w:tbl>
      <w:tblPr>
        <w:tblW w:w="9481" w:type="dxa"/>
        <w:tblInd w:w="567" w:type="dxa"/>
        <w:tblLook w:val="00A0" w:firstRow="1" w:lastRow="0" w:firstColumn="1" w:lastColumn="0" w:noHBand="0" w:noVBand="0"/>
      </w:tblPr>
      <w:tblGrid>
        <w:gridCol w:w="6373"/>
        <w:gridCol w:w="1530"/>
        <w:gridCol w:w="1578"/>
      </w:tblGrid>
      <w:tr w:rsidR="00AF3D52" w:rsidRPr="00BB3C18" w14:paraId="16E02E31" w14:textId="77777777" w:rsidTr="000B0042">
        <w:tc>
          <w:tcPr>
            <w:tcW w:w="6373" w:type="dxa"/>
          </w:tcPr>
          <w:p w14:paraId="78F09136" w14:textId="77777777" w:rsidR="00AF3D52" w:rsidRPr="00BB3C18" w:rsidRDefault="00AF3D52" w:rsidP="000B0042">
            <w:pPr>
              <w:keepNext/>
              <w:spacing w:line="276" w:lineRule="auto"/>
              <w:jc w:val="right"/>
              <w:rPr>
                <w:rFonts w:asciiTheme="minorHAnsi" w:hAnsiTheme="minorHAnsi" w:cstheme="minorHAnsi"/>
                <w:b/>
                <w:sz w:val="20"/>
                <w:szCs w:val="20"/>
              </w:rPr>
            </w:pPr>
          </w:p>
        </w:tc>
        <w:tc>
          <w:tcPr>
            <w:tcW w:w="1530" w:type="dxa"/>
          </w:tcPr>
          <w:p w14:paraId="3FFFB6F5" w14:textId="4642E80E" w:rsidR="00AF3D52" w:rsidRPr="00BB3C18" w:rsidRDefault="00E73D65" w:rsidP="000B0042">
            <w:pPr>
              <w:keepNext/>
              <w:spacing w:line="276" w:lineRule="auto"/>
              <w:ind w:left="-203"/>
              <w:jc w:val="right"/>
              <w:rPr>
                <w:rFonts w:asciiTheme="minorHAnsi" w:hAnsiTheme="minorHAnsi" w:cstheme="minorHAnsi"/>
                <w:sz w:val="20"/>
                <w:szCs w:val="20"/>
              </w:rPr>
            </w:pPr>
            <w:r>
              <w:rPr>
                <w:rFonts w:asciiTheme="minorHAnsi" w:hAnsiTheme="minorHAnsi" w:cstheme="minorHAnsi"/>
                <w:b/>
                <w:sz w:val="20"/>
                <w:szCs w:val="20"/>
              </w:rPr>
              <w:t>Year</w:t>
            </w:r>
            <w:r w:rsidR="00AF3D52" w:rsidRPr="00BB3C18">
              <w:rPr>
                <w:rFonts w:asciiTheme="minorHAnsi" w:hAnsiTheme="minorHAnsi" w:cstheme="minorHAnsi"/>
                <w:b/>
                <w:sz w:val="20"/>
                <w:szCs w:val="20"/>
              </w:rPr>
              <w:t xml:space="preserve"> ended</w:t>
            </w:r>
            <w:r w:rsidR="00AF3D52" w:rsidRPr="00BB3C18">
              <w:rPr>
                <w:rFonts w:asciiTheme="minorHAnsi" w:hAnsiTheme="minorHAnsi" w:cstheme="minorHAnsi"/>
                <w:b/>
                <w:sz w:val="20"/>
                <w:szCs w:val="20"/>
              </w:rPr>
              <w:br/>
              <w:t>30 June 20</w:t>
            </w:r>
            <w:r>
              <w:rPr>
                <w:rFonts w:asciiTheme="minorHAnsi" w:hAnsiTheme="minorHAnsi" w:cstheme="minorHAnsi"/>
                <w:b/>
                <w:sz w:val="20"/>
                <w:szCs w:val="20"/>
              </w:rPr>
              <w:t>2</w:t>
            </w:r>
            <w:r w:rsidR="00016D06">
              <w:rPr>
                <w:rFonts w:asciiTheme="minorHAnsi" w:hAnsiTheme="minorHAnsi" w:cstheme="minorHAnsi"/>
                <w:b/>
                <w:sz w:val="20"/>
                <w:szCs w:val="20"/>
              </w:rPr>
              <w:t>2</w:t>
            </w:r>
            <w:r w:rsidR="00AF3D52" w:rsidRPr="00BB3C18">
              <w:rPr>
                <w:rFonts w:asciiTheme="minorHAnsi" w:hAnsiTheme="minorHAnsi" w:cstheme="minorHAnsi"/>
                <w:b/>
                <w:sz w:val="20"/>
                <w:szCs w:val="20"/>
              </w:rPr>
              <w:br/>
              <w:t>£</w:t>
            </w:r>
          </w:p>
        </w:tc>
        <w:tc>
          <w:tcPr>
            <w:tcW w:w="1578" w:type="dxa"/>
          </w:tcPr>
          <w:p w14:paraId="501AB5E3" w14:textId="4CC82562" w:rsidR="00AF3D52" w:rsidRPr="00BB3C18" w:rsidRDefault="006E2F0F" w:rsidP="000B0042">
            <w:pPr>
              <w:keepNext/>
              <w:spacing w:line="276" w:lineRule="auto"/>
              <w:ind w:right="-74"/>
              <w:jc w:val="right"/>
              <w:rPr>
                <w:rFonts w:asciiTheme="minorHAnsi" w:hAnsiTheme="minorHAnsi" w:cstheme="minorHAnsi"/>
                <w:b/>
                <w:sz w:val="20"/>
                <w:szCs w:val="20"/>
              </w:rPr>
            </w:pPr>
            <w:r>
              <w:rPr>
                <w:rFonts w:asciiTheme="minorHAnsi" w:hAnsiTheme="minorHAnsi" w:cstheme="minorHAnsi"/>
                <w:b/>
                <w:sz w:val="20"/>
                <w:szCs w:val="20"/>
              </w:rPr>
              <w:t>Year</w:t>
            </w:r>
            <w:r w:rsidR="00E73D65">
              <w:rPr>
                <w:rFonts w:asciiTheme="minorHAnsi" w:hAnsiTheme="minorHAnsi" w:cstheme="minorHAnsi"/>
                <w:b/>
                <w:sz w:val="20"/>
                <w:szCs w:val="20"/>
              </w:rPr>
              <w:t xml:space="preserve"> ended</w:t>
            </w:r>
            <w:r w:rsidR="00AF3D52" w:rsidRPr="00BB3C18">
              <w:rPr>
                <w:rFonts w:asciiTheme="minorHAnsi" w:hAnsiTheme="minorHAnsi" w:cstheme="minorHAnsi"/>
                <w:b/>
                <w:sz w:val="20"/>
                <w:szCs w:val="20"/>
              </w:rPr>
              <w:br/>
            </w:r>
            <w:r w:rsidR="00E73D65">
              <w:rPr>
                <w:rFonts w:asciiTheme="minorHAnsi" w:hAnsiTheme="minorHAnsi" w:cstheme="minorHAnsi"/>
                <w:b/>
                <w:sz w:val="20"/>
                <w:szCs w:val="20"/>
              </w:rPr>
              <w:t>30 June 20</w:t>
            </w:r>
            <w:r>
              <w:rPr>
                <w:rFonts w:asciiTheme="minorHAnsi" w:hAnsiTheme="minorHAnsi" w:cstheme="minorHAnsi"/>
                <w:b/>
                <w:sz w:val="20"/>
                <w:szCs w:val="20"/>
              </w:rPr>
              <w:t>2</w:t>
            </w:r>
            <w:r w:rsidR="00016D06">
              <w:rPr>
                <w:rFonts w:asciiTheme="minorHAnsi" w:hAnsiTheme="minorHAnsi" w:cstheme="minorHAnsi"/>
                <w:b/>
                <w:sz w:val="20"/>
                <w:szCs w:val="20"/>
              </w:rPr>
              <w:t>1</w:t>
            </w:r>
          </w:p>
          <w:p w14:paraId="2BC099FC" w14:textId="77777777" w:rsidR="00AF3D52" w:rsidRPr="00BB3C18" w:rsidRDefault="00AF3D52" w:rsidP="000B0042">
            <w:pPr>
              <w:keepNext/>
              <w:spacing w:line="276" w:lineRule="auto"/>
              <w:ind w:right="-74"/>
              <w:jc w:val="right"/>
              <w:rPr>
                <w:rFonts w:asciiTheme="minorHAnsi" w:hAnsiTheme="minorHAnsi" w:cstheme="minorHAnsi"/>
                <w:sz w:val="20"/>
                <w:szCs w:val="20"/>
              </w:rPr>
            </w:pPr>
            <w:r w:rsidRPr="00BB3C18">
              <w:rPr>
                <w:rFonts w:asciiTheme="minorHAnsi" w:hAnsiTheme="minorHAnsi" w:cstheme="minorHAnsi"/>
                <w:b/>
                <w:sz w:val="20"/>
                <w:szCs w:val="20"/>
              </w:rPr>
              <w:t>£</w:t>
            </w:r>
          </w:p>
        </w:tc>
      </w:tr>
      <w:tr w:rsidR="00AF3D52" w:rsidRPr="00BB3C18" w14:paraId="545429DB" w14:textId="77777777" w:rsidTr="000B0042">
        <w:tc>
          <w:tcPr>
            <w:tcW w:w="6373" w:type="dxa"/>
          </w:tcPr>
          <w:p w14:paraId="3158D8E1" w14:textId="56F03448" w:rsidR="00AF3D52" w:rsidRPr="00BB3C18" w:rsidRDefault="00AF3D52" w:rsidP="009D54F6">
            <w:pPr>
              <w:widowControl w:val="0"/>
              <w:spacing w:line="276" w:lineRule="auto"/>
              <w:ind w:hanging="108"/>
              <w:rPr>
                <w:rFonts w:asciiTheme="minorHAnsi" w:hAnsiTheme="minorHAnsi" w:cstheme="minorHAnsi"/>
                <w:b/>
                <w:sz w:val="20"/>
                <w:szCs w:val="20"/>
              </w:rPr>
            </w:pPr>
          </w:p>
        </w:tc>
        <w:tc>
          <w:tcPr>
            <w:tcW w:w="1530" w:type="dxa"/>
          </w:tcPr>
          <w:p w14:paraId="388509BA" w14:textId="77777777" w:rsidR="00AF3D52" w:rsidRPr="00BB3C18" w:rsidRDefault="00AF3D52" w:rsidP="009D54F6">
            <w:pPr>
              <w:widowControl w:val="0"/>
              <w:spacing w:line="276" w:lineRule="auto"/>
              <w:jc w:val="right"/>
              <w:rPr>
                <w:rFonts w:asciiTheme="minorHAnsi" w:hAnsiTheme="minorHAnsi" w:cstheme="minorHAnsi"/>
                <w:sz w:val="20"/>
                <w:szCs w:val="20"/>
              </w:rPr>
            </w:pPr>
          </w:p>
        </w:tc>
        <w:tc>
          <w:tcPr>
            <w:tcW w:w="1578" w:type="dxa"/>
          </w:tcPr>
          <w:p w14:paraId="62D3042D" w14:textId="77777777" w:rsidR="00AF3D52" w:rsidRPr="00BB3C18" w:rsidRDefault="00AF3D52" w:rsidP="009D54F6">
            <w:pPr>
              <w:widowControl w:val="0"/>
              <w:spacing w:line="276" w:lineRule="auto"/>
              <w:jc w:val="right"/>
              <w:rPr>
                <w:rFonts w:asciiTheme="minorHAnsi" w:hAnsiTheme="minorHAnsi" w:cstheme="minorHAnsi"/>
                <w:sz w:val="20"/>
                <w:szCs w:val="20"/>
              </w:rPr>
            </w:pPr>
          </w:p>
        </w:tc>
      </w:tr>
      <w:tr w:rsidR="00AF3D52" w:rsidRPr="00BB3C18" w14:paraId="28A6B802" w14:textId="77777777" w:rsidTr="001C3609">
        <w:tc>
          <w:tcPr>
            <w:tcW w:w="6373" w:type="dxa"/>
          </w:tcPr>
          <w:p w14:paraId="3BD6ABE6" w14:textId="5945DB53" w:rsidR="00AF3D52" w:rsidRPr="00BB3C18" w:rsidRDefault="00BE0D83" w:rsidP="009D54F6">
            <w:pPr>
              <w:widowControl w:val="0"/>
              <w:spacing w:line="276" w:lineRule="auto"/>
              <w:ind w:hanging="108"/>
              <w:rPr>
                <w:rFonts w:asciiTheme="minorHAnsi" w:hAnsiTheme="minorHAnsi" w:cstheme="minorHAnsi"/>
                <w:sz w:val="20"/>
                <w:szCs w:val="20"/>
              </w:rPr>
            </w:pPr>
            <w:r>
              <w:rPr>
                <w:rFonts w:asciiTheme="minorHAnsi" w:hAnsiTheme="minorHAnsi" w:cstheme="minorHAnsi"/>
                <w:sz w:val="20"/>
                <w:szCs w:val="20"/>
              </w:rPr>
              <w:t>Current tax</w:t>
            </w:r>
          </w:p>
        </w:tc>
        <w:tc>
          <w:tcPr>
            <w:tcW w:w="1530" w:type="dxa"/>
            <w:tcBorders>
              <w:bottom w:val="single" w:sz="4" w:space="0" w:color="auto"/>
            </w:tcBorders>
            <w:shd w:val="clear" w:color="auto" w:fill="auto"/>
          </w:tcPr>
          <w:p w14:paraId="358D5B44" w14:textId="545C20F3" w:rsidR="00AF3D52" w:rsidRPr="001C3609" w:rsidRDefault="002E0E8D" w:rsidP="009D54F6">
            <w:pPr>
              <w:widowControl w:val="0"/>
              <w:spacing w:line="276" w:lineRule="auto"/>
              <w:jc w:val="right"/>
              <w:rPr>
                <w:rFonts w:asciiTheme="minorHAnsi" w:hAnsiTheme="minorHAnsi" w:cstheme="minorHAnsi"/>
                <w:sz w:val="20"/>
                <w:szCs w:val="20"/>
              </w:rPr>
            </w:pPr>
            <w:r w:rsidRPr="001C3609">
              <w:rPr>
                <w:rFonts w:asciiTheme="minorHAnsi" w:hAnsiTheme="minorHAnsi" w:cstheme="minorHAnsi"/>
                <w:sz w:val="20"/>
                <w:szCs w:val="20"/>
              </w:rPr>
              <w:t>-</w:t>
            </w:r>
          </w:p>
        </w:tc>
        <w:tc>
          <w:tcPr>
            <w:tcW w:w="1578" w:type="dxa"/>
            <w:tcBorders>
              <w:bottom w:val="single" w:sz="4" w:space="0" w:color="auto"/>
            </w:tcBorders>
            <w:shd w:val="clear" w:color="auto" w:fill="auto"/>
          </w:tcPr>
          <w:p w14:paraId="0AF308D6" w14:textId="5328152E" w:rsidR="00AF3D52" w:rsidRPr="001C3609" w:rsidRDefault="00BE76F7" w:rsidP="009D54F6">
            <w:pPr>
              <w:widowControl w:val="0"/>
              <w:spacing w:line="276" w:lineRule="auto"/>
              <w:jc w:val="right"/>
              <w:rPr>
                <w:rFonts w:asciiTheme="minorHAnsi" w:hAnsiTheme="minorHAnsi" w:cstheme="minorHAnsi"/>
                <w:sz w:val="20"/>
                <w:szCs w:val="20"/>
              </w:rPr>
            </w:pPr>
            <w:r w:rsidRPr="001C3609">
              <w:rPr>
                <w:rFonts w:asciiTheme="minorHAnsi" w:hAnsiTheme="minorHAnsi" w:cstheme="minorHAnsi"/>
                <w:sz w:val="20"/>
                <w:szCs w:val="20"/>
              </w:rPr>
              <w:t>-</w:t>
            </w:r>
          </w:p>
        </w:tc>
      </w:tr>
      <w:tr w:rsidR="00AF3D52" w:rsidRPr="00BB3C18" w14:paraId="1D92668E" w14:textId="77777777" w:rsidTr="001C3609">
        <w:tc>
          <w:tcPr>
            <w:tcW w:w="6373" w:type="dxa"/>
            <w:tcBorders>
              <w:right w:val="single" w:sz="4" w:space="0" w:color="auto"/>
            </w:tcBorders>
          </w:tcPr>
          <w:p w14:paraId="1EEDFC65" w14:textId="67FBF1DE" w:rsidR="00AF3D52" w:rsidRPr="00BB3C18" w:rsidRDefault="00AF3D52" w:rsidP="009D54F6">
            <w:pPr>
              <w:widowControl w:val="0"/>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 xml:space="preserve">Total current tax </w:t>
            </w:r>
          </w:p>
        </w:tc>
        <w:tc>
          <w:tcPr>
            <w:tcW w:w="1530" w:type="dxa"/>
            <w:tcBorders>
              <w:top w:val="single" w:sz="4" w:space="0" w:color="auto"/>
              <w:left w:val="single" w:sz="4" w:space="0" w:color="auto"/>
              <w:bottom w:val="single" w:sz="4" w:space="0" w:color="auto"/>
            </w:tcBorders>
            <w:shd w:val="clear" w:color="auto" w:fill="auto"/>
          </w:tcPr>
          <w:p w14:paraId="2AF8761A" w14:textId="6D68DB59" w:rsidR="00AF3D52" w:rsidRPr="001C3609" w:rsidRDefault="002E0E8D" w:rsidP="009D54F6">
            <w:pPr>
              <w:widowControl w:val="0"/>
              <w:spacing w:line="276" w:lineRule="auto"/>
              <w:jc w:val="right"/>
              <w:rPr>
                <w:rFonts w:asciiTheme="minorHAnsi" w:hAnsiTheme="minorHAnsi" w:cstheme="minorHAnsi"/>
                <w:sz w:val="20"/>
                <w:szCs w:val="20"/>
              </w:rPr>
            </w:pPr>
            <w:r w:rsidRPr="001C3609">
              <w:rPr>
                <w:rFonts w:asciiTheme="minorHAnsi" w:hAnsiTheme="minorHAnsi" w:cstheme="minorHAnsi"/>
                <w:sz w:val="20"/>
                <w:szCs w:val="20"/>
              </w:rPr>
              <w:t>-</w:t>
            </w:r>
          </w:p>
        </w:tc>
        <w:tc>
          <w:tcPr>
            <w:tcW w:w="1578" w:type="dxa"/>
            <w:tcBorders>
              <w:top w:val="single" w:sz="4" w:space="0" w:color="auto"/>
              <w:bottom w:val="single" w:sz="4" w:space="0" w:color="auto"/>
              <w:right w:val="single" w:sz="4" w:space="0" w:color="auto"/>
            </w:tcBorders>
            <w:shd w:val="clear" w:color="auto" w:fill="auto"/>
          </w:tcPr>
          <w:p w14:paraId="18D77AE5" w14:textId="43C157C2" w:rsidR="00AF3D52" w:rsidRPr="001C3609" w:rsidRDefault="00BE76F7" w:rsidP="009D54F6">
            <w:pPr>
              <w:widowControl w:val="0"/>
              <w:spacing w:line="276" w:lineRule="auto"/>
              <w:jc w:val="right"/>
              <w:rPr>
                <w:rFonts w:asciiTheme="minorHAnsi" w:hAnsiTheme="minorHAnsi" w:cstheme="minorHAnsi"/>
                <w:sz w:val="20"/>
                <w:szCs w:val="20"/>
              </w:rPr>
            </w:pPr>
            <w:r w:rsidRPr="001C3609">
              <w:rPr>
                <w:rFonts w:asciiTheme="minorHAnsi" w:hAnsiTheme="minorHAnsi" w:cstheme="minorHAnsi"/>
                <w:sz w:val="20"/>
                <w:szCs w:val="20"/>
              </w:rPr>
              <w:t>-</w:t>
            </w:r>
          </w:p>
        </w:tc>
      </w:tr>
    </w:tbl>
    <w:p w14:paraId="08E51447" w14:textId="378F293E" w:rsidR="00452FAB" w:rsidRDefault="00452FAB">
      <w:pPr>
        <w:rPr>
          <w:rFonts w:asciiTheme="minorHAnsi" w:eastAsia="Calibri" w:hAnsiTheme="minorHAnsi" w:cstheme="minorHAnsi"/>
          <w:b/>
          <w:sz w:val="20"/>
          <w:szCs w:val="20"/>
          <w:lang w:eastAsia="en-US"/>
        </w:rPr>
      </w:pPr>
    </w:p>
    <w:p w14:paraId="0A1FDC05" w14:textId="77777777" w:rsidR="001F2CB0" w:rsidRDefault="001F2CB0" w:rsidP="005E3F0A">
      <w:pPr>
        <w:widowControl w:val="0"/>
        <w:spacing w:before="240" w:line="276" w:lineRule="auto"/>
        <w:ind w:left="567"/>
        <w:jc w:val="both"/>
        <w:rPr>
          <w:rFonts w:asciiTheme="minorHAnsi" w:hAnsiTheme="minorHAnsi" w:cstheme="minorHAnsi"/>
          <w:sz w:val="20"/>
          <w:szCs w:val="20"/>
        </w:rPr>
      </w:pPr>
    </w:p>
    <w:p w14:paraId="0BA4A49A" w14:textId="77777777" w:rsidR="001F2CB0" w:rsidRDefault="001F2CB0" w:rsidP="005E3F0A">
      <w:pPr>
        <w:widowControl w:val="0"/>
        <w:spacing w:before="240" w:line="276" w:lineRule="auto"/>
        <w:ind w:left="567"/>
        <w:jc w:val="both"/>
        <w:rPr>
          <w:rFonts w:asciiTheme="minorHAnsi" w:hAnsiTheme="minorHAnsi" w:cstheme="minorHAnsi"/>
          <w:sz w:val="20"/>
          <w:szCs w:val="20"/>
        </w:rPr>
      </w:pPr>
    </w:p>
    <w:p w14:paraId="538F0BF1" w14:textId="77777777" w:rsidR="001F2CB0" w:rsidRDefault="001F2CB0" w:rsidP="005E3F0A">
      <w:pPr>
        <w:widowControl w:val="0"/>
        <w:spacing w:before="240" w:line="276" w:lineRule="auto"/>
        <w:ind w:left="567"/>
        <w:jc w:val="both"/>
        <w:rPr>
          <w:rFonts w:asciiTheme="minorHAnsi" w:hAnsiTheme="minorHAnsi" w:cstheme="minorHAnsi"/>
          <w:sz w:val="20"/>
          <w:szCs w:val="20"/>
        </w:rPr>
      </w:pPr>
    </w:p>
    <w:p w14:paraId="2F1D480C" w14:textId="77777777" w:rsidR="001F2CB0" w:rsidRDefault="001F2CB0" w:rsidP="005E3F0A">
      <w:pPr>
        <w:widowControl w:val="0"/>
        <w:spacing w:before="240" w:line="276" w:lineRule="auto"/>
        <w:ind w:left="567"/>
        <w:jc w:val="both"/>
        <w:rPr>
          <w:rFonts w:asciiTheme="minorHAnsi" w:hAnsiTheme="minorHAnsi" w:cstheme="minorHAnsi"/>
          <w:sz w:val="20"/>
          <w:szCs w:val="20"/>
        </w:rPr>
      </w:pPr>
    </w:p>
    <w:p w14:paraId="70E843EB" w14:textId="77777777" w:rsidR="001F2CB0" w:rsidRDefault="001F2CB0" w:rsidP="005E3F0A">
      <w:pPr>
        <w:widowControl w:val="0"/>
        <w:spacing w:before="240" w:line="276" w:lineRule="auto"/>
        <w:ind w:left="567"/>
        <w:jc w:val="both"/>
        <w:rPr>
          <w:rFonts w:asciiTheme="minorHAnsi" w:hAnsiTheme="minorHAnsi" w:cstheme="minorHAnsi"/>
          <w:sz w:val="20"/>
          <w:szCs w:val="20"/>
        </w:rPr>
      </w:pPr>
    </w:p>
    <w:p w14:paraId="10137A5D" w14:textId="3F67173A" w:rsidR="001F2CB0" w:rsidRPr="00BB3C18" w:rsidRDefault="001F2CB0" w:rsidP="00B2796D">
      <w:pPr>
        <w:pStyle w:val="ListParagraph"/>
        <w:keepNext/>
        <w:keepLines/>
        <w:numPr>
          <w:ilvl w:val="0"/>
          <w:numId w:val="46"/>
        </w:numPr>
        <w:spacing w:before="240" w:line="276" w:lineRule="auto"/>
        <w:ind w:left="567" w:hanging="283"/>
        <w:contextualSpacing w:val="0"/>
        <w:jc w:val="both"/>
        <w:rPr>
          <w:rFonts w:asciiTheme="minorHAnsi" w:hAnsiTheme="minorHAnsi" w:cstheme="minorHAnsi"/>
          <w:b/>
          <w:sz w:val="20"/>
          <w:szCs w:val="20"/>
        </w:rPr>
      </w:pPr>
      <w:r w:rsidRPr="00BB3C18">
        <w:rPr>
          <w:rFonts w:asciiTheme="minorHAnsi" w:hAnsiTheme="minorHAnsi" w:cstheme="minorHAnsi"/>
          <w:b/>
          <w:sz w:val="20"/>
          <w:szCs w:val="20"/>
        </w:rPr>
        <w:lastRenderedPageBreak/>
        <w:t>Taxation</w:t>
      </w:r>
      <w:r w:rsidR="00677C40">
        <w:rPr>
          <w:rFonts w:asciiTheme="minorHAnsi" w:hAnsiTheme="minorHAnsi" w:cstheme="minorHAnsi"/>
          <w:b/>
          <w:sz w:val="20"/>
          <w:szCs w:val="20"/>
        </w:rPr>
        <w:t xml:space="preserve"> (continued)</w:t>
      </w:r>
    </w:p>
    <w:p w14:paraId="6A7FC9EE" w14:textId="198292EC" w:rsidR="00AF3D52" w:rsidRPr="00BB3C18" w:rsidRDefault="00AF3D52" w:rsidP="005E3F0A">
      <w:pPr>
        <w:widowControl w:val="0"/>
        <w:spacing w:before="240" w:line="276" w:lineRule="auto"/>
        <w:ind w:left="567"/>
        <w:jc w:val="both"/>
        <w:rPr>
          <w:rFonts w:asciiTheme="minorHAnsi" w:hAnsiTheme="minorHAnsi" w:cstheme="minorHAnsi"/>
          <w:sz w:val="20"/>
          <w:szCs w:val="20"/>
        </w:rPr>
      </w:pPr>
      <w:r w:rsidRPr="00BB3C18">
        <w:rPr>
          <w:rFonts w:asciiTheme="minorHAnsi" w:hAnsiTheme="minorHAnsi" w:cstheme="minorHAnsi"/>
          <w:sz w:val="20"/>
          <w:szCs w:val="20"/>
        </w:rPr>
        <w:t xml:space="preserve">The reason for the difference between the actual tax charge for the period and the standard rate of corporation tax in the United Kingdom applied to losses for the </w:t>
      </w:r>
      <w:r w:rsidR="008557B5" w:rsidRPr="00BB3C18">
        <w:rPr>
          <w:rFonts w:asciiTheme="minorHAnsi" w:hAnsiTheme="minorHAnsi" w:cstheme="minorHAnsi"/>
          <w:sz w:val="20"/>
          <w:szCs w:val="20"/>
        </w:rPr>
        <w:t>period</w:t>
      </w:r>
      <w:r w:rsidRPr="00BB3C18">
        <w:rPr>
          <w:rFonts w:asciiTheme="minorHAnsi" w:hAnsiTheme="minorHAnsi" w:cstheme="minorHAnsi"/>
          <w:sz w:val="20"/>
          <w:szCs w:val="20"/>
        </w:rPr>
        <w:t xml:space="preserve"> are as follows:</w:t>
      </w:r>
    </w:p>
    <w:tbl>
      <w:tblPr>
        <w:tblW w:w="9498" w:type="dxa"/>
        <w:tblInd w:w="567" w:type="dxa"/>
        <w:tblLayout w:type="fixed"/>
        <w:tblLook w:val="00A0" w:firstRow="1" w:lastRow="0" w:firstColumn="1" w:lastColumn="0" w:noHBand="0" w:noVBand="0"/>
      </w:tblPr>
      <w:tblGrid>
        <w:gridCol w:w="6376"/>
        <w:gridCol w:w="1559"/>
        <w:gridCol w:w="1563"/>
      </w:tblGrid>
      <w:tr w:rsidR="0027088B" w:rsidRPr="00BB3C18" w14:paraId="0467E7B4" w14:textId="77777777" w:rsidTr="0027088B">
        <w:tc>
          <w:tcPr>
            <w:tcW w:w="6376" w:type="dxa"/>
          </w:tcPr>
          <w:p w14:paraId="04B9200A" w14:textId="77777777" w:rsidR="00AF3D52" w:rsidRPr="00BB3C18" w:rsidRDefault="00AF3D52" w:rsidP="009D54F6">
            <w:pPr>
              <w:widowControl w:val="0"/>
              <w:spacing w:line="276" w:lineRule="auto"/>
              <w:jc w:val="right"/>
              <w:rPr>
                <w:rFonts w:asciiTheme="minorHAnsi" w:hAnsiTheme="minorHAnsi" w:cstheme="minorHAnsi"/>
                <w:b/>
                <w:sz w:val="20"/>
                <w:szCs w:val="20"/>
              </w:rPr>
            </w:pPr>
          </w:p>
        </w:tc>
        <w:tc>
          <w:tcPr>
            <w:tcW w:w="1559" w:type="dxa"/>
          </w:tcPr>
          <w:p w14:paraId="743FA3E4" w14:textId="4898C601" w:rsidR="007233A5" w:rsidRDefault="007233A5" w:rsidP="007233A5">
            <w:pPr>
              <w:keepNext/>
              <w:spacing w:line="276" w:lineRule="auto"/>
              <w:ind w:left="-203"/>
              <w:jc w:val="right"/>
              <w:rPr>
                <w:rFonts w:asciiTheme="minorHAnsi" w:hAnsiTheme="minorHAnsi" w:cstheme="minorHAnsi"/>
                <w:b/>
                <w:sz w:val="20"/>
                <w:szCs w:val="20"/>
              </w:rPr>
            </w:pPr>
          </w:p>
          <w:p w14:paraId="4D0ED1D6" w14:textId="6BD05D75" w:rsidR="00AF3D52" w:rsidRPr="00BB3C18" w:rsidRDefault="007D7334" w:rsidP="007233A5">
            <w:pPr>
              <w:widowControl w:val="0"/>
              <w:spacing w:line="276" w:lineRule="auto"/>
              <w:ind w:left="-203"/>
              <w:jc w:val="right"/>
              <w:rPr>
                <w:rFonts w:asciiTheme="minorHAnsi" w:hAnsiTheme="minorHAnsi" w:cstheme="minorHAnsi"/>
                <w:sz w:val="20"/>
                <w:szCs w:val="20"/>
              </w:rPr>
            </w:pPr>
            <w:r>
              <w:rPr>
                <w:rFonts w:asciiTheme="minorHAnsi" w:hAnsiTheme="minorHAnsi" w:cstheme="minorHAnsi"/>
                <w:b/>
                <w:sz w:val="20"/>
                <w:szCs w:val="20"/>
              </w:rPr>
              <w:t>Year</w:t>
            </w:r>
            <w:r w:rsidR="007233A5" w:rsidRPr="00BB3C18">
              <w:rPr>
                <w:rFonts w:asciiTheme="minorHAnsi" w:hAnsiTheme="minorHAnsi" w:cstheme="minorHAnsi"/>
                <w:b/>
                <w:sz w:val="20"/>
                <w:szCs w:val="20"/>
              </w:rPr>
              <w:t xml:space="preserve"> ended</w:t>
            </w:r>
            <w:r w:rsidR="007233A5" w:rsidRPr="00BB3C18">
              <w:rPr>
                <w:rFonts w:asciiTheme="minorHAnsi" w:hAnsiTheme="minorHAnsi" w:cstheme="minorHAnsi"/>
                <w:b/>
                <w:sz w:val="20"/>
                <w:szCs w:val="20"/>
              </w:rPr>
              <w:br/>
              <w:t xml:space="preserve">30 June </w:t>
            </w:r>
            <w:r w:rsidR="00AF3D52" w:rsidRPr="00BB3C18">
              <w:rPr>
                <w:rFonts w:asciiTheme="minorHAnsi" w:hAnsiTheme="minorHAnsi" w:cstheme="minorHAnsi"/>
                <w:b/>
                <w:sz w:val="20"/>
                <w:szCs w:val="20"/>
              </w:rPr>
              <w:t>20</w:t>
            </w:r>
            <w:r>
              <w:rPr>
                <w:rFonts w:asciiTheme="minorHAnsi" w:hAnsiTheme="minorHAnsi" w:cstheme="minorHAnsi"/>
                <w:b/>
                <w:sz w:val="20"/>
                <w:szCs w:val="20"/>
              </w:rPr>
              <w:t>2</w:t>
            </w:r>
            <w:r w:rsidR="00A75619">
              <w:rPr>
                <w:rFonts w:asciiTheme="minorHAnsi" w:hAnsiTheme="minorHAnsi" w:cstheme="minorHAnsi"/>
                <w:b/>
                <w:sz w:val="20"/>
                <w:szCs w:val="20"/>
              </w:rPr>
              <w:t>2</w:t>
            </w:r>
            <w:r w:rsidR="00AF3D52" w:rsidRPr="00BB3C18">
              <w:rPr>
                <w:rFonts w:asciiTheme="minorHAnsi" w:hAnsiTheme="minorHAnsi" w:cstheme="minorHAnsi"/>
                <w:b/>
                <w:sz w:val="20"/>
                <w:szCs w:val="20"/>
              </w:rPr>
              <w:br/>
              <w:t>£</w:t>
            </w:r>
          </w:p>
        </w:tc>
        <w:tc>
          <w:tcPr>
            <w:tcW w:w="1563" w:type="dxa"/>
          </w:tcPr>
          <w:p w14:paraId="43852E85" w14:textId="77777777" w:rsidR="006E2F0F" w:rsidRDefault="006E2F0F" w:rsidP="007D7334">
            <w:pPr>
              <w:keepNext/>
              <w:spacing w:line="276" w:lineRule="auto"/>
              <w:ind w:left="-203"/>
              <w:jc w:val="right"/>
              <w:rPr>
                <w:rFonts w:asciiTheme="minorHAnsi" w:hAnsiTheme="minorHAnsi" w:cstheme="minorHAnsi"/>
                <w:b/>
                <w:sz w:val="20"/>
                <w:szCs w:val="20"/>
              </w:rPr>
            </w:pPr>
          </w:p>
          <w:p w14:paraId="46E39C34" w14:textId="57C62BB6" w:rsidR="007233A5" w:rsidRDefault="006E2F0F" w:rsidP="007D7334">
            <w:pPr>
              <w:keepNext/>
              <w:spacing w:line="276" w:lineRule="auto"/>
              <w:ind w:left="-203"/>
              <w:jc w:val="right"/>
              <w:rPr>
                <w:rFonts w:asciiTheme="minorHAnsi" w:hAnsiTheme="minorHAnsi" w:cstheme="minorHAnsi"/>
                <w:b/>
                <w:sz w:val="20"/>
                <w:szCs w:val="20"/>
              </w:rPr>
            </w:pPr>
            <w:r>
              <w:rPr>
                <w:rFonts w:asciiTheme="minorHAnsi" w:hAnsiTheme="minorHAnsi" w:cstheme="minorHAnsi"/>
                <w:b/>
                <w:sz w:val="20"/>
                <w:szCs w:val="20"/>
              </w:rPr>
              <w:t>Year</w:t>
            </w:r>
            <w:r w:rsidR="007D7334" w:rsidRPr="00BB3C18">
              <w:rPr>
                <w:rFonts w:asciiTheme="minorHAnsi" w:hAnsiTheme="minorHAnsi" w:cstheme="minorHAnsi"/>
                <w:b/>
                <w:sz w:val="20"/>
                <w:szCs w:val="20"/>
              </w:rPr>
              <w:t xml:space="preserve"> ended</w:t>
            </w:r>
            <w:r w:rsidR="007D7334" w:rsidRPr="00BB3C18">
              <w:rPr>
                <w:rFonts w:asciiTheme="minorHAnsi" w:hAnsiTheme="minorHAnsi" w:cstheme="minorHAnsi"/>
                <w:b/>
                <w:sz w:val="20"/>
                <w:szCs w:val="20"/>
              </w:rPr>
              <w:br/>
              <w:t>30 June 20</w:t>
            </w:r>
            <w:r>
              <w:rPr>
                <w:rFonts w:asciiTheme="minorHAnsi" w:hAnsiTheme="minorHAnsi" w:cstheme="minorHAnsi"/>
                <w:b/>
                <w:sz w:val="20"/>
                <w:szCs w:val="20"/>
              </w:rPr>
              <w:t>2</w:t>
            </w:r>
            <w:r w:rsidR="00A75619">
              <w:rPr>
                <w:rFonts w:asciiTheme="minorHAnsi" w:hAnsiTheme="minorHAnsi" w:cstheme="minorHAnsi"/>
                <w:b/>
                <w:sz w:val="20"/>
                <w:szCs w:val="20"/>
              </w:rPr>
              <w:t>1</w:t>
            </w:r>
          </w:p>
          <w:p w14:paraId="038AF1B9" w14:textId="77777777" w:rsidR="00AF3D52" w:rsidRPr="00BB3C18" w:rsidRDefault="00AF3D52" w:rsidP="009D54F6">
            <w:pPr>
              <w:widowControl w:val="0"/>
              <w:spacing w:line="276" w:lineRule="auto"/>
              <w:ind w:right="-74"/>
              <w:jc w:val="right"/>
              <w:rPr>
                <w:rFonts w:asciiTheme="minorHAnsi" w:hAnsiTheme="minorHAnsi" w:cstheme="minorHAnsi"/>
                <w:sz w:val="20"/>
                <w:szCs w:val="20"/>
              </w:rPr>
            </w:pPr>
            <w:r w:rsidRPr="00BB3C18">
              <w:rPr>
                <w:rFonts w:asciiTheme="minorHAnsi" w:hAnsiTheme="minorHAnsi" w:cstheme="minorHAnsi"/>
                <w:b/>
                <w:sz w:val="20"/>
                <w:szCs w:val="20"/>
              </w:rPr>
              <w:t>£</w:t>
            </w:r>
          </w:p>
        </w:tc>
      </w:tr>
      <w:tr w:rsidR="006E2F0F" w:rsidRPr="00BB3C18" w14:paraId="15DA0402" w14:textId="77777777" w:rsidTr="0027088B">
        <w:tc>
          <w:tcPr>
            <w:tcW w:w="6376" w:type="dxa"/>
          </w:tcPr>
          <w:p w14:paraId="22BCCD75" w14:textId="77777777" w:rsidR="006E2F0F" w:rsidRDefault="006E2F0F" w:rsidP="006E2F0F">
            <w:pPr>
              <w:widowControl w:val="0"/>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Loss before taxation</w:t>
            </w:r>
          </w:p>
          <w:p w14:paraId="110DE679" w14:textId="4029E82D" w:rsidR="007463B1" w:rsidRPr="00BB3C18" w:rsidRDefault="007463B1" w:rsidP="006E2F0F">
            <w:pPr>
              <w:widowControl w:val="0"/>
              <w:spacing w:line="276" w:lineRule="auto"/>
              <w:ind w:hanging="108"/>
              <w:rPr>
                <w:rFonts w:asciiTheme="minorHAnsi" w:hAnsiTheme="minorHAnsi" w:cstheme="minorHAnsi"/>
                <w:sz w:val="20"/>
                <w:szCs w:val="20"/>
              </w:rPr>
            </w:pPr>
          </w:p>
        </w:tc>
        <w:tc>
          <w:tcPr>
            <w:tcW w:w="1559" w:type="dxa"/>
          </w:tcPr>
          <w:p w14:paraId="5D4F7544" w14:textId="5A7D8119" w:rsidR="006E2F0F" w:rsidRPr="001C3609" w:rsidRDefault="00DA499B" w:rsidP="006E2F0F">
            <w:pPr>
              <w:widowControl w:val="0"/>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1F2CB0">
              <w:rPr>
                <w:rFonts w:asciiTheme="minorHAnsi" w:hAnsiTheme="minorHAnsi" w:cstheme="minorHAnsi"/>
                <w:sz w:val="20"/>
                <w:szCs w:val="20"/>
              </w:rPr>
              <w:t>762,107</w:t>
            </w:r>
            <w:r>
              <w:rPr>
                <w:rFonts w:asciiTheme="minorHAnsi" w:hAnsiTheme="minorHAnsi" w:cstheme="minorHAnsi"/>
                <w:sz w:val="20"/>
                <w:szCs w:val="20"/>
              </w:rPr>
              <w:t>)</w:t>
            </w:r>
          </w:p>
        </w:tc>
        <w:tc>
          <w:tcPr>
            <w:tcW w:w="1563" w:type="dxa"/>
          </w:tcPr>
          <w:p w14:paraId="4C528C37" w14:textId="482719C0" w:rsidR="006E2F0F" w:rsidRPr="00BB3C18" w:rsidRDefault="006E2F0F" w:rsidP="006E2F0F">
            <w:pPr>
              <w:widowControl w:val="0"/>
              <w:spacing w:line="276" w:lineRule="auto"/>
              <w:jc w:val="right"/>
              <w:rPr>
                <w:rFonts w:asciiTheme="minorHAnsi" w:hAnsiTheme="minorHAnsi" w:cstheme="minorHAnsi"/>
                <w:sz w:val="20"/>
                <w:szCs w:val="20"/>
              </w:rPr>
            </w:pPr>
            <w:r w:rsidRPr="001C3609">
              <w:rPr>
                <w:rFonts w:asciiTheme="minorHAnsi" w:hAnsiTheme="minorHAnsi" w:cstheme="minorHAnsi"/>
                <w:sz w:val="20"/>
                <w:szCs w:val="20"/>
              </w:rPr>
              <w:t>(</w:t>
            </w:r>
            <w:r w:rsidR="00A75619">
              <w:rPr>
                <w:rFonts w:asciiTheme="minorHAnsi" w:hAnsiTheme="minorHAnsi" w:cstheme="minorHAnsi"/>
                <w:sz w:val="20"/>
                <w:szCs w:val="20"/>
              </w:rPr>
              <w:t>7,69</w:t>
            </w:r>
            <w:r w:rsidR="00D3747D">
              <w:rPr>
                <w:rFonts w:asciiTheme="minorHAnsi" w:hAnsiTheme="minorHAnsi" w:cstheme="minorHAnsi"/>
                <w:sz w:val="20"/>
                <w:szCs w:val="20"/>
              </w:rPr>
              <w:t>7,306</w:t>
            </w:r>
            <w:r w:rsidRPr="001C3609">
              <w:rPr>
                <w:rFonts w:asciiTheme="minorHAnsi" w:hAnsiTheme="minorHAnsi" w:cstheme="minorHAnsi"/>
                <w:sz w:val="20"/>
                <w:szCs w:val="20"/>
              </w:rPr>
              <w:t>)</w:t>
            </w:r>
          </w:p>
        </w:tc>
      </w:tr>
      <w:tr w:rsidR="006E2F0F" w:rsidRPr="00BB3C18" w14:paraId="523A2FD3" w14:textId="77777777" w:rsidTr="0027088B">
        <w:tc>
          <w:tcPr>
            <w:tcW w:w="6376" w:type="dxa"/>
          </w:tcPr>
          <w:p w14:paraId="48355A36" w14:textId="48A74A42" w:rsidR="006E2F0F" w:rsidRPr="00BB3C18" w:rsidRDefault="006E2F0F" w:rsidP="006E2F0F">
            <w:pPr>
              <w:widowControl w:val="0"/>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Tax using the parent company’s domestic tax rate of 19% (20</w:t>
            </w:r>
            <w:r w:rsidR="00DA499B">
              <w:rPr>
                <w:rFonts w:asciiTheme="minorHAnsi" w:hAnsiTheme="minorHAnsi" w:cstheme="minorHAnsi"/>
                <w:sz w:val="20"/>
                <w:szCs w:val="20"/>
              </w:rPr>
              <w:t>21</w:t>
            </w:r>
            <w:r w:rsidRPr="00BB3C18">
              <w:rPr>
                <w:rFonts w:asciiTheme="minorHAnsi" w:hAnsiTheme="minorHAnsi" w:cstheme="minorHAnsi"/>
                <w:sz w:val="20"/>
                <w:szCs w:val="20"/>
              </w:rPr>
              <w:t>: 19%)</w:t>
            </w:r>
          </w:p>
        </w:tc>
        <w:tc>
          <w:tcPr>
            <w:tcW w:w="1559" w:type="dxa"/>
          </w:tcPr>
          <w:p w14:paraId="41D2991E" w14:textId="386FED47" w:rsidR="006E2F0F" w:rsidRPr="00DA499B" w:rsidRDefault="00DA499B" w:rsidP="006E2F0F">
            <w:pPr>
              <w:widowControl w:val="0"/>
              <w:spacing w:line="276" w:lineRule="auto"/>
              <w:jc w:val="right"/>
              <w:rPr>
                <w:rFonts w:asciiTheme="minorHAnsi" w:hAnsiTheme="minorHAnsi" w:cstheme="minorHAnsi"/>
                <w:sz w:val="20"/>
                <w:szCs w:val="20"/>
                <w:highlight w:val="magenta"/>
              </w:rPr>
            </w:pPr>
            <w:r w:rsidRPr="00AA3771">
              <w:rPr>
                <w:rFonts w:asciiTheme="minorHAnsi" w:hAnsiTheme="minorHAnsi" w:cstheme="minorHAnsi"/>
                <w:sz w:val="20"/>
                <w:szCs w:val="20"/>
              </w:rPr>
              <w:t>(1</w:t>
            </w:r>
            <w:r w:rsidR="001F2CB0">
              <w:rPr>
                <w:rFonts w:asciiTheme="minorHAnsi" w:hAnsiTheme="minorHAnsi" w:cstheme="minorHAnsi"/>
                <w:sz w:val="20"/>
                <w:szCs w:val="20"/>
              </w:rPr>
              <w:t>44,800</w:t>
            </w:r>
            <w:r w:rsidRPr="00AA3771">
              <w:rPr>
                <w:rFonts w:asciiTheme="minorHAnsi" w:hAnsiTheme="minorHAnsi" w:cstheme="minorHAnsi"/>
                <w:sz w:val="20"/>
                <w:szCs w:val="20"/>
              </w:rPr>
              <w:t>)</w:t>
            </w:r>
          </w:p>
        </w:tc>
        <w:tc>
          <w:tcPr>
            <w:tcW w:w="1563" w:type="dxa"/>
          </w:tcPr>
          <w:p w14:paraId="4748E306" w14:textId="18EA116C" w:rsidR="006E2F0F" w:rsidRPr="00BB3C18" w:rsidRDefault="00A75619" w:rsidP="006E2F0F">
            <w:pPr>
              <w:widowControl w:val="0"/>
              <w:spacing w:line="276" w:lineRule="auto"/>
              <w:ind w:right="-436"/>
              <w:jc w:val="center"/>
              <w:rPr>
                <w:rFonts w:asciiTheme="minorHAnsi" w:hAnsiTheme="minorHAnsi" w:cstheme="minorHAnsi"/>
                <w:sz w:val="20"/>
                <w:szCs w:val="20"/>
              </w:rPr>
            </w:pPr>
            <w:r>
              <w:rPr>
                <w:rFonts w:asciiTheme="minorHAnsi" w:hAnsiTheme="minorHAnsi" w:cstheme="minorHAnsi"/>
                <w:sz w:val="20"/>
                <w:szCs w:val="20"/>
              </w:rPr>
              <w:t>(1,46</w:t>
            </w:r>
            <w:r w:rsidR="00D3747D">
              <w:rPr>
                <w:rFonts w:asciiTheme="minorHAnsi" w:hAnsiTheme="minorHAnsi" w:cstheme="minorHAnsi"/>
                <w:sz w:val="20"/>
                <w:szCs w:val="20"/>
              </w:rPr>
              <w:t>2</w:t>
            </w:r>
            <w:r w:rsidR="001F2CB0">
              <w:rPr>
                <w:rFonts w:asciiTheme="minorHAnsi" w:hAnsiTheme="minorHAnsi" w:cstheme="minorHAnsi"/>
                <w:sz w:val="20"/>
                <w:szCs w:val="20"/>
              </w:rPr>
              <w:t>,</w:t>
            </w:r>
            <w:r w:rsidR="00D3747D">
              <w:rPr>
                <w:rFonts w:asciiTheme="minorHAnsi" w:hAnsiTheme="minorHAnsi" w:cstheme="minorHAnsi"/>
                <w:sz w:val="20"/>
                <w:szCs w:val="20"/>
              </w:rPr>
              <w:t>488</w:t>
            </w:r>
            <w:r>
              <w:rPr>
                <w:rFonts w:asciiTheme="minorHAnsi" w:hAnsiTheme="minorHAnsi" w:cstheme="minorHAnsi"/>
                <w:sz w:val="20"/>
                <w:szCs w:val="20"/>
              </w:rPr>
              <w:t>)</w:t>
            </w:r>
          </w:p>
        </w:tc>
      </w:tr>
      <w:tr w:rsidR="006E2F0F" w:rsidRPr="00BB3C18" w14:paraId="0CCD795C" w14:textId="77777777" w:rsidTr="0027088B">
        <w:tc>
          <w:tcPr>
            <w:tcW w:w="6376" w:type="dxa"/>
          </w:tcPr>
          <w:p w14:paraId="10B099E6" w14:textId="77777777" w:rsidR="007463B1" w:rsidRDefault="007463B1" w:rsidP="006E2F0F">
            <w:pPr>
              <w:spacing w:line="276" w:lineRule="auto"/>
              <w:ind w:hanging="108"/>
              <w:rPr>
                <w:rFonts w:asciiTheme="minorHAnsi" w:hAnsiTheme="minorHAnsi" w:cstheme="minorHAnsi"/>
                <w:sz w:val="20"/>
                <w:szCs w:val="20"/>
              </w:rPr>
            </w:pPr>
          </w:p>
          <w:p w14:paraId="1D4998E8" w14:textId="4022C371" w:rsidR="006E2F0F" w:rsidRPr="00BB3C18" w:rsidRDefault="006E2F0F" w:rsidP="006E2F0F">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Effects of:</w:t>
            </w:r>
          </w:p>
        </w:tc>
        <w:tc>
          <w:tcPr>
            <w:tcW w:w="1559" w:type="dxa"/>
          </w:tcPr>
          <w:p w14:paraId="2B7BBB4C" w14:textId="77777777" w:rsidR="006E2F0F" w:rsidRPr="00DA499B" w:rsidRDefault="006E2F0F" w:rsidP="006E2F0F">
            <w:pPr>
              <w:spacing w:line="276" w:lineRule="auto"/>
              <w:jc w:val="right"/>
              <w:rPr>
                <w:rFonts w:asciiTheme="minorHAnsi" w:hAnsiTheme="minorHAnsi" w:cstheme="minorHAnsi"/>
                <w:sz w:val="20"/>
                <w:szCs w:val="20"/>
                <w:highlight w:val="magenta"/>
              </w:rPr>
            </w:pPr>
          </w:p>
        </w:tc>
        <w:tc>
          <w:tcPr>
            <w:tcW w:w="1563" w:type="dxa"/>
          </w:tcPr>
          <w:p w14:paraId="44CD233B" w14:textId="77777777" w:rsidR="006E2F0F" w:rsidRPr="00BB3C18" w:rsidRDefault="006E2F0F" w:rsidP="006E2F0F">
            <w:pPr>
              <w:spacing w:line="276" w:lineRule="auto"/>
              <w:jc w:val="right"/>
              <w:rPr>
                <w:rFonts w:asciiTheme="minorHAnsi" w:hAnsiTheme="minorHAnsi" w:cstheme="minorHAnsi"/>
                <w:sz w:val="20"/>
                <w:szCs w:val="20"/>
              </w:rPr>
            </w:pPr>
          </w:p>
        </w:tc>
      </w:tr>
      <w:tr w:rsidR="006E2F0F" w:rsidRPr="00BB3C18" w14:paraId="5BFA69FA" w14:textId="77777777" w:rsidTr="0027088B">
        <w:tc>
          <w:tcPr>
            <w:tcW w:w="6376" w:type="dxa"/>
          </w:tcPr>
          <w:p w14:paraId="41B5799E" w14:textId="1840B573" w:rsidR="006E2F0F" w:rsidRPr="00BB3C18" w:rsidRDefault="006E2F0F" w:rsidP="006E2F0F">
            <w:pPr>
              <w:spacing w:line="276" w:lineRule="auto"/>
              <w:ind w:hanging="108"/>
              <w:rPr>
                <w:rFonts w:asciiTheme="minorHAnsi" w:hAnsiTheme="minorHAnsi" w:cstheme="minorHAnsi"/>
                <w:sz w:val="20"/>
                <w:szCs w:val="20"/>
              </w:rPr>
            </w:pPr>
            <w:r w:rsidRPr="00BB3C18">
              <w:rPr>
                <w:rFonts w:asciiTheme="minorHAnsi" w:hAnsiTheme="minorHAnsi" w:cstheme="minorHAnsi"/>
                <w:sz w:val="20"/>
                <w:szCs w:val="20"/>
              </w:rPr>
              <w:t>Unrelieved tax losses and other deductions arising in the period</w:t>
            </w:r>
          </w:p>
        </w:tc>
        <w:tc>
          <w:tcPr>
            <w:tcW w:w="1559" w:type="dxa"/>
            <w:shd w:val="clear" w:color="auto" w:fill="auto"/>
          </w:tcPr>
          <w:p w14:paraId="6A0768E7" w14:textId="75EBAC15" w:rsidR="006E2F0F" w:rsidRPr="00DA499B" w:rsidRDefault="00DA499B" w:rsidP="006E2F0F">
            <w:pPr>
              <w:spacing w:line="276" w:lineRule="auto"/>
              <w:jc w:val="right"/>
              <w:rPr>
                <w:rFonts w:asciiTheme="minorHAnsi" w:hAnsiTheme="minorHAnsi" w:cstheme="minorHAnsi"/>
                <w:sz w:val="20"/>
                <w:szCs w:val="20"/>
                <w:highlight w:val="magenta"/>
              </w:rPr>
            </w:pPr>
            <w:r w:rsidRPr="00AA3771">
              <w:rPr>
                <w:rFonts w:asciiTheme="minorHAnsi" w:hAnsiTheme="minorHAnsi" w:cstheme="minorHAnsi"/>
                <w:sz w:val="20"/>
                <w:szCs w:val="20"/>
              </w:rPr>
              <w:t>1</w:t>
            </w:r>
            <w:r w:rsidR="001F2CB0">
              <w:rPr>
                <w:rFonts w:asciiTheme="minorHAnsi" w:hAnsiTheme="minorHAnsi" w:cstheme="minorHAnsi"/>
                <w:sz w:val="20"/>
                <w:szCs w:val="20"/>
              </w:rPr>
              <w:t>44,800</w:t>
            </w:r>
          </w:p>
        </w:tc>
        <w:tc>
          <w:tcPr>
            <w:tcW w:w="1563" w:type="dxa"/>
          </w:tcPr>
          <w:p w14:paraId="39506333" w14:textId="29770A21" w:rsidR="006E2F0F" w:rsidRPr="00AA3771" w:rsidRDefault="00A75619" w:rsidP="006E2F0F">
            <w:pPr>
              <w:spacing w:line="276" w:lineRule="auto"/>
              <w:jc w:val="right"/>
              <w:rPr>
                <w:rFonts w:asciiTheme="minorHAnsi" w:hAnsiTheme="minorHAnsi" w:cstheme="minorHAnsi"/>
                <w:sz w:val="20"/>
                <w:szCs w:val="20"/>
              </w:rPr>
            </w:pPr>
            <w:r w:rsidRPr="00AA3771">
              <w:rPr>
                <w:rFonts w:asciiTheme="minorHAnsi" w:hAnsiTheme="minorHAnsi" w:cstheme="minorHAnsi"/>
                <w:sz w:val="20"/>
                <w:szCs w:val="20"/>
              </w:rPr>
              <w:t>1,46</w:t>
            </w:r>
            <w:r w:rsidR="00D3747D">
              <w:rPr>
                <w:rFonts w:asciiTheme="minorHAnsi" w:hAnsiTheme="minorHAnsi" w:cstheme="minorHAnsi"/>
                <w:sz w:val="20"/>
                <w:szCs w:val="20"/>
              </w:rPr>
              <w:t>2,488</w:t>
            </w:r>
          </w:p>
        </w:tc>
      </w:tr>
      <w:tr w:rsidR="006E2F0F" w:rsidRPr="00BB3C18" w14:paraId="3847125A" w14:textId="77777777" w:rsidTr="0027088B">
        <w:tc>
          <w:tcPr>
            <w:tcW w:w="6376" w:type="dxa"/>
          </w:tcPr>
          <w:p w14:paraId="30C07C7B" w14:textId="05CDCFFD" w:rsidR="006E2F0F" w:rsidRPr="00BB3C18" w:rsidRDefault="006E2F0F" w:rsidP="007463B1">
            <w:pPr>
              <w:spacing w:line="276" w:lineRule="auto"/>
              <w:ind w:left="-105" w:hanging="3"/>
              <w:rPr>
                <w:rFonts w:asciiTheme="minorHAnsi" w:hAnsiTheme="minorHAnsi" w:cstheme="minorHAnsi"/>
                <w:sz w:val="20"/>
                <w:szCs w:val="20"/>
              </w:rPr>
            </w:pPr>
            <w:r w:rsidRPr="00BB3C18">
              <w:rPr>
                <w:rFonts w:asciiTheme="minorHAnsi" w:hAnsiTheme="minorHAnsi" w:cstheme="minorHAnsi"/>
                <w:sz w:val="20"/>
                <w:szCs w:val="20"/>
              </w:rPr>
              <w:t>Expenses not deductible for taxation purposes</w:t>
            </w:r>
          </w:p>
        </w:tc>
        <w:tc>
          <w:tcPr>
            <w:tcW w:w="1559" w:type="dxa"/>
            <w:shd w:val="clear" w:color="auto" w:fill="auto"/>
          </w:tcPr>
          <w:p w14:paraId="63743A4C" w14:textId="7356671A" w:rsidR="006E2F0F" w:rsidRPr="00A75619" w:rsidRDefault="00C1770C" w:rsidP="006E2F0F">
            <w:pPr>
              <w:spacing w:line="276" w:lineRule="auto"/>
              <w:jc w:val="right"/>
              <w:rPr>
                <w:rFonts w:asciiTheme="minorHAnsi" w:hAnsiTheme="minorHAnsi" w:cstheme="minorHAnsi"/>
                <w:sz w:val="20"/>
                <w:szCs w:val="20"/>
              </w:rPr>
            </w:pPr>
            <w:r w:rsidRPr="00A75619">
              <w:rPr>
                <w:rFonts w:asciiTheme="minorHAnsi" w:hAnsiTheme="minorHAnsi" w:cstheme="minorHAnsi"/>
                <w:sz w:val="20"/>
                <w:szCs w:val="20"/>
              </w:rPr>
              <w:t>-</w:t>
            </w:r>
          </w:p>
        </w:tc>
        <w:tc>
          <w:tcPr>
            <w:tcW w:w="1563" w:type="dxa"/>
          </w:tcPr>
          <w:p w14:paraId="7CED579D" w14:textId="3441DD84" w:rsidR="006E2F0F" w:rsidRPr="00AA3771" w:rsidRDefault="00A75619" w:rsidP="006E2F0F">
            <w:pPr>
              <w:spacing w:line="276" w:lineRule="auto"/>
              <w:ind w:left="241"/>
              <w:jc w:val="right"/>
              <w:rPr>
                <w:rFonts w:asciiTheme="minorHAnsi" w:hAnsiTheme="minorHAnsi" w:cstheme="minorHAnsi"/>
                <w:sz w:val="20"/>
                <w:szCs w:val="20"/>
              </w:rPr>
            </w:pPr>
            <w:r w:rsidRPr="00AA3771">
              <w:rPr>
                <w:rFonts w:asciiTheme="minorHAnsi" w:hAnsiTheme="minorHAnsi" w:cstheme="minorHAnsi"/>
                <w:sz w:val="20"/>
                <w:szCs w:val="20"/>
              </w:rPr>
              <w:t>-</w:t>
            </w:r>
          </w:p>
        </w:tc>
      </w:tr>
      <w:tr w:rsidR="0027088B" w:rsidRPr="00BB3C18" w14:paraId="46A1FBF1" w14:textId="77777777" w:rsidTr="0027088B">
        <w:tc>
          <w:tcPr>
            <w:tcW w:w="6376" w:type="dxa"/>
            <w:tcBorders>
              <w:right w:val="single" w:sz="4" w:space="0" w:color="auto"/>
            </w:tcBorders>
          </w:tcPr>
          <w:p w14:paraId="08C5C28E" w14:textId="5AFF6921" w:rsidR="00AF3D52" w:rsidRPr="00BB3C18" w:rsidRDefault="00AF3D52" w:rsidP="000B0042">
            <w:pPr>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Total tax charged in the income statement</w:t>
            </w:r>
          </w:p>
        </w:tc>
        <w:tc>
          <w:tcPr>
            <w:tcW w:w="1559" w:type="dxa"/>
            <w:tcBorders>
              <w:top w:val="single" w:sz="4" w:space="0" w:color="auto"/>
              <w:left w:val="single" w:sz="4" w:space="0" w:color="auto"/>
              <w:bottom w:val="single" w:sz="4" w:space="0" w:color="auto"/>
            </w:tcBorders>
            <w:shd w:val="clear" w:color="auto" w:fill="auto"/>
          </w:tcPr>
          <w:p w14:paraId="25C57C42" w14:textId="55A8BDB4" w:rsidR="00AF3D52" w:rsidRPr="001C3609" w:rsidRDefault="002E0E8D" w:rsidP="000B0042">
            <w:pPr>
              <w:spacing w:line="276" w:lineRule="auto"/>
              <w:jc w:val="right"/>
              <w:rPr>
                <w:rFonts w:asciiTheme="minorHAnsi" w:hAnsiTheme="minorHAnsi" w:cstheme="minorHAnsi"/>
                <w:b/>
                <w:sz w:val="20"/>
                <w:szCs w:val="20"/>
              </w:rPr>
            </w:pPr>
            <w:r w:rsidRPr="001C3609">
              <w:rPr>
                <w:rFonts w:asciiTheme="minorHAnsi" w:hAnsiTheme="minorHAnsi" w:cstheme="minorHAnsi"/>
                <w:b/>
                <w:sz w:val="20"/>
                <w:szCs w:val="20"/>
              </w:rPr>
              <w:t>-</w:t>
            </w:r>
          </w:p>
        </w:tc>
        <w:tc>
          <w:tcPr>
            <w:tcW w:w="1563" w:type="dxa"/>
            <w:tcBorders>
              <w:top w:val="single" w:sz="4" w:space="0" w:color="auto"/>
              <w:bottom w:val="single" w:sz="4" w:space="0" w:color="auto"/>
              <w:right w:val="single" w:sz="4" w:space="0" w:color="auto"/>
            </w:tcBorders>
          </w:tcPr>
          <w:p w14:paraId="243CAC12" w14:textId="0ACBA6F5" w:rsidR="00AF3D52" w:rsidRPr="00BB3C18" w:rsidRDefault="00BE76F7" w:rsidP="000B0042">
            <w:pPr>
              <w:spacing w:line="276" w:lineRule="auto"/>
              <w:jc w:val="right"/>
              <w:rPr>
                <w:rFonts w:asciiTheme="minorHAnsi" w:hAnsiTheme="minorHAnsi" w:cstheme="minorHAnsi"/>
                <w:sz w:val="20"/>
                <w:szCs w:val="20"/>
              </w:rPr>
            </w:pPr>
            <w:r w:rsidRPr="00BB3C18">
              <w:rPr>
                <w:rFonts w:asciiTheme="minorHAnsi" w:hAnsiTheme="minorHAnsi" w:cstheme="minorHAnsi"/>
                <w:sz w:val="20"/>
                <w:szCs w:val="20"/>
              </w:rPr>
              <w:t>-</w:t>
            </w:r>
          </w:p>
        </w:tc>
      </w:tr>
    </w:tbl>
    <w:p w14:paraId="161191AD" w14:textId="2C21A29C" w:rsidR="00AF3D52" w:rsidRDefault="00AA3771" w:rsidP="00577045">
      <w:pPr>
        <w:pStyle w:val="ListParagraph"/>
        <w:keepNext/>
        <w:keepLines/>
        <w:spacing w:before="240" w:line="276" w:lineRule="auto"/>
        <w:ind w:left="567" w:right="-438"/>
        <w:contextualSpacing w:val="0"/>
        <w:jc w:val="both"/>
        <w:rPr>
          <w:rFonts w:asciiTheme="minorHAnsi" w:hAnsiTheme="minorHAnsi" w:cstheme="minorHAnsi"/>
          <w:sz w:val="20"/>
          <w:szCs w:val="20"/>
        </w:rPr>
      </w:pPr>
      <w:r>
        <w:rPr>
          <w:rFonts w:asciiTheme="minorHAnsi" w:hAnsiTheme="minorHAnsi" w:cstheme="minorHAnsi"/>
          <w:sz w:val="20"/>
          <w:szCs w:val="20"/>
        </w:rPr>
        <w:t>D</w:t>
      </w:r>
      <w:r w:rsidR="00AF3D52" w:rsidRPr="00BB3C18">
        <w:rPr>
          <w:rFonts w:asciiTheme="minorHAnsi" w:hAnsiTheme="minorHAnsi" w:cstheme="minorHAnsi"/>
          <w:sz w:val="20"/>
          <w:szCs w:val="20"/>
        </w:rPr>
        <w:t xml:space="preserve">eferred taxation </w:t>
      </w:r>
      <w:r w:rsidR="00AF3D52" w:rsidRPr="00A128EE">
        <w:rPr>
          <w:rFonts w:asciiTheme="minorHAnsi" w:hAnsiTheme="minorHAnsi" w:cstheme="minorHAnsi"/>
          <w:sz w:val="20"/>
          <w:szCs w:val="20"/>
        </w:rPr>
        <w:t>attributable</w:t>
      </w:r>
      <w:r w:rsidR="00AF3D52" w:rsidRPr="00BB3C18">
        <w:rPr>
          <w:rFonts w:asciiTheme="minorHAnsi" w:hAnsiTheme="minorHAnsi" w:cstheme="minorHAnsi"/>
          <w:sz w:val="20"/>
          <w:szCs w:val="20"/>
        </w:rPr>
        <w:t xml:space="preserve"> to losses arising in the</w:t>
      </w:r>
      <w:r w:rsidR="008557B5" w:rsidRPr="00BB3C18">
        <w:rPr>
          <w:rFonts w:asciiTheme="minorHAnsi" w:hAnsiTheme="minorHAnsi" w:cstheme="minorHAnsi"/>
          <w:sz w:val="20"/>
          <w:szCs w:val="20"/>
        </w:rPr>
        <w:t xml:space="preserve"> </w:t>
      </w:r>
      <w:r w:rsidR="006B2F38">
        <w:rPr>
          <w:rFonts w:asciiTheme="minorHAnsi" w:hAnsiTheme="minorHAnsi" w:cstheme="minorHAnsi"/>
          <w:sz w:val="20"/>
          <w:szCs w:val="20"/>
        </w:rPr>
        <w:t>year</w:t>
      </w:r>
      <w:r w:rsidR="00AF3D52" w:rsidRPr="00BB3C18">
        <w:rPr>
          <w:rFonts w:asciiTheme="minorHAnsi" w:hAnsiTheme="minorHAnsi" w:cstheme="minorHAnsi"/>
          <w:sz w:val="20"/>
          <w:szCs w:val="20"/>
        </w:rPr>
        <w:t xml:space="preserve"> and for losses carried forward has not been recognised in these accounts due to the uncertainty over whether this will be recovered.</w:t>
      </w:r>
    </w:p>
    <w:p w14:paraId="2168024E" w14:textId="77777777" w:rsidR="001F2CB0" w:rsidRPr="00BB3C18" w:rsidRDefault="001F2CB0" w:rsidP="001F2CB0">
      <w:pPr>
        <w:pStyle w:val="ListParagraph"/>
        <w:keepNext/>
        <w:keepLines/>
        <w:spacing w:before="240" w:line="276" w:lineRule="auto"/>
        <w:ind w:left="567" w:right="-438" w:hanging="283"/>
        <w:contextualSpacing w:val="0"/>
        <w:jc w:val="both"/>
        <w:rPr>
          <w:rFonts w:asciiTheme="minorHAnsi" w:hAnsiTheme="minorHAnsi" w:cstheme="minorHAnsi"/>
          <w:sz w:val="20"/>
          <w:szCs w:val="20"/>
        </w:rPr>
      </w:pPr>
    </w:p>
    <w:p w14:paraId="0312F852" w14:textId="6A5CAB3D" w:rsidR="005B7F66" w:rsidRPr="00BB3C18" w:rsidRDefault="004C3CE0" w:rsidP="00B2796D">
      <w:pPr>
        <w:pStyle w:val="ListParagraph"/>
        <w:keepNext/>
        <w:numPr>
          <w:ilvl w:val="0"/>
          <w:numId w:val="46"/>
        </w:numPr>
        <w:spacing w:before="120" w:line="276" w:lineRule="auto"/>
        <w:ind w:left="567" w:hanging="283"/>
        <w:contextualSpacing w:val="0"/>
        <w:jc w:val="both"/>
        <w:rPr>
          <w:rFonts w:asciiTheme="minorHAnsi" w:hAnsiTheme="minorHAnsi" w:cstheme="minorHAnsi"/>
          <w:b/>
          <w:sz w:val="20"/>
          <w:szCs w:val="20"/>
        </w:rPr>
      </w:pPr>
      <w:r>
        <w:rPr>
          <w:rFonts w:asciiTheme="minorHAnsi" w:hAnsiTheme="minorHAnsi" w:cstheme="minorHAnsi"/>
          <w:b/>
          <w:sz w:val="20"/>
          <w:szCs w:val="20"/>
        </w:rPr>
        <w:t xml:space="preserve">  </w:t>
      </w:r>
      <w:r w:rsidR="00A62230" w:rsidRPr="00BB3C18">
        <w:rPr>
          <w:rFonts w:asciiTheme="minorHAnsi" w:hAnsiTheme="minorHAnsi" w:cstheme="minorHAnsi"/>
          <w:b/>
          <w:sz w:val="20"/>
          <w:szCs w:val="20"/>
        </w:rPr>
        <w:t>Loss per share</w:t>
      </w:r>
    </w:p>
    <w:tbl>
      <w:tblPr>
        <w:tblW w:w="9781" w:type="dxa"/>
        <w:tblInd w:w="567" w:type="dxa"/>
        <w:tblLayout w:type="fixed"/>
        <w:tblLook w:val="00A0" w:firstRow="1" w:lastRow="0" w:firstColumn="1" w:lastColumn="0" w:noHBand="0" w:noVBand="0"/>
      </w:tblPr>
      <w:tblGrid>
        <w:gridCol w:w="6379"/>
        <w:gridCol w:w="1559"/>
        <w:gridCol w:w="1843"/>
      </w:tblGrid>
      <w:tr w:rsidR="00812F33" w:rsidRPr="00BB3C18" w14:paraId="0312F85A" w14:textId="77777777" w:rsidTr="00D21EE3">
        <w:tc>
          <w:tcPr>
            <w:tcW w:w="6379" w:type="dxa"/>
          </w:tcPr>
          <w:p w14:paraId="0312F856" w14:textId="77777777" w:rsidR="00AF3D52" w:rsidRPr="00BB3C18" w:rsidRDefault="00AF3D52" w:rsidP="008D0E95">
            <w:pPr>
              <w:keepNext/>
              <w:spacing w:line="276" w:lineRule="auto"/>
              <w:jc w:val="right"/>
              <w:rPr>
                <w:rFonts w:asciiTheme="minorHAnsi" w:hAnsiTheme="minorHAnsi" w:cstheme="minorHAnsi"/>
                <w:b/>
                <w:sz w:val="20"/>
                <w:szCs w:val="20"/>
              </w:rPr>
            </w:pPr>
          </w:p>
        </w:tc>
        <w:tc>
          <w:tcPr>
            <w:tcW w:w="1559" w:type="dxa"/>
          </w:tcPr>
          <w:p w14:paraId="1BF13391" w14:textId="77777777" w:rsidR="007D7334" w:rsidRDefault="007D7334" w:rsidP="00420C67">
            <w:pPr>
              <w:keepNext/>
              <w:spacing w:line="276" w:lineRule="auto"/>
              <w:ind w:left="-203"/>
              <w:jc w:val="right"/>
              <w:rPr>
                <w:rFonts w:asciiTheme="minorHAnsi" w:hAnsiTheme="minorHAnsi" w:cstheme="minorHAnsi"/>
                <w:b/>
                <w:sz w:val="20"/>
                <w:szCs w:val="20"/>
              </w:rPr>
            </w:pPr>
          </w:p>
          <w:p w14:paraId="0312F857" w14:textId="28FD08D4" w:rsidR="00AF3D52" w:rsidRPr="00BB3C18" w:rsidRDefault="0027088B" w:rsidP="00420C67">
            <w:pPr>
              <w:keepNext/>
              <w:spacing w:line="276" w:lineRule="auto"/>
              <w:ind w:left="-203"/>
              <w:jc w:val="right"/>
              <w:rPr>
                <w:rFonts w:asciiTheme="minorHAnsi" w:hAnsiTheme="minorHAnsi" w:cstheme="minorHAnsi"/>
                <w:sz w:val="20"/>
                <w:szCs w:val="20"/>
              </w:rPr>
            </w:pPr>
            <w:r>
              <w:rPr>
                <w:rFonts w:asciiTheme="minorHAnsi" w:hAnsiTheme="minorHAnsi" w:cstheme="minorHAnsi"/>
                <w:b/>
                <w:sz w:val="20"/>
                <w:szCs w:val="20"/>
              </w:rPr>
              <w:t>Year</w:t>
            </w:r>
            <w:r w:rsidR="00AF3D52" w:rsidRPr="00BB3C18">
              <w:rPr>
                <w:rFonts w:asciiTheme="minorHAnsi" w:hAnsiTheme="minorHAnsi" w:cstheme="minorHAnsi"/>
                <w:b/>
                <w:sz w:val="20"/>
                <w:szCs w:val="20"/>
              </w:rPr>
              <w:t xml:space="preserve"> ended</w:t>
            </w:r>
            <w:r w:rsidR="00AF3D52" w:rsidRPr="00BB3C18">
              <w:rPr>
                <w:rFonts w:asciiTheme="minorHAnsi" w:hAnsiTheme="minorHAnsi" w:cstheme="minorHAnsi"/>
                <w:b/>
                <w:sz w:val="20"/>
                <w:szCs w:val="20"/>
              </w:rPr>
              <w:br/>
              <w:t>30 June 20</w:t>
            </w:r>
            <w:r>
              <w:rPr>
                <w:rFonts w:asciiTheme="minorHAnsi" w:hAnsiTheme="minorHAnsi" w:cstheme="minorHAnsi"/>
                <w:b/>
                <w:sz w:val="20"/>
                <w:szCs w:val="20"/>
              </w:rPr>
              <w:t>2</w:t>
            </w:r>
            <w:r w:rsidR="00A75619">
              <w:rPr>
                <w:rFonts w:asciiTheme="minorHAnsi" w:hAnsiTheme="minorHAnsi" w:cstheme="minorHAnsi"/>
                <w:b/>
                <w:sz w:val="20"/>
                <w:szCs w:val="20"/>
              </w:rPr>
              <w:t>2</w:t>
            </w:r>
            <w:r w:rsidR="00AF3D52" w:rsidRPr="00BB3C18">
              <w:rPr>
                <w:rFonts w:asciiTheme="minorHAnsi" w:hAnsiTheme="minorHAnsi" w:cstheme="minorHAnsi"/>
                <w:b/>
                <w:sz w:val="20"/>
                <w:szCs w:val="20"/>
              </w:rPr>
              <w:br/>
              <w:t>£</w:t>
            </w:r>
          </w:p>
        </w:tc>
        <w:tc>
          <w:tcPr>
            <w:tcW w:w="1843" w:type="dxa"/>
          </w:tcPr>
          <w:p w14:paraId="12FFE9ED" w14:textId="77777777" w:rsidR="006E2F0F" w:rsidRDefault="006E2F0F" w:rsidP="000B2B1C">
            <w:pPr>
              <w:keepNext/>
              <w:spacing w:line="276" w:lineRule="auto"/>
              <w:ind w:left="32"/>
              <w:jc w:val="right"/>
              <w:rPr>
                <w:rFonts w:asciiTheme="minorHAnsi" w:hAnsiTheme="minorHAnsi" w:cstheme="minorHAnsi"/>
                <w:b/>
                <w:sz w:val="20"/>
                <w:szCs w:val="20"/>
              </w:rPr>
            </w:pPr>
          </w:p>
          <w:p w14:paraId="0312F858" w14:textId="0C50F4EE" w:rsidR="00AF3D52" w:rsidRPr="00BB3C18" w:rsidRDefault="006E2F0F" w:rsidP="000B2B1C">
            <w:pPr>
              <w:keepNext/>
              <w:spacing w:line="276" w:lineRule="auto"/>
              <w:ind w:left="32"/>
              <w:jc w:val="right"/>
              <w:rPr>
                <w:rFonts w:asciiTheme="minorHAnsi" w:hAnsiTheme="minorHAnsi" w:cstheme="minorHAnsi"/>
                <w:b/>
                <w:sz w:val="20"/>
                <w:szCs w:val="20"/>
              </w:rPr>
            </w:pPr>
            <w:r>
              <w:rPr>
                <w:rFonts w:asciiTheme="minorHAnsi" w:hAnsiTheme="minorHAnsi" w:cstheme="minorHAnsi"/>
                <w:b/>
                <w:sz w:val="20"/>
                <w:szCs w:val="20"/>
              </w:rPr>
              <w:t>Year</w:t>
            </w:r>
            <w:r w:rsidR="00812F33">
              <w:rPr>
                <w:rFonts w:asciiTheme="minorHAnsi" w:hAnsiTheme="minorHAnsi" w:cstheme="minorHAnsi"/>
                <w:b/>
                <w:sz w:val="20"/>
                <w:szCs w:val="20"/>
              </w:rPr>
              <w:t xml:space="preserve"> </w:t>
            </w:r>
            <w:r w:rsidR="007D7334">
              <w:rPr>
                <w:rFonts w:asciiTheme="minorHAnsi" w:hAnsiTheme="minorHAnsi" w:cstheme="minorHAnsi"/>
                <w:b/>
                <w:sz w:val="20"/>
                <w:szCs w:val="20"/>
              </w:rPr>
              <w:t>ended</w:t>
            </w:r>
            <w:r w:rsidR="00AF3D52" w:rsidRPr="00BB3C18">
              <w:rPr>
                <w:rFonts w:asciiTheme="minorHAnsi" w:hAnsiTheme="minorHAnsi" w:cstheme="minorHAnsi"/>
                <w:b/>
                <w:sz w:val="20"/>
                <w:szCs w:val="20"/>
              </w:rPr>
              <w:br/>
            </w:r>
            <w:r w:rsidR="007D7334">
              <w:rPr>
                <w:rFonts w:asciiTheme="minorHAnsi" w:hAnsiTheme="minorHAnsi" w:cstheme="minorHAnsi"/>
                <w:b/>
                <w:sz w:val="20"/>
                <w:szCs w:val="20"/>
              </w:rPr>
              <w:t>30 June 20</w:t>
            </w:r>
            <w:r>
              <w:rPr>
                <w:rFonts w:asciiTheme="minorHAnsi" w:hAnsiTheme="minorHAnsi" w:cstheme="minorHAnsi"/>
                <w:b/>
                <w:sz w:val="20"/>
                <w:szCs w:val="20"/>
              </w:rPr>
              <w:t>2</w:t>
            </w:r>
            <w:r w:rsidR="00A75619">
              <w:rPr>
                <w:rFonts w:asciiTheme="minorHAnsi" w:hAnsiTheme="minorHAnsi" w:cstheme="minorHAnsi"/>
                <w:b/>
                <w:sz w:val="20"/>
                <w:szCs w:val="20"/>
              </w:rPr>
              <w:t>1</w:t>
            </w:r>
          </w:p>
          <w:p w14:paraId="0312F859" w14:textId="77777777" w:rsidR="00AF3D52" w:rsidRPr="00BB3C18" w:rsidRDefault="00AF3D52" w:rsidP="00812F33">
            <w:pPr>
              <w:keepNext/>
              <w:spacing w:line="276" w:lineRule="auto"/>
              <w:ind w:left="325"/>
              <w:jc w:val="right"/>
              <w:rPr>
                <w:rFonts w:asciiTheme="minorHAnsi" w:hAnsiTheme="minorHAnsi" w:cstheme="minorHAnsi"/>
                <w:sz w:val="20"/>
                <w:szCs w:val="20"/>
              </w:rPr>
            </w:pPr>
            <w:r w:rsidRPr="00BB3C18">
              <w:rPr>
                <w:rFonts w:asciiTheme="minorHAnsi" w:hAnsiTheme="minorHAnsi" w:cstheme="minorHAnsi"/>
                <w:b/>
                <w:sz w:val="20"/>
                <w:szCs w:val="20"/>
              </w:rPr>
              <w:t>£</w:t>
            </w:r>
          </w:p>
        </w:tc>
      </w:tr>
      <w:tr w:rsidR="00812F33" w:rsidRPr="00BB3C18" w14:paraId="0312F860" w14:textId="77777777" w:rsidTr="00D21EE3">
        <w:tc>
          <w:tcPr>
            <w:tcW w:w="6379" w:type="dxa"/>
          </w:tcPr>
          <w:p w14:paraId="0312F85B" w14:textId="0C7F180E" w:rsidR="00B7630D" w:rsidRPr="00BB3C18" w:rsidRDefault="00B7630D" w:rsidP="008D0E95">
            <w:pPr>
              <w:keepNext/>
              <w:spacing w:line="276" w:lineRule="auto"/>
              <w:ind w:hanging="108"/>
              <w:rPr>
                <w:rFonts w:asciiTheme="minorHAnsi" w:hAnsiTheme="minorHAnsi" w:cstheme="minorHAnsi"/>
                <w:b/>
                <w:sz w:val="20"/>
                <w:szCs w:val="20"/>
              </w:rPr>
            </w:pPr>
            <w:r w:rsidRPr="00BB3C18">
              <w:rPr>
                <w:rFonts w:asciiTheme="minorHAnsi" w:hAnsiTheme="minorHAnsi" w:cstheme="minorHAnsi"/>
                <w:b/>
                <w:sz w:val="20"/>
                <w:szCs w:val="20"/>
              </w:rPr>
              <w:t>Numerator</w:t>
            </w:r>
          </w:p>
        </w:tc>
        <w:tc>
          <w:tcPr>
            <w:tcW w:w="1559" w:type="dxa"/>
          </w:tcPr>
          <w:p w14:paraId="0312F85D" w14:textId="7B0F3484" w:rsidR="00B7630D" w:rsidRPr="00BB3C18" w:rsidRDefault="00B7630D" w:rsidP="00D66939">
            <w:pPr>
              <w:keepNext/>
              <w:spacing w:line="276" w:lineRule="auto"/>
              <w:jc w:val="right"/>
              <w:rPr>
                <w:rFonts w:asciiTheme="minorHAnsi" w:hAnsiTheme="minorHAnsi" w:cstheme="minorHAnsi"/>
                <w:sz w:val="20"/>
                <w:szCs w:val="20"/>
              </w:rPr>
            </w:pPr>
          </w:p>
        </w:tc>
        <w:tc>
          <w:tcPr>
            <w:tcW w:w="1843" w:type="dxa"/>
          </w:tcPr>
          <w:p w14:paraId="0312F85F" w14:textId="115EA62B" w:rsidR="00B7630D" w:rsidRPr="00BB3C18" w:rsidRDefault="00B7630D" w:rsidP="00812F33">
            <w:pPr>
              <w:keepNext/>
              <w:spacing w:line="276" w:lineRule="auto"/>
              <w:ind w:left="325"/>
              <w:jc w:val="right"/>
              <w:rPr>
                <w:rFonts w:asciiTheme="minorHAnsi" w:hAnsiTheme="minorHAnsi" w:cstheme="minorHAnsi"/>
                <w:sz w:val="20"/>
                <w:szCs w:val="20"/>
              </w:rPr>
            </w:pPr>
          </w:p>
        </w:tc>
      </w:tr>
      <w:tr w:rsidR="006E2F0F" w:rsidRPr="00BB3C18" w14:paraId="1967C28B" w14:textId="77777777" w:rsidTr="00D21EE3">
        <w:tc>
          <w:tcPr>
            <w:tcW w:w="6379" w:type="dxa"/>
          </w:tcPr>
          <w:p w14:paraId="2402EB0F" w14:textId="02CA9A4C" w:rsidR="006E2F0F" w:rsidRPr="00693EA0" w:rsidRDefault="006E2F0F" w:rsidP="006E2F0F">
            <w:pPr>
              <w:spacing w:line="276" w:lineRule="auto"/>
              <w:ind w:hanging="108"/>
              <w:rPr>
                <w:rFonts w:asciiTheme="minorHAnsi" w:hAnsiTheme="minorHAnsi" w:cstheme="minorHAnsi"/>
                <w:sz w:val="20"/>
                <w:szCs w:val="20"/>
              </w:rPr>
            </w:pPr>
            <w:r w:rsidRPr="00693EA0">
              <w:rPr>
                <w:rFonts w:asciiTheme="minorHAnsi" w:hAnsiTheme="minorHAnsi" w:cstheme="minorHAnsi"/>
                <w:sz w:val="20"/>
                <w:szCs w:val="20"/>
              </w:rPr>
              <w:t>Loss for the period</w:t>
            </w:r>
          </w:p>
        </w:tc>
        <w:tc>
          <w:tcPr>
            <w:tcW w:w="1559" w:type="dxa"/>
          </w:tcPr>
          <w:p w14:paraId="6DA0DCBF" w14:textId="04248B26" w:rsidR="006E2F0F" w:rsidRPr="00693EA0" w:rsidRDefault="00DA499B" w:rsidP="006E2F0F">
            <w:pPr>
              <w:spacing w:line="276" w:lineRule="auto"/>
              <w:jc w:val="right"/>
              <w:rPr>
                <w:rFonts w:asciiTheme="minorHAnsi" w:hAnsiTheme="minorHAnsi" w:cstheme="minorHAnsi"/>
                <w:sz w:val="20"/>
                <w:szCs w:val="20"/>
              </w:rPr>
            </w:pPr>
            <w:r>
              <w:rPr>
                <w:rFonts w:asciiTheme="minorHAnsi" w:hAnsiTheme="minorHAnsi" w:cstheme="minorHAnsi"/>
                <w:sz w:val="20"/>
                <w:szCs w:val="20"/>
              </w:rPr>
              <w:t>(</w:t>
            </w:r>
            <w:r w:rsidR="00674DC2">
              <w:rPr>
                <w:rFonts w:asciiTheme="minorHAnsi" w:hAnsiTheme="minorHAnsi" w:cstheme="minorHAnsi"/>
                <w:sz w:val="20"/>
                <w:szCs w:val="20"/>
              </w:rPr>
              <w:t>762,</w:t>
            </w:r>
            <w:r w:rsidR="001F2CB0">
              <w:rPr>
                <w:rFonts w:asciiTheme="minorHAnsi" w:hAnsiTheme="minorHAnsi" w:cstheme="minorHAnsi"/>
                <w:sz w:val="20"/>
                <w:szCs w:val="20"/>
              </w:rPr>
              <w:t>107</w:t>
            </w:r>
            <w:r>
              <w:rPr>
                <w:rFonts w:asciiTheme="minorHAnsi" w:hAnsiTheme="minorHAnsi" w:cstheme="minorHAnsi"/>
                <w:sz w:val="20"/>
                <w:szCs w:val="20"/>
              </w:rPr>
              <w:t>)</w:t>
            </w:r>
            <w:r w:rsidR="0005794F" w:rsidRPr="00693EA0" w:rsidDel="006E2F0F">
              <w:rPr>
                <w:rFonts w:asciiTheme="minorHAnsi" w:hAnsiTheme="minorHAnsi" w:cstheme="minorHAnsi"/>
                <w:sz w:val="20"/>
                <w:szCs w:val="20"/>
              </w:rPr>
              <w:t xml:space="preserve"> </w:t>
            </w:r>
          </w:p>
        </w:tc>
        <w:tc>
          <w:tcPr>
            <w:tcW w:w="1843" w:type="dxa"/>
          </w:tcPr>
          <w:p w14:paraId="1D2B18EB" w14:textId="573F8A23" w:rsidR="006E2F0F" w:rsidRPr="00693EA0" w:rsidRDefault="006E2F0F" w:rsidP="006E2F0F">
            <w:pPr>
              <w:spacing w:line="276" w:lineRule="auto"/>
              <w:ind w:left="325"/>
              <w:jc w:val="right"/>
              <w:rPr>
                <w:rFonts w:asciiTheme="minorHAnsi" w:hAnsiTheme="minorHAnsi" w:cstheme="minorHAnsi"/>
                <w:sz w:val="20"/>
                <w:szCs w:val="20"/>
              </w:rPr>
            </w:pPr>
            <w:r w:rsidRPr="00693EA0">
              <w:rPr>
                <w:rFonts w:asciiTheme="minorHAnsi" w:hAnsiTheme="minorHAnsi" w:cstheme="minorHAnsi"/>
                <w:sz w:val="20"/>
                <w:szCs w:val="20"/>
              </w:rPr>
              <w:t>(</w:t>
            </w:r>
            <w:r w:rsidR="00A75619">
              <w:rPr>
                <w:rFonts w:asciiTheme="minorHAnsi" w:hAnsiTheme="minorHAnsi" w:cstheme="minorHAnsi"/>
                <w:sz w:val="20"/>
                <w:szCs w:val="20"/>
              </w:rPr>
              <w:t>7,69</w:t>
            </w:r>
            <w:r w:rsidR="00AA3771">
              <w:rPr>
                <w:rFonts w:asciiTheme="minorHAnsi" w:hAnsiTheme="minorHAnsi" w:cstheme="minorHAnsi"/>
                <w:sz w:val="20"/>
                <w:szCs w:val="20"/>
              </w:rPr>
              <w:t>7</w:t>
            </w:r>
            <w:r w:rsidR="00A75619">
              <w:rPr>
                <w:rFonts w:asciiTheme="minorHAnsi" w:hAnsiTheme="minorHAnsi" w:cstheme="minorHAnsi"/>
                <w:sz w:val="20"/>
                <w:szCs w:val="20"/>
              </w:rPr>
              <w:t>,</w:t>
            </w:r>
            <w:r w:rsidR="00AA3771">
              <w:rPr>
                <w:rFonts w:asciiTheme="minorHAnsi" w:hAnsiTheme="minorHAnsi" w:cstheme="minorHAnsi"/>
                <w:sz w:val="20"/>
                <w:szCs w:val="20"/>
              </w:rPr>
              <w:t>30</w:t>
            </w:r>
            <w:r w:rsidR="002F6049">
              <w:rPr>
                <w:rFonts w:asciiTheme="minorHAnsi" w:hAnsiTheme="minorHAnsi" w:cstheme="minorHAnsi"/>
                <w:sz w:val="20"/>
                <w:szCs w:val="20"/>
              </w:rPr>
              <w:t>6</w:t>
            </w:r>
            <w:r w:rsidR="00A75619">
              <w:rPr>
                <w:rFonts w:asciiTheme="minorHAnsi" w:hAnsiTheme="minorHAnsi" w:cstheme="minorHAnsi"/>
                <w:sz w:val="20"/>
                <w:szCs w:val="20"/>
              </w:rPr>
              <w:t>)</w:t>
            </w:r>
          </w:p>
        </w:tc>
      </w:tr>
      <w:tr w:rsidR="006E2F0F" w:rsidRPr="00BB3C18" w14:paraId="0312F866" w14:textId="77777777" w:rsidTr="00D21EE3">
        <w:tc>
          <w:tcPr>
            <w:tcW w:w="6379" w:type="dxa"/>
          </w:tcPr>
          <w:p w14:paraId="0312F861" w14:textId="2DE8E63B" w:rsidR="006E2F0F" w:rsidRPr="00693EA0" w:rsidRDefault="006E2F0F" w:rsidP="006E2F0F">
            <w:pPr>
              <w:spacing w:line="276" w:lineRule="auto"/>
              <w:ind w:hanging="108"/>
              <w:rPr>
                <w:rFonts w:asciiTheme="minorHAnsi" w:hAnsiTheme="minorHAnsi" w:cstheme="minorHAnsi"/>
                <w:b/>
                <w:sz w:val="20"/>
                <w:szCs w:val="20"/>
              </w:rPr>
            </w:pPr>
            <w:r w:rsidRPr="00693EA0">
              <w:rPr>
                <w:rFonts w:asciiTheme="minorHAnsi" w:hAnsiTheme="minorHAnsi" w:cstheme="minorHAnsi"/>
                <w:b/>
                <w:sz w:val="20"/>
                <w:szCs w:val="20"/>
              </w:rPr>
              <w:t>Denominator</w:t>
            </w:r>
          </w:p>
        </w:tc>
        <w:tc>
          <w:tcPr>
            <w:tcW w:w="1559" w:type="dxa"/>
          </w:tcPr>
          <w:p w14:paraId="0312F863" w14:textId="768C13CD" w:rsidR="006E2F0F" w:rsidRPr="00693EA0" w:rsidRDefault="006E2F0F" w:rsidP="006E2F0F">
            <w:pPr>
              <w:spacing w:line="276" w:lineRule="auto"/>
              <w:jc w:val="right"/>
              <w:rPr>
                <w:rFonts w:asciiTheme="minorHAnsi" w:hAnsiTheme="minorHAnsi" w:cstheme="minorHAnsi"/>
                <w:sz w:val="20"/>
                <w:szCs w:val="20"/>
              </w:rPr>
            </w:pPr>
          </w:p>
        </w:tc>
        <w:tc>
          <w:tcPr>
            <w:tcW w:w="1843" w:type="dxa"/>
          </w:tcPr>
          <w:p w14:paraId="0312F865" w14:textId="76E08812" w:rsidR="006E2F0F" w:rsidRPr="00693EA0" w:rsidRDefault="006E2F0F" w:rsidP="006E2F0F">
            <w:pPr>
              <w:spacing w:line="276" w:lineRule="auto"/>
              <w:ind w:left="325"/>
              <w:jc w:val="right"/>
              <w:rPr>
                <w:rFonts w:asciiTheme="minorHAnsi" w:hAnsiTheme="minorHAnsi" w:cstheme="minorHAnsi"/>
                <w:sz w:val="20"/>
                <w:szCs w:val="20"/>
              </w:rPr>
            </w:pPr>
          </w:p>
        </w:tc>
      </w:tr>
      <w:tr w:rsidR="006E2F0F" w:rsidRPr="00BB3C18" w14:paraId="30C98026" w14:textId="77777777" w:rsidTr="00D21EE3">
        <w:tc>
          <w:tcPr>
            <w:tcW w:w="6379" w:type="dxa"/>
          </w:tcPr>
          <w:p w14:paraId="7E24D559" w14:textId="099D0678" w:rsidR="006E2F0F" w:rsidRPr="00693EA0" w:rsidRDefault="006E2F0F" w:rsidP="006E2F0F">
            <w:pPr>
              <w:spacing w:line="276" w:lineRule="auto"/>
              <w:ind w:hanging="108"/>
              <w:rPr>
                <w:rFonts w:asciiTheme="minorHAnsi" w:hAnsiTheme="minorHAnsi" w:cstheme="minorHAnsi"/>
                <w:sz w:val="20"/>
                <w:szCs w:val="20"/>
              </w:rPr>
            </w:pPr>
            <w:r w:rsidRPr="00693EA0">
              <w:rPr>
                <w:rFonts w:asciiTheme="minorHAnsi" w:hAnsiTheme="minorHAnsi" w:cstheme="minorHAnsi"/>
                <w:sz w:val="20"/>
                <w:szCs w:val="20"/>
              </w:rPr>
              <w:t>Weighted average number of ordinary shares used in basic EPS</w:t>
            </w:r>
          </w:p>
        </w:tc>
        <w:tc>
          <w:tcPr>
            <w:tcW w:w="1559" w:type="dxa"/>
          </w:tcPr>
          <w:p w14:paraId="6619A733" w14:textId="2920FA68" w:rsidR="006E2F0F" w:rsidRPr="00C764F2" w:rsidRDefault="00AA3771" w:rsidP="006E2F0F">
            <w:pPr>
              <w:spacing w:line="276" w:lineRule="auto"/>
              <w:jc w:val="right"/>
              <w:rPr>
                <w:rFonts w:asciiTheme="minorHAnsi" w:hAnsiTheme="minorHAnsi" w:cstheme="minorHAnsi"/>
                <w:sz w:val="20"/>
                <w:szCs w:val="20"/>
                <w:highlight w:val="yellow"/>
              </w:rPr>
            </w:pPr>
            <w:r w:rsidRPr="00567E04">
              <w:rPr>
                <w:rFonts w:asciiTheme="minorHAnsi" w:hAnsiTheme="minorHAnsi" w:cstheme="minorHAnsi"/>
                <w:sz w:val="20"/>
                <w:szCs w:val="20"/>
              </w:rPr>
              <w:t>37,405,24</w:t>
            </w:r>
            <w:r w:rsidR="00D3747D">
              <w:rPr>
                <w:rFonts w:asciiTheme="minorHAnsi" w:hAnsiTheme="minorHAnsi" w:cstheme="minorHAnsi"/>
                <w:sz w:val="20"/>
                <w:szCs w:val="20"/>
              </w:rPr>
              <w:t>8,039</w:t>
            </w:r>
          </w:p>
        </w:tc>
        <w:tc>
          <w:tcPr>
            <w:tcW w:w="1843" w:type="dxa"/>
          </w:tcPr>
          <w:p w14:paraId="013030B7" w14:textId="53F71A6A" w:rsidR="006E2F0F" w:rsidRPr="007463B1" w:rsidRDefault="00D21EE3" w:rsidP="006E2F0F">
            <w:pPr>
              <w:spacing w:line="276" w:lineRule="auto"/>
              <w:ind w:left="325"/>
              <w:jc w:val="right"/>
              <w:rPr>
                <w:rFonts w:asciiTheme="minorHAnsi" w:hAnsiTheme="minorHAnsi" w:cstheme="minorHAnsi"/>
                <w:sz w:val="20"/>
                <w:szCs w:val="20"/>
              </w:rPr>
            </w:pPr>
            <w:r w:rsidRPr="007463B1">
              <w:rPr>
                <w:rFonts w:asciiTheme="minorHAnsi" w:hAnsiTheme="minorHAnsi" w:cstheme="minorHAnsi"/>
                <w:sz w:val="20"/>
                <w:szCs w:val="20"/>
              </w:rPr>
              <w:t>2</w:t>
            </w:r>
            <w:r w:rsidR="00355596" w:rsidRPr="007463B1">
              <w:rPr>
                <w:rFonts w:asciiTheme="minorHAnsi" w:hAnsiTheme="minorHAnsi" w:cstheme="minorHAnsi"/>
                <w:sz w:val="20"/>
                <w:szCs w:val="20"/>
              </w:rPr>
              <w:t>2</w:t>
            </w:r>
            <w:r w:rsidRPr="007463B1">
              <w:rPr>
                <w:rFonts w:asciiTheme="minorHAnsi" w:hAnsiTheme="minorHAnsi" w:cstheme="minorHAnsi"/>
                <w:sz w:val="20"/>
                <w:szCs w:val="20"/>
              </w:rPr>
              <w:t>,</w:t>
            </w:r>
            <w:r w:rsidR="00355596" w:rsidRPr="007463B1">
              <w:rPr>
                <w:rFonts w:asciiTheme="minorHAnsi" w:hAnsiTheme="minorHAnsi" w:cstheme="minorHAnsi"/>
                <w:sz w:val="20"/>
                <w:szCs w:val="20"/>
              </w:rPr>
              <w:t>750</w:t>
            </w:r>
            <w:r w:rsidRPr="007463B1">
              <w:rPr>
                <w:rFonts w:asciiTheme="minorHAnsi" w:hAnsiTheme="minorHAnsi" w:cstheme="minorHAnsi"/>
                <w:sz w:val="20"/>
                <w:szCs w:val="20"/>
              </w:rPr>
              <w:t>,</w:t>
            </w:r>
            <w:r w:rsidR="00355596" w:rsidRPr="007463B1">
              <w:rPr>
                <w:rFonts w:asciiTheme="minorHAnsi" w:hAnsiTheme="minorHAnsi" w:cstheme="minorHAnsi"/>
                <w:sz w:val="20"/>
                <w:szCs w:val="20"/>
              </w:rPr>
              <w:t>589</w:t>
            </w:r>
            <w:r w:rsidRPr="007463B1">
              <w:rPr>
                <w:rFonts w:asciiTheme="minorHAnsi" w:hAnsiTheme="minorHAnsi" w:cstheme="minorHAnsi"/>
                <w:sz w:val="20"/>
                <w:szCs w:val="20"/>
              </w:rPr>
              <w:t>,</w:t>
            </w:r>
            <w:r w:rsidR="00355596" w:rsidRPr="007463B1">
              <w:rPr>
                <w:rFonts w:asciiTheme="minorHAnsi" w:hAnsiTheme="minorHAnsi" w:cstheme="minorHAnsi"/>
                <w:sz w:val="20"/>
                <w:szCs w:val="20"/>
              </w:rPr>
              <w:t>218</w:t>
            </w:r>
          </w:p>
        </w:tc>
      </w:tr>
      <w:tr w:rsidR="006E2F0F" w:rsidRPr="00BB3C18" w14:paraId="2D6FED4A" w14:textId="77777777" w:rsidTr="00D21EE3">
        <w:tc>
          <w:tcPr>
            <w:tcW w:w="6379" w:type="dxa"/>
          </w:tcPr>
          <w:p w14:paraId="59868123" w14:textId="77777777" w:rsidR="006E2F0F" w:rsidRPr="00693EA0" w:rsidRDefault="006E2F0F" w:rsidP="006E2F0F">
            <w:pPr>
              <w:spacing w:line="276" w:lineRule="auto"/>
              <w:ind w:hanging="108"/>
              <w:rPr>
                <w:rFonts w:asciiTheme="minorHAnsi" w:hAnsiTheme="minorHAnsi" w:cstheme="minorHAnsi"/>
                <w:sz w:val="20"/>
                <w:szCs w:val="20"/>
              </w:rPr>
            </w:pPr>
            <w:r w:rsidRPr="00693EA0">
              <w:rPr>
                <w:rFonts w:asciiTheme="minorHAnsi" w:hAnsiTheme="minorHAnsi" w:cstheme="minorHAnsi"/>
                <w:sz w:val="20"/>
                <w:szCs w:val="20"/>
              </w:rPr>
              <w:t>Basic and diluted loss per share</w:t>
            </w:r>
          </w:p>
          <w:p w14:paraId="074131DE" w14:textId="21B9EFE8" w:rsidR="006E2F0F" w:rsidRPr="00693EA0" w:rsidRDefault="006E2F0F" w:rsidP="00B2796D">
            <w:pPr>
              <w:pStyle w:val="ListParagraph"/>
              <w:numPr>
                <w:ilvl w:val="0"/>
                <w:numId w:val="12"/>
              </w:numPr>
              <w:spacing w:line="276" w:lineRule="auto"/>
              <w:rPr>
                <w:rFonts w:asciiTheme="minorHAnsi" w:hAnsiTheme="minorHAnsi" w:cstheme="minorHAnsi"/>
                <w:sz w:val="20"/>
                <w:szCs w:val="20"/>
              </w:rPr>
            </w:pPr>
            <w:r w:rsidRPr="00693EA0">
              <w:rPr>
                <w:rFonts w:asciiTheme="minorHAnsi" w:hAnsiTheme="minorHAnsi" w:cstheme="minorHAnsi"/>
                <w:sz w:val="20"/>
                <w:szCs w:val="20"/>
              </w:rPr>
              <w:t>-  continuing operations</w:t>
            </w:r>
          </w:p>
          <w:p w14:paraId="338EBE9A" w14:textId="5DB66553" w:rsidR="006E2F0F" w:rsidRPr="00693EA0" w:rsidRDefault="006E2F0F" w:rsidP="00B2796D">
            <w:pPr>
              <w:pStyle w:val="ListParagraph"/>
              <w:numPr>
                <w:ilvl w:val="0"/>
                <w:numId w:val="12"/>
              </w:numPr>
              <w:spacing w:line="276" w:lineRule="auto"/>
              <w:rPr>
                <w:rFonts w:asciiTheme="minorHAnsi" w:hAnsiTheme="minorHAnsi" w:cstheme="minorHAnsi"/>
                <w:sz w:val="20"/>
                <w:szCs w:val="20"/>
              </w:rPr>
            </w:pPr>
            <w:r w:rsidRPr="00693EA0">
              <w:rPr>
                <w:rFonts w:asciiTheme="minorHAnsi" w:hAnsiTheme="minorHAnsi" w:cstheme="minorHAnsi"/>
                <w:sz w:val="20"/>
                <w:szCs w:val="20"/>
              </w:rPr>
              <w:t>-  discontinued operations</w:t>
            </w:r>
          </w:p>
        </w:tc>
        <w:tc>
          <w:tcPr>
            <w:tcW w:w="1559" w:type="dxa"/>
            <w:tcBorders>
              <w:top w:val="single" w:sz="4" w:space="0" w:color="auto"/>
              <w:bottom w:val="single" w:sz="4" w:space="0" w:color="auto"/>
            </w:tcBorders>
          </w:tcPr>
          <w:p w14:paraId="5329EFDB" w14:textId="77777777" w:rsidR="006E2F0F" w:rsidRPr="00C764F2" w:rsidRDefault="006E2F0F" w:rsidP="006E2F0F">
            <w:pPr>
              <w:spacing w:line="276" w:lineRule="auto"/>
              <w:jc w:val="right"/>
              <w:rPr>
                <w:rFonts w:asciiTheme="minorHAnsi" w:hAnsiTheme="minorHAnsi" w:cstheme="minorHAnsi"/>
                <w:sz w:val="20"/>
                <w:szCs w:val="20"/>
                <w:highlight w:val="yellow"/>
              </w:rPr>
            </w:pPr>
          </w:p>
          <w:p w14:paraId="53D10819" w14:textId="1B5AE7F0" w:rsidR="006E2F0F" w:rsidRPr="007463B1" w:rsidRDefault="007463B1" w:rsidP="006E2F0F">
            <w:pPr>
              <w:spacing w:line="276" w:lineRule="auto"/>
              <w:jc w:val="right"/>
              <w:rPr>
                <w:rFonts w:asciiTheme="minorHAnsi" w:hAnsiTheme="minorHAnsi" w:cstheme="minorHAnsi"/>
                <w:sz w:val="20"/>
                <w:szCs w:val="20"/>
              </w:rPr>
            </w:pPr>
            <w:r w:rsidRPr="007463B1">
              <w:rPr>
                <w:rFonts w:asciiTheme="minorHAnsi" w:hAnsiTheme="minorHAnsi" w:cstheme="minorHAnsi"/>
                <w:sz w:val="20"/>
                <w:szCs w:val="20"/>
              </w:rPr>
              <w:t>(0.00)</w:t>
            </w:r>
          </w:p>
          <w:p w14:paraId="0632FA3B" w14:textId="6F4618D8" w:rsidR="006E2F0F" w:rsidRPr="00C764F2" w:rsidRDefault="007463B1" w:rsidP="007463B1">
            <w:pPr>
              <w:spacing w:line="276" w:lineRule="auto"/>
              <w:jc w:val="right"/>
              <w:rPr>
                <w:rFonts w:asciiTheme="minorHAnsi" w:hAnsiTheme="minorHAnsi" w:cstheme="minorHAnsi"/>
                <w:sz w:val="20"/>
                <w:szCs w:val="20"/>
                <w:highlight w:val="yellow"/>
              </w:rPr>
            </w:pPr>
            <w:r w:rsidRPr="007463B1">
              <w:rPr>
                <w:rFonts w:asciiTheme="minorHAnsi" w:hAnsiTheme="minorHAnsi" w:cstheme="minorHAnsi"/>
                <w:sz w:val="20"/>
                <w:szCs w:val="20"/>
              </w:rPr>
              <w:t>(0.00)</w:t>
            </w:r>
          </w:p>
        </w:tc>
        <w:tc>
          <w:tcPr>
            <w:tcW w:w="1843" w:type="dxa"/>
            <w:tcBorders>
              <w:top w:val="single" w:sz="4" w:space="0" w:color="auto"/>
              <w:bottom w:val="single" w:sz="4" w:space="0" w:color="auto"/>
            </w:tcBorders>
          </w:tcPr>
          <w:p w14:paraId="46D6C14E" w14:textId="77777777" w:rsidR="006E2F0F" w:rsidRPr="007463B1" w:rsidRDefault="006E2F0F" w:rsidP="006E2F0F">
            <w:pPr>
              <w:spacing w:line="276" w:lineRule="auto"/>
              <w:ind w:left="325"/>
              <w:jc w:val="right"/>
              <w:rPr>
                <w:rFonts w:asciiTheme="minorHAnsi" w:hAnsiTheme="minorHAnsi" w:cstheme="minorHAnsi"/>
                <w:sz w:val="20"/>
                <w:szCs w:val="20"/>
              </w:rPr>
            </w:pPr>
          </w:p>
          <w:p w14:paraId="41732C78" w14:textId="45D790CA" w:rsidR="006E2F0F" w:rsidRPr="007463B1" w:rsidRDefault="006E2F0F" w:rsidP="006E2F0F">
            <w:pPr>
              <w:spacing w:line="276" w:lineRule="auto"/>
              <w:ind w:left="325"/>
              <w:jc w:val="right"/>
              <w:rPr>
                <w:rFonts w:asciiTheme="minorHAnsi" w:hAnsiTheme="minorHAnsi" w:cstheme="minorHAnsi"/>
                <w:sz w:val="20"/>
                <w:szCs w:val="20"/>
              </w:rPr>
            </w:pPr>
            <w:r w:rsidRPr="007463B1">
              <w:rPr>
                <w:rFonts w:asciiTheme="minorHAnsi" w:hAnsiTheme="minorHAnsi" w:cstheme="minorHAnsi"/>
                <w:sz w:val="20"/>
                <w:szCs w:val="20"/>
              </w:rPr>
              <w:t>(0.00)</w:t>
            </w:r>
          </w:p>
          <w:p w14:paraId="6CB66C91" w14:textId="79DA646E" w:rsidR="006E2F0F" w:rsidRPr="007463B1" w:rsidRDefault="006E2F0F" w:rsidP="006E2F0F">
            <w:pPr>
              <w:spacing w:line="276" w:lineRule="auto"/>
              <w:ind w:left="325"/>
              <w:jc w:val="right"/>
              <w:rPr>
                <w:rFonts w:asciiTheme="minorHAnsi" w:hAnsiTheme="minorHAnsi" w:cstheme="minorHAnsi"/>
                <w:sz w:val="20"/>
                <w:szCs w:val="20"/>
              </w:rPr>
            </w:pPr>
            <w:r w:rsidRPr="007463B1">
              <w:rPr>
                <w:rFonts w:asciiTheme="minorHAnsi" w:hAnsiTheme="minorHAnsi" w:cstheme="minorHAnsi"/>
                <w:sz w:val="20"/>
                <w:szCs w:val="20"/>
              </w:rPr>
              <w:t>(0.00)</w:t>
            </w:r>
          </w:p>
        </w:tc>
      </w:tr>
    </w:tbl>
    <w:p w14:paraId="38ECBD8C" w14:textId="620CC9D8" w:rsidR="007463B1" w:rsidRDefault="007463B1" w:rsidP="007463B1">
      <w:pPr>
        <w:widowControl w:val="0"/>
        <w:spacing w:before="120" w:line="276" w:lineRule="auto"/>
        <w:jc w:val="both"/>
        <w:rPr>
          <w:rFonts w:asciiTheme="minorHAnsi" w:hAnsiTheme="minorHAnsi" w:cstheme="minorHAnsi"/>
          <w:b/>
          <w:sz w:val="20"/>
          <w:szCs w:val="20"/>
        </w:rPr>
      </w:pPr>
    </w:p>
    <w:p w14:paraId="1FA853A4" w14:textId="179D6AD6" w:rsidR="007463B1" w:rsidRDefault="007463B1" w:rsidP="007463B1">
      <w:pPr>
        <w:widowControl w:val="0"/>
        <w:spacing w:before="120" w:line="276" w:lineRule="auto"/>
        <w:jc w:val="both"/>
        <w:rPr>
          <w:rFonts w:asciiTheme="minorHAnsi" w:hAnsiTheme="minorHAnsi" w:cstheme="minorHAnsi"/>
          <w:b/>
          <w:sz w:val="20"/>
          <w:szCs w:val="20"/>
        </w:rPr>
      </w:pPr>
    </w:p>
    <w:p w14:paraId="0D184652" w14:textId="774E8290" w:rsidR="007463B1" w:rsidRDefault="007463B1" w:rsidP="007463B1">
      <w:pPr>
        <w:widowControl w:val="0"/>
        <w:spacing w:before="120" w:line="276" w:lineRule="auto"/>
        <w:jc w:val="both"/>
        <w:rPr>
          <w:rFonts w:asciiTheme="minorHAnsi" w:hAnsiTheme="minorHAnsi" w:cstheme="minorHAnsi"/>
          <w:b/>
          <w:sz w:val="20"/>
          <w:szCs w:val="20"/>
        </w:rPr>
      </w:pPr>
    </w:p>
    <w:p w14:paraId="19F3D928" w14:textId="3ADE9D56" w:rsidR="007463B1" w:rsidRDefault="007463B1" w:rsidP="007463B1">
      <w:pPr>
        <w:widowControl w:val="0"/>
        <w:spacing w:before="120" w:line="276" w:lineRule="auto"/>
        <w:jc w:val="both"/>
        <w:rPr>
          <w:rFonts w:asciiTheme="minorHAnsi" w:hAnsiTheme="minorHAnsi" w:cstheme="minorHAnsi"/>
          <w:b/>
          <w:sz w:val="20"/>
          <w:szCs w:val="20"/>
        </w:rPr>
      </w:pPr>
    </w:p>
    <w:p w14:paraId="0946C2DD" w14:textId="7AAE4ADC" w:rsidR="007463B1" w:rsidRDefault="007463B1" w:rsidP="007463B1">
      <w:pPr>
        <w:widowControl w:val="0"/>
        <w:spacing w:before="120" w:line="276" w:lineRule="auto"/>
        <w:jc w:val="both"/>
        <w:rPr>
          <w:rFonts w:asciiTheme="minorHAnsi" w:hAnsiTheme="minorHAnsi" w:cstheme="minorHAnsi"/>
          <w:b/>
          <w:sz w:val="20"/>
          <w:szCs w:val="20"/>
        </w:rPr>
      </w:pPr>
    </w:p>
    <w:p w14:paraId="0B7ACB11" w14:textId="00CD0972" w:rsidR="007463B1" w:rsidRDefault="007463B1" w:rsidP="007463B1">
      <w:pPr>
        <w:widowControl w:val="0"/>
        <w:spacing w:before="120" w:line="276" w:lineRule="auto"/>
        <w:jc w:val="both"/>
        <w:rPr>
          <w:rFonts w:asciiTheme="minorHAnsi" w:hAnsiTheme="minorHAnsi" w:cstheme="minorHAnsi"/>
          <w:b/>
          <w:sz w:val="20"/>
          <w:szCs w:val="20"/>
        </w:rPr>
      </w:pPr>
    </w:p>
    <w:p w14:paraId="54F00BB7" w14:textId="17FE5941" w:rsidR="007463B1" w:rsidRDefault="007463B1" w:rsidP="007463B1">
      <w:pPr>
        <w:widowControl w:val="0"/>
        <w:spacing w:before="120" w:line="276" w:lineRule="auto"/>
        <w:jc w:val="both"/>
        <w:rPr>
          <w:rFonts w:asciiTheme="minorHAnsi" w:hAnsiTheme="minorHAnsi" w:cstheme="minorHAnsi"/>
          <w:b/>
          <w:sz w:val="20"/>
          <w:szCs w:val="20"/>
        </w:rPr>
      </w:pPr>
    </w:p>
    <w:p w14:paraId="13B2D587" w14:textId="4EB65763" w:rsidR="007463B1" w:rsidRDefault="007463B1" w:rsidP="007463B1">
      <w:pPr>
        <w:widowControl w:val="0"/>
        <w:spacing w:before="120" w:line="276" w:lineRule="auto"/>
        <w:jc w:val="both"/>
        <w:rPr>
          <w:rFonts w:asciiTheme="minorHAnsi" w:hAnsiTheme="minorHAnsi" w:cstheme="minorHAnsi"/>
          <w:b/>
          <w:sz w:val="20"/>
          <w:szCs w:val="20"/>
        </w:rPr>
      </w:pPr>
    </w:p>
    <w:p w14:paraId="44434569" w14:textId="63CA9BD1" w:rsidR="007463B1" w:rsidRDefault="007463B1" w:rsidP="007463B1">
      <w:pPr>
        <w:widowControl w:val="0"/>
        <w:spacing w:before="120" w:line="276" w:lineRule="auto"/>
        <w:jc w:val="both"/>
        <w:rPr>
          <w:rFonts w:asciiTheme="minorHAnsi" w:hAnsiTheme="minorHAnsi" w:cstheme="minorHAnsi"/>
          <w:b/>
          <w:sz w:val="20"/>
          <w:szCs w:val="20"/>
        </w:rPr>
      </w:pPr>
    </w:p>
    <w:p w14:paraId="6EC8967C" w14:textId="77777777" w:rsidR="007463B1" w:rsidRDefault="007463B1" w:rsidP="007463B1">
      <w:pPr>
        <w:widowControl w:val="0"/>
        <w:spacing w:before="120" w:line="276" w:lineRule="auto"/>
        <w:jc w:val="both"/>
        <w:rPr>
          <w:rFonts w:asciiTheme="minorHAnsi" w:hAnsiTheme="minorHAnsi" w:cstheme="minorHAnsi"/>
          <w:b/>
          <w:sz w:val="20"/>
          <w:szCs w:val="20"/>
        </w:rPr>
      </w:pPr>
    </w:p>
    <w:p w14:paraId="107EC8D8" w14:textId="4D2A4996" w:rsidR="007463B1" w:rsidRDefault="007463B1" w:rsidP="00B2796D">
      <w:pPr>
        <w:pStyle w:val="ListParagraph"/>
        <w:widowControl w:val="0"/>
        <w:numPr>
          <w:ilvl w:val="0"/>
          <w:numId w:val="47"/>
        </w:numPr>
        <w:spacing w:before="120" w:line="276" w:lineRule="auto"/>
        <w:ind w:left="567" w:hanging="283"/>
        <w:jc w:val="both"/>
        <w:rPr>
          <w:rFonts w:asciiTheme="minorHAnsi" w:hAnsiTheme="minorHAnsi" w:cstheme="minorHAnsi"/>
          <w:b/>
          <w:sz w:val="20"/>
          <w:szCs w:val="20"/>
        </w:rPr>
      </w:pPr>
      <w:r>
        <w:rPr>
          <w:rFonts w:asciiTheme="minorHAnsi" w:hAnsiTheme="minorHAnsi" w:cstheme="minorHAnsi"/>
          <w:b/>
          <w:sz w:val="20"/>
          <w:szCs w:val="20"/>
        </w:rPr>
        <w:lastRenderedPageBreak/>
        <w:t>Intangible Assets</w:t>
      </w:r>
    </w:p>
    <w:p w14:paraId="6A55E684" w14:textId="4A0B0DEE" w:rsidR="003256A6" w:rsidRDefault="003256A6" w:rsidP="003256A6">
      <w:pPr>
        <w:pStyle w:val="ListParagraph"/>
        <w:widowControl w:val="0"/>
        <w:spacing w:before="120" w:line="276" w:lineRule="auto"/>
        <w:ind w:left="567"/>
        <w:jc w:val="both"/>
        <w:rPr>
          <w:rFonts w:asciiTheme="minorHAnsi" w:hAnsiTheme="minorHAnsi" w:cstheme="minorHAnsi"/>
          <w:b/>
          <w:sz w:val="20"/>
          <w:szCs w:val="20"/>
        </w:rPr>
      </w:pPr>
      <w:r>
        <w:rPr>
          <w:rFonts w:asciiTheme="minorHAnsi" w:hAnsiTheme="minorHAnsi" w:cstheme="minorHAnsi"/>
          <w:b/>
          <w:sz w:val="20"/>
          <w:szCs w:val="20"/>
        </w:rPr>
        <w:t>Group</w:t>
      </w:r>
    </w:p>
    <w:tbl>
      <w:tblPr>
        <w:tblW w:w="9960" w:type="dxa"/>
        <w:tblInd w:w="108" w:type="dxa"/>
        <w:tblLayout w:type="fixed"/>
        <w:tblLook w:val="00A0" w:firstRow="1" w:lastRow="0" w:firstColumn="1" w:lastColumn="0" w:noHBand="0" w:noVBand="0"/>
      </w:tblPr>
      <w:tblGrid>
        <w:gridCol w:w="2945"/>
        <w:gridCol w:w="568"/>
        <w:gridCol w:w="236"/>
        <w:gridCol w:w="824"/>
        <w:gridCol w:w="425"/>
        <w:gridCol w:w="851"/>
        <w:gridCol w:w="1417"/>
        <w:gridCol w:w="1418"/>
        <w:gridCol w:w="1276"/>
      </w:tblGrid>
      <w:tr w:rsidR="007463B1" w14:paraId="6940AB3F" w14:textId="77777777" w:rsidTr="007463B1">
        <w:trPr>
          <w:tblHeader/>
        </w:trPr>
        <w:tc>
          <w:tcPr>
            <w:tcW w:w="2945" w:type="dxa"/>
          </w:tcPr>
          <w:p w14:paraId="6AEBBCB7" w14:textId="77777777" w:rsidR="007463B1" w:rsidRDefault="007463B1">
            <w:pPr>
              <w:spacing w:line="276" w:lineRule="auto"/>
              <w:jc w:val="right"/>
              <w:rPr>
                <w:rFonts w:asciiTheme="minorHAnsi" w:hAnsiTheme="minorHAnsi" w:cstheme="minorHAnsi"/>
                <w:sz w:val="20"/>
                <w:szCs w:val="20"/>
              </w:rPr>
            </w:pPr>
          </w:p>
        </w:tc>
        <w:tc>
          <w:tcPr>
            <w:tcW w:w="568" w:type="dxa"/>
          </w:tcPr>
          <w:p w14:paraId="70B3A5CC" w14:textId="77777777" w:rsidR="007463B1" w:rsidRDefault="007463B1">
            <w:pPr>
              <w:spacing w:line="276" w:lineRule="auto"/>
              <w:jc w:val="right"/>
              <w:rPr>
                <w:rFonts w:asciiTheme="minorHAnsi" w:hAnsiTheme="minorHAnsi" w:cstheme="minorHAnsi"/>
                <w:b/>
                <w:sz w:val="20"/>
                <w:szCs w:val="20"/>
              </w:rPr>
            </w:pPr>
          </w:p>
        </w:tc>
        <w:tc>
          <w:tcPr>
            <w:tcW w:w="1060" w:type="dxa"/>
            <w:gridSpan w:val="2"/>
          </w:tcPr>
          <w:p w14:paraId="36EC83E9" w14:textId="77777777" w:rsidR="007463B1" w:rsidRDefault="007463B1">
            <w:pPr>
              <w:spacing w:line="276" w:lineRule="auto"/>
              <w:jc w:val="right"/>
              <w:rPr>
                <w:rFonts w:asciiTheme="minorHAnsi" w:hAnsiTheme="minorHAnsi" w:cstheme="minorHAnsi"/>
                <w:b/>
                <w:sz w:val="20"/>
                <w:szCs w:val="20"/>
              </w:rPr>
            </w:pPr>
          </w:p>
        </w:tc>
        <w:tc>
          <w:tcPr>
            <w:tcW w:w="425" w:type="dxa"/>
          </w:tcPr>
          <w:p w14:paraId="2A8D64C7" w14:textId="77777777" w:rsidR="007463B1" w:rsidRDefault="007463B1">
            <w:pPr>
              <w:spacing w:line="276" w:lineRule="auto"/>
              <w:jc w:val="right"/>
              <w:rPr>
                <w:rFonts w:asciiTheme="minorHAnsi" w:hAnsiTheme="minorHAnsi" w:cstheme="minorHAnsi"/>
                <w:b/>
                <w:sz w:val="20"/>
                <w:szCs w:val="20"/>
              </w:rPr>
            </w:pPr>
          </w:p>
        </w:tc>
        <w:tc>
          <w:tcPr>
            <w:tcW w:w="851" w:type="dxa"/>
          </w:tcPr>
          <w:p w14:paraId="0D5FE5B0" w14:textId="77777777" w:rsidR="007463B1" w:rsidRDefault="007463B1">
            <w:pPr>
              <w:spacing w:line="276" w:lineRule="auto"/>
              <w:jc w:val="right"/>
              <w:rPr>
                <w:rFonts w:asciiTheme="minorHAnsi" w:hAnsiTheme="minorHAnsi" w:cstheme="minorHAnsi"/>
                <w:b/>
                <w:sz w:val="20"/>
                <w:szCs w:val="20"/>
              </w:rPr>
            </w:pPr>
          </w:p>
        </w:tc>
        <w:tc>
          <w:tcPr>
            <w:tcW w:w="1417" w:type="dxa"/>
            <w:hideMark/>
          </w:tcPr>
          <w:p w14:paraId="32FB37AD" w14:textId="77777777" w:rsidR="007463B1" w:rsidRDefault="007463B1">
            <w:pPr>
              <w:spacing w:line="276" w:lineRule="auto"/>
              <w:ind w:left="-166"/>
              <w:jc w:val="right"/>
              <w:rPr>
                <w:rFonts w:asciiTheme="minorHAnsi" w:hAnsiTheme="minorHAnsi" w:cstheme="minorHAnsi"/>
                <w:b/>
                <w:sz w:val="20"/>
                <w:szCs w:val="20"/>
              </w:rPr>
            </w:pPr>
            <w:r>
              <w:rPr>
                <w:rFonts w:asciiTheme="minorHAnsi" w:hAnsiTheme="minorHAnsi" w:cstheme="minorHAnsi"/>
                <w:b/>
                <w:sz w:val="20"/>
                <w:szCs w:val="20"/>
              </w:rPr>
              <w:t>Intellectual Property</w:t>
            </w:r>
          </w:p>
          <w:p w14:paraId="6A93BE2A" w14:textId="77777777" w:rsidR="007463B1" w:rsidRDefault="007463B1">
            <w:pPr>
              <w:spacing w:line="276" w:lineRule="auto"/>
              <w:jc w:val="right"/>
              <w:rPr>
                <w:rFonts w:asciiTheme="minorHAnsi" w:hAnsiTheme="minorHAnsi" w:cstheme="minorHAnsi"/>
                <w:b/>
                <w:sz w:val="20"/>
                <w:szCs w:val="20"/>
              </w:rPr>
            </w:pPr>
            <w:r>
              <w:rPr>
                <w:rFonts w:asciiTheme="minorHAnsi" w:hAnsiTheme="minorHAnsi" w:cstheme="minorHAnsi"/>
                <w:b/>
                <w:sz w:val="20"/>
                <w:szCs w:val="20"/>
              </w:rPr>
              <w:t>£</w:t>
            </w:r>
          </w:p>
        </w:tc>
        <w:tc>
          <w:tcPr>
            <w:tcW w:w="1418" w:type="dxa"/>
            <w:hideMark/>
          </w:tcPr>
          <w:p w14:paraId="40F334B0" w14:textId="77777777" w:rsidR="007463B1" w:rsidRDefault="007463B1">
            <w:pPr>
              <w:spacing w:line="276" w:lineRule="auto"/>
              <w:ind w:left="-166"/>
              <w:jc w:val="right"/>
              <w:rPr>
                <w:rFonts w:asciiTheme="minorHAnsi" w:hAnsiTheme="minorHAnsi" w:cstheme="minorHAnsi"/>
                <w:b/>
                <w:sz w:val="20"/>
                <w:szCs w:val="20"/>
              </w:rPr>
            </w:pPr>
            <w:r>
              <w:rPr>
                <w:rFonts w:asciiTheme="minorHAnsi" w:hAnsiTheme="minorHAnsi" w:cstheme="minorHAnsi"/>
                <w:b/>
                <w:sz w:val="20"/>
                <w:szCs w:val="20"/>
              </w:rPr>
              <w:t>Computer software</w:t>
            </w:r>
          </w:p>
          <w:p w14:paraId="4D391F33" w14:textId="77777777" w:rsidR="007463B1" w:rsidRDefault="007463B1">
            <w:pPr>
              <w:spacing w:line="276" w:lineRule="auto"/>
              <w:jc w:val="right"/>
              <w:rPr>
                <w:rFonts w:asciiTheme="minorHAnsi" w:hAnsiTheme="minorHAnsi" w:cstheme="minorHAnsi"/>
                <w:b/>
                <w:sz w:val="20"/>
                <w:szCs w:val="20"/>
              </w:rPr>
            </w:pPr>
            <w:r>
              <w:rPr>
                <w:rFonts w:asciiTheme="minorHAnsi" w:hAnsiTheme="minorHAnsi" w:cstheme="minorHAnsi"/>
                <w:b/>
                <w:sz w:val="20"/>
                <w:szCs w:val="20"/>
              </w:rPr>
              <w:t>£</w:t>
            </w:r>
          </w:p>
        </w:tc>
        <w:tc>
          <w:tcPr>
            <w:tcW w:w="1276" w:type="dxa"/>
          </w:tcPr>
          <w:p w14:paraId="236ECA82" w14:textId="77777777" w:rsidR="007463B1" w:rsidRDefault="007463B1">
            <w:pPr>
              <w:spacing w:line="276" w:lineRule="auto"/>
              <w:jc w:val="right"/>
              <w:rPr>
                <w:rFonts w:asciiTheme="minorHAnsi" w:hAnsiTheme="minorHAnsi" w:cstheme="minorHAnsi"/>
                <w:b/>
                <w:sz w:val="20"/>
                <w:szCs w:val="20"/>
              </w:rPr>
            </w:pPr>
          </w:p>
          <w:p w14:paraId="6C5BB50A" w14:textId="77777777" w:rsidR="007463B1" w:rsidRDefault="007463B1">
            <w:pPr>
              <w:spacing w:line="276" w:lineRule="auto"/>
              <w:jc w:val="right"/>
              <w:rPr>
                <w:rFonts w:asciiTheme="minorHAnsi" w:hAnsiTheme="minorHAnsi" w:cstheme="minorHAnsi"/>
                <w:b/>
                <w:sz w:val="20"/>
                <w:szCs w:val="20"/>
              </w:rPr>
            </w:pPr>
            <w:r>
              <w:rPr>
                <w:rFonts w:asciiTheme="minorHAnsi" w:hAnsiTheme="minorHAnsi" w:cstheme="minorHAnsi"/>
                <w:b/>
                <w:sz w:val="20"/>
                <w:szCs w:val="20"/>
              </w:rPr>
              <w:t>Total</w:t>
            </w:r>
          </w:p>
          <w:p w14:paraId="153D3C58" w14:textId="77777777" w:rsidR="007463B1" w:rsidRDefault="007463B1">
            <w:pPr>
              <w:jc w:val="right"/>
              <w:rPr>
                <w:rFonts w:asciiTheme="minorHAnsi" w:hAnsiTheme="minorHAnsi" w:cstheme="minorHAnsi"/>
                <w:b/>
                <w:sz w:val="20"/>
                <w:szCs w:val="20"/>
              </w:rPr>
            </w:pPr>
            <w:r>
              <w:rPr>
                <w:rFonts w:asciiTheme="minorHAnsi" w:hAnsiTheme="minorHAnsi" w:cstheme="minorHAnsi"/>
                <w:b/>
                <w:sz w:val="20"/>
                <w:szCs w:val="20"/>
              </w:rPr>
              <w:t>£</w:t>
            </w:r>
          </w:p>
        </w:tc>
      </w:tr>
      <w:tr w:rsidR="007463B1" w14:paraId="0898A34F" w14:textId="77777777" w:rsidTr="007463B1">
        <w:tc>
          <w:tcPr>
            <w:tcW w:w="4573" w:type="dxa"/>
            <w:gridSpan w:val="4"/>
            <w:hideMark/>
          </w:tcPr>
          <w:p w14:paraId="70F68153" w14:textId="77777777" w:rsidR="007463B1" w:rsidRDefault="007463B1">
            <w:pPr>
              <w:spacing w:line="276" w:lineRule="auto"/>
              <w:ind w:firstLine="499"/>
              <w:rPr>
                <w:rFonts w:asciiTheme="minorHAnsi" w:hAnsiTheme="minorHAnsi" w:cstheme="minorHAnsi"/>
                <w:b/>
                <w:sz w:val="20"/>
                <w:szCs w:val="20"/>
              </w:rPr>
            </w:pPr>
            <w:r>
              <w:rPr>
                <w:rFonts w:asciiTheme="minorHAnsi" w:hAnsiTheme="minorHAnsi" w:cstheme="minorHAnsi"/>
                <w:b/>
                <w:sz w:val="20"/>
                <w:szCs w:val="20"/>
              </w:rPr>
              <w:t>Cost</w:t>
            </w:r>
          </w:p>
        </w:tc>
        <w:tc>
          <w:tcPr>
            <w:tcW w:w="425" w:type="dxa"/>
          </w:tcPr>
          <w:p w14:paraId="3BCC4D81" w14:textId="77777777" w:rsidR="007463B1" w:rsidRDefault="007463B1">
            <w:pPr>
              <w:spacing w:line="276" w:lineRule="auto"/>
              <w:jc w:val="right"/>
              <w:rPr>
                <w:rFonts w:asciiTheme="minorHAnsi" w:hAnsiTheme="minorHAnsi" w:cstheme="minorHAnsi"/>
                <w:sz w:val="20"/>
                <w:szCs w:val="20"/>
              </w:rPr>
            </w:pPr>
          </w:p>
        </w:tc>
        <w:tc>
          <w:tcPr>
            <w:tcW w:w="851" w:type="dxa"/>
          </w:tcPr>
          <w:p w14:paraId="27C62D8C" w14:textId="77777777" w:rsidR="007463B1" w:rsidRDefault="007463B1">
            <w:pPr>
              <w:spacing w:line="276" w:lineRule="auto"/>
              <w:jc w:val="right"/>
              <w:rPr>
                <w:rFonts w:asciiTheme="minorHAnsi" w:hAnsiTheme="minorHAnsi" w:cstheme="minorHAnsi"/>
                <w:sz w:val="20"/>
                <w:szCs w:val="20"/>
              </w:rPr>
            </w:pPr>
          </w:p>
        </w:tc>
        <w:tc>
          <w:tcPr>
            <w:tcW w:w="1417" w:type="dxa"/>
          </w:tcPr>
          <w:p w14:paraId="78CE2BF9" w14:textId="77777777" w:rsidR="007463B1" w:rsidRDefault="007463B1">
            <w:pPr>
              <w:spacing w:line="276" w:lineRule="auto"/>
              <w:jc w:val="right"/>
              <w:rPr>
                <w:rFonts w:asciiTheme="minorHAnsi" w:hAnsiTheme="minorHAnsi" w:cstheme="minorHAnsi"/>
                <w:sz w:val="20"/>
                <w:szCs w:val="20"/>
              </w:rPr>
            </w:pPr>
          </w:p>
        </w:tc>
        <w:tc>
          <w:tcPr>
            <w:tcW w:w="1418" w:type="dxa"/>
          </w:tcPr>
          <w:p w14:paraId="1879E0AD" w14:textId="77777777" w:rsidR="007463B1" w:rsidRDefault="007463B1">
            <w:pPr>
              <w:spacing w:line="276" w:lineRule="auto"/>
              <w:jc w:val="right"/>
              <w:rPr>
                <w:rFonts w:asciiTheme="minorHAnsi" w:hAnsiTheme="minorHAnsi" w:cstheme="minorHAnsi"/>
                <w:sz w:val="20"/>
                <w:szCs w:val="20"/>
              </w:rPr>
            </w:pPr>
          </w:p>
        </w:tc>
        <w:tc>
          <w:tcPr>
            <w:tcW w:w="1276" w:type="dxa"/>
          </w:tcPr>
          <w:p w14:paraId="16AD1202" w14:textId="77777777" w:rsidR="007463B1" w:rsidRDefault="007463B1">
            <w:pPr>
              <w:spacing w:line="276" w:lineRule="auto"/>
              <w:jc w:val="right"/>
              <w:rPr>
                <w:rFonts w:asciiTheme="minorHAnsi" w:hAnsiTheme="minorHAnsi" w:cstheme="minorHAnsi"/>
                <w:sz w:val="20"/>
                <w:szCs w:val="20"/>
              </w:rPr>
            </w:pPr>
          </w:p>
        </w:tc>
      </w:tr>
      <w:tr w:rsidR="007463B1" w14:paraId="489FB8C8" w14:textId="77777777" w:rsidTr="007463B1">
        <w:tc>
          <w:tcPr>
            <w:tcW w:w="4573" w:type="dxa"/>
            <w:gridSpan w:val="4"/>
            <w:hideMark/>
          </w:tcPr>
          <w:p w14:paraId="62BDB33D" w14:textId="699F86DB" w:rsidR="007463B1" w:rsidRDefault="007463B1">
            <w:pPr>
              <w:spacing w:line="276" w:lineRule="auto"/>
              <w:ind w:firstLine="499"/>
              <w:rPr>
                <w:rFonts w:asciiTheme="minorHAnsi" w:hAnsiTheme="minorHAnsi" w:cstheme="minorHAnsi"/>
                <w:sz w:val="20"/>
                <w:szCs w:val="20"/>
              </w:rPr>
            </w:pPr>
            <w:r>
              <w:rPr>
                <w:rFonts w:asciiTheme="minorHAnsi" w:hAnsiTheme="minorHAnsi" w:cstheme="minorHAnsi"/>
                <w:sz w:val="20"/>
                <w:szCs w:val="20"/>
              </w:rPr>
              <w:t>Balance at 30 June 2020</w:t>
            </w:r>
          </w:p>
        </w:tc>
        <w:tc>
          <w:tcPr>
            <w:tcW w:w="425" w:type="dxa"/>
          </w:tcPr>
          <w:p w14:paraId="22920514" w14:textId="77777777" w:rsidR="007463B1" w:rsidRDefault="007463B1">
            <w:pPr>
              <w:spacing w:line="276" w:lineRule="auto"/>
              <w:jc w:val="right"/>
              <w:rPr>
                <w:rFonts w:asciiTheme="minorHAnsi" w:hAnsiTheme="minorHAnsi" w:cstheme="minorHAnsi"/>
                <w:sz w:val="20"/>
                <w:szCs w:val="20"/>
              </w:rPr>
            </w:pPr>
          </w:p>
        </w:tc>
        <w:tc>
          <w:tcPr>
            <w:tcW w:w="851" w:type="dxa"/>
          </w:tcPr>
          <w:p w14:paraId="56D9828B" w14:textId="77777777" w:rsidR="007463B1" w:rsidRDefault="007463B1">
            <w:pPr>
              <w:spacing w:line="276" w:lineRule="auto"/>
              <w:jc w:val="right"/>
              <w:rPr>
                <w:rFonts w:asciiTheme="minorHAnsi" w:hAnsiTheme="minorHAnsi" w:cstheme="minorHAnsi"/>
                <w:sz w:val="20"/>
                <w:szCs w:val="20"/>
              </w:rPr>
            </w:pPr>
          </w:p>
        </w:tc>
        <w:tc>
          <w:tcPr>
            <w:tcW w:w="1417" w:type="dxa"/>
            <w:hideMark/>
          </w:tcPr>
          <w:p w14:paraId="7171E3C3" w14:textId="6720B5D3"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21,600</w:t>
            </w:r>
          </w:p>
        </w:tc>
        <w:tc>
          <w:tcPr>
            <w:tcW w:w="1418" w:type="dxa"/>
            <w:hideMark/>
          </w:tcPr>
          <w:p w14:paraId="393BA4CE"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139,106</w:t>
            </w:r>
          </w:p>
        </w:tc>
        <w:tc>
          <w:tcPr>
            <w:tcW w:w="1276" w:type="dxa"/>
            <w:hideMark/>
          </w:tcPr>
          <w:p w14:paraId="402E3B24" w14:textId="4EE5FF4F"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w:t>
            </w:r>
            <w:r w:rsidR="003256A6">
              <w:rPr>
                <w:rFonts w:asciiTheme="minorHAnsi" w:hAnsiTheme="minorHAnsi" w:cstheme="minorHAnsi"/>
                <w:sz w:val="20"/>
                <w:szCs w:val="20"/>
              </w:rPr>
              <w:t>60,706</w:t>
            </w:r>
          </w:p>
        </w:tc>
      </w:tr>
      <w:tr w:rsidR="007463B1" w14:paraId="7F31995A" w14:textId="77777777" w:rsidTr="007463B1">
        <w:trPr>
          <w:trHeight w:val="119"/>
        </w:trPr>
        <w:tc>
          <w:tcPr>
            <w:tcW w:w="3513" w:type="dxa"/>
            <w:gridSpan w:val="2"/>
            <w:hideMark/>
          </w:tcPr>
          <w:p w14:paraId="3280AF4B" w14:textId="61120F2E" w:rsidR="007463B1" w:rsidRDefault="007463B1">
            <w:pPr>
              <w:spacing w:line="276" w:lineRule="auto"/>
              <w:ind w:firstLine="499"/>
              <w:rPr>
                <w:rFonts w:asciiTheme="minorHAnsi" w:hAnsiTheme="minorHAnsi" w:cstheme="minorHAnsi"/>
                <w:sz w:val="20"/>
                <w:szCs w:val="20"/>
              </w:rPr>
            </w:pPr>
            <w:r>
              <w:rPr>
                <w:rFonts w:asciiTheme="minorHAnsi" w:hAnsiTheme="minorHAnsi" w:cstheme="minorHAnsi"/>
                <w:sz w:val="20"/>
                <w:szCs w:val="20"/>
              </w:rPr>
              <w:t>Disposals</w:t>
            </w:r>
          </w:p>
        </w:tc>
        <w:tc>
          <w:tcPr>
            <w:tcW w:w="236" w:type="dxa"/>
          </w:tcPr>
          <w:p w14:paraId="0DD19389" w14:textId="77777777" w:rsidR="007463B1" w:rsidRDefault="007463B1">
            <w:pPr>
              <w:spacing w:line="276" w:lineRule="auto"/>
              <w:ind w:firstLine="499"/>
              <w:jc w:val="right"/>
              <w:rPr>
                <w:rFonts w:asciiTheme="minorHAnsi" w:hAnsiTheme="minorHAnsi" w:cstheme="minorHAnsi"/>
                <w:sz w:val="20"/>
                <w:szCs w:val="20"/>
              </w:rPr>
            </w:pPr>
          </w:p>
        </w:tc>
        <w:tc>
          <w:tcPr>
            <w:tcW w:w="824" w:type="dxa"/>
          </w:tcPr>
          <w:p w14:paraId="3C15A697" w14:textId="77777777" w:rsidR="007463B1" w:rsidRDefault="007463B1">
            <w:pPr>
              <w:spacing w:line="276" w:lineRule="auto"/>
              <w:ind w:firstLine="499"/>
              <w:jc w:val="right"/>
              <w:rPr>
                <w:rFonts w:asciiTheme="minorHAnsi" w:hAnsiTheme="minorHAnsi" w:cstheme="minorHAnsi"/>
                <w:sz w:val="20"/>
                <w:szCs w:val="20"/>
              </w:rPr>
            </w:pPr>
          </w:p>
        </w:tc>
        <w:tc>
          <w:tcPr>
            <w:tcW w:w="425" w:type="dxa"/>
          </w:tcPr>
          <w:p w14:paraId="25A4D50F" w14:textId="77777777" w:rsidR="007463B1" w:rsidRDefault="007463B1">
            <w:pPr>
              <w:spacing w:line="276" w:lineRule="auto"/>
              <w:jc w:val="right"/>
              <w:rPr>
                <w:rFonts w:asciiTheme="minorHAnsi" w:hAnsiTheme="minorHAnsi" w:cstheme="minorHAnsi"/>
                <w:sz w:val="20"/>
                <w:szCs w:val="20"/>
              </w:rPr>
            </w:pPr>
          </w:p>
        </w:tc>
        <w:tc>
          <w:tcPr>
            <w:tcW w:w="851" w:type="dxa"/>
          </w:tcPr>
          <w:p w14:paraId="3F8E70FF" w14:textId="77777777" w:rsidR="007463B1" w:rsidRDefault="007463B1">
            <w:pPr>
              <w:spacing w:line="276" w:lineRule="auto"/>
              <w:jc w:val="right"/>
              <w:rPr>
                <w:rFonts w:asciiTheme="minorHAnsi" w:hAnsiTheme="minorHAnsi" w:cstheme="minorHAnsi"/>
                <w:sz w:val="20"/>
                <w:szCs w:val="20"/>
              </w:rPr>
            </w:pPr>
          </w:p>
        </w:tc>
        <w:tc>
          <w:tcPr>
            <w:tcW w:w="1417" w:type="dxa"/>
            <w:tcBorders>
              <w:top w:val="nil"/>
              <w:left w:val="nil"/>
              <w:bottom w:val="single" w:sz="4" w:space="0" w:color="auto"/>
              <w:right w:val="nil"/>
            </w:tcBorders>
            <w:hideMark/>
          </w:tcPr>
          <w:p w14:paraId="5691CA97" w14:textId="1CEDDDF5"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418" w:type="dxa"/>
            <w:tcBorders>
              <w:top w:val="nil"/>
              <w:left w:val="nil"/>
              <w:bottom w:val="single" w:sz="4" w:space="0" w:color="auto"/>
              <w:right w:val="nil"/>
            </w:tcBorders>
            <w:hideMark/>
          </w:tcPr>
          <w:p w14:paraId="3215E889" w14:textId="57BDABC8"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(139,106)</w:t>
            </w:r>
          </w:p>
        </w:tc>
        <w:tc>
          <w:tcPr>
            <w:tcW w:w="1276" w:type="dxa"/>
            <w:hideMark/>
          </w:tcPr>
          <w:p w14:paraId="0D8695E8" w14:textId="68805808" w:rsidR="007463B1" w:rsidRDefault="003256A6">
            <w:pPr>
              <w:spacing w:line="276" w:lineRule="auto"/>
              <w:jc w:val="right"/>
              <w:rPr>
                <w:rFonts w:asciiTheme="minorHAnsi" w:hAnsiTheme="minorHAnsi" w:cstheme="minorHAnsi"/>
                <w:sz w:val="20"/>
                <w:szCs w:val="20"/>
              </w:rPr>
            </w:pPr>
            <w:r>
              <w:rPr>
                <w:rFonts w:asciiTheme="minorHAnsi" w:hAnsiTheme="minorHAnsi" w:cstheme="minorHAnsi"/>
                <w:sz w:val="20"/>
                <w:szCs w:val="20"/>
              </w:rPr>
              <w:t>(139,106)</w:t>
            </w:r>
          </w:p>
        </w:tc>
      </w:tr>
      <w:tr w:rsidR="007463B1" w14:paraId="736F8084" w14:textId="77777777" w:rsidTr="007463B1">
        <w:tc>
          <w:tcPr>
            <w:tcW w:w="4573" w:type="dxa"/>
            <w:gridSpan w:val="4"/>
            <w:hideMark/>
          </w:tcPr>
          <w:p w14:paraId="2CD51B1E" w14:textId="109FBA62" w:rsidR="007463B1" w:rsidRDefault="007463B1">
            <w:pPr>
              <w:spacing w:line="276" w:lineRule="auto"/>
              <w:ind w:left="499"/>
              <w:rPr>
                <w:rFonts w:asciiTheme="minorHAnsi" w:hAnsiTheme="minorHAnsi" w:cstheme="minorHAnsi"/>
                <w:sz w:val="20"/>
                <w:szCs w:val="20"/>
              </w:rPr>
            </w:pPr>
            <w:r>
              <w:rPr>
                <w:rFonts w:asciiTheme="minorHAnsi" w:hAnsiTheme="minorHAnsi" w:cstheme="minorHAnsi"/>
                <w:b/>
                <w:sz w:val="20"/>
                <w:szCs w:val="20"/>
              </w:rPr>
              <w:t>Balance at 30 June 2021 and 30 June 2022</w:t>
            </w:r>
          </w:p>
        </w:tc>
        <w:tc>
          <w:tcPr>
            <w:tcW w:w="425" w:type="dxa"/>
          </w:tcPr>
          <w:p w14:paraId="067E0679" w14:textId="77777777" w:rsidR="007463B1" w:rsidRDefault="007463B1">
            <w:pPr>
              <w:spacing w:line="276" w:lineRule="auto"/>
              <w:jc w:val="right"/>
              <w:rPr>
                <w:rFonts w:asciiTheme="minorHAnsi" w:hAnsiTheme="minorHAnsi" w:cstheme="minorHAnsi"/>
                <w:sz w:val="20"/>
                <w:szCs w:val="20"/>
              </w:rPr>
            </w:pPr>
          </w:p>
        </w:tc>
        <w:tc>
          <w:tcPr>
            <w:tcW w:w="851" w:type="dxa"/>
          </w:tcPr>
          <w:p w14:paraId="2BCB08C1" w14:textId="77777777" w:rsidR="007463B1" w:rsidRDefault="007463B1">
            <w:pPr>
              <w:spacing w:line="276" w:lineRule="auto"/>
              <w:jc w:val="right"/>
              <w:rPr>
                <w:rFonts w:asciiTheme="minorHAnsi" w:hAnsiTheme="minorHAnsi" w:cstheme="minorHAnsi"/>
                <w:sz w:val="20"/>
                <w:szCs w:val="20"/>
              </w:rPr>
            </w:pPr>
          </w:p>
        </w:tc>
        <w:tc>
          <w:tcPr>
            <w:tcW w:w="1417" w:type="dxa"/>
            <w:tcBorders>
              <w:top w:val="single" w:sz="4" w:space="0" w:color="auto"/>
              <w:left w:val="nil"/>
              <w:bottom w:val="single" w:sz="4" w:space="0" w:color="auto"/>
              <w:right w:val="nil"/>
            </w:tcBorders>
            <w:hideMark/>
          </w:tcPr>
          <w:p w14:paraId="271BA1D1"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21,600</w:t>
            </w:r>
          </w:p>
        </w:tc>
        <w:tc>
          <w:tcPr>
            <w:tcW w:w="1418" w:type="dxa"/>
            <w:tcBorders>
              <w:top w:val="single" w:sz="4" w:space="0" w:color="auto"/>
              <w:left w:val="nil"/>
              <w:bottom w:val="single" w:sz="4" w:space="0" w:color="auto"/>
              <w:right w:val="nil"/>
            </w:tcBorders>
            <w:hideMark/>
          </w:tcPr>
          <w:p w14:paraId="6A1B9043" w14:textId="54384FFD"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276" w:type="dxa"/>
            <w:tcBorders>
              <w:top w:val="single" w:sz="4" w:space="0" w:color="auto"/>
              <w:left w:val="nil"/>
              <w:bottom w:val="single" w:sz="4" w:space="0" w:color="auto"/>
              <w:right w:val="nil"/>
            </w:tcBorders>
            <w:hideMark/>
          </w:tcPr>
          <w:p w14:paraId="3E7A432A" w14:textId="3BB37E75"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21,600</w:t>
            </w:r>
          </w:p>
        </w:tc>
      </w:tr>
      <w:tr w:rsidR="007463B1" w14:paraId="14192A95" w14:textId="77777777" w:rsidTr="007463B1">
        <w:trPr>
          <w:trHeight w:val="68"/>
        </w:trPr>
        <w:tc>
          <w:tcPr>
            <w:tcW w:w="4573" w:type="dxa"/>
            <w:gridSpan w:val="4"/>
          </w:tcPr>
          <w:p w14:paraId="4F336223" w14:textId="77777777" w:rsidR="007463B1" w:rsidRDefault="007463B1">
            <w:pPr>
              <w:spacing w:line="276" w:lineRule="auto"/>
              <w:ind w:firstLine="499"/>
              <w:rPr>
                <w:rFonts w:asciiTheme="minorHAnsi" w:hAnsiTheme="minorHAnsi" w:cstheme="minorHAnsi"/>
                <w:sz w:val="20"/>
                <w:szCs w:val="20"/>
              </w:rPr>
            </w:pPr>
          </w:p>
        </w:tc>
        <w:tc>
          <w:tcPr>
            <w:tcW w:w="425" w:type="dxa"/>
          </w:tcPr>
          <w:p w14:paraId="0148BEB2" w14:textId="77777777" w:rsidR="007463B1" w:rsidRDefault="007463B1">
            <w:pPr>
              <w:spacing w:line="276" w:lineRule="auto"/>
              <w:jc w:val="right"/>
              <w:rPr>
                <w:rFonts w:asciiTheme="minorHAnsi" w:hAnsiTheme="minorHAnsi" w:cstheme="minorHAnsi"/>
                <w:sz w:val="20"/>
                <w:szCs w:val="20"/>
              </w:rPr>
            </w:pPr>
          </w:p>
        </w:tc>
        <w:tc>
          <w:tcPr>
            <w:tcW w:w="851" w:type="dxa"/>
          </w:tcPr>
          <w:p w14:paraId="5EC86E4E" w14:textId="77777777" w:rsidR="007463B1" w:rsidRDefault="007463B1">
            <w:pPr>
              <w:spacing w:line="276" w:lineRule="auto"/>
              <w:jc w:val="right"/>
              <w:rPr>
                <w:rFonts w:asciiTheme="minorHAnsi" w:hAnsiTheme="minorHAnsi" w:cstheme="minorHAnsi"/>
                <w:sz w:val="20"/>
                <w:szCs w:val="20"/>
              </w:rPr>
            </w:pPr>
          </w:p>
        </w:tc>
        <w:tc>
          <w:tcPr>
            <w:tcW w:w="1417" w:type="dxa"/>
          </w:tcPr>
          <w:p w14:paraId="4A3C96A8" w14:textId="77777777" w:rsidR="007463B1" w:rsidRDefault="007463B1">
            <w:pPr>
              <w:spacing w:line="276" w:lineRule="auto"/>
              <w:jc w:val="right"/>
              <w:rPr>
                <w:rFonts w:asciiTheme="minorHAnsi" w:hAnsiTheme="minorHAnsi" w:cstheme="minorHAnsi"/>
                <w:sz w:val="20"/>
                <w:szCs w:val="20"/>
              </w:rPr>
            </w:pPr>
          </w:p>
        </w:tc>
        <w:tc>
          <w:tcPr>
            <w:tcW w:w="1418" w:type="dxa"/>
          </w:tcPr>
          <w:p w14:paraId="116C74B0" w14:textId="77777777" w:rsidR="007463B1" w:rsidRDefault="007463B1">
            <w:pPr>
              <w:spacing w:line="276" w:lineRule="auto"/>
              <w:jc w:val="right"/>
              <w:rPr>
                <w:rFonts w:asciiTheme="minorHAnsi" w:hAnsiTheme="minorHAnsi" w:cstheme="minorHAnsi"/>
                <w:sz w:val="20"/>
                <w:szCs w:val="20"/>
              </w:rPr>
            </w:pPr>
          </w:p>
        </w:tc>
        <w:tc>
          <w:tcPr>
            <w:tcW w:w="1276" w:type="dxa"/>
          </w:tcPr>
          <w:p w14:paraId="08C54C9F" w14:textId="77777777" w:rsidR="007463B1" w:rsidRDefault="007463B1">
            <w:pPr>
              <w:spacing w:line="276" w:lineRule="auto"/>
              <w:jc w:val="right"/>
              <w:rPr>
                <w:rFonts w:asciiTheme="minorHAnsi" w:hAnsiTheme="minorHAnsi" w:cstheme="minorHAnsi"/>
                <w:sz w:val="20"/>
                <w:szCs w:val="20"/>
              </w:rPr>
            </w:pPr>
          </w:p>
        </w:tc>
      </w:tr>
      <w:tr w:rsidR="007463B1" w14:paraId="616016DF" w14:textId="77777777" w:rsidTr="007463B1">
        <w:tc>
          <w:tcPr>
            <w:tcW w:w="4573" w:type="dxa"/>
            <w:gridSpan w:val="4"/>
            <w:hideMark/>
          </w:tcPr>
          <w:p w14:paraId="24836029" w14:textId="77777777" w:rsidR="007463B1" w:rsidRDefault="007463B1">
            <w:pPr>
              <w:spacing w:line="276" w:lineRule="auto"/>
              <w:ind w:firstLine="499"/>
              <w:rPr>
                <w:rFonts w:asciiTheme="minorHAnsi" w:hAnsiTheme="minorHAnsi" w:cstheme="minorHAnsi"/>
                <w:b/>
                <w:sz w:val="20"/>
                <w:szCs w:val="20"/>
              </w:rPr>
            </w:pPr>
            <w:r>
              <w:rPr>
                <w:rFonts w:asciiTheme="minorHAnsi" w:hAnsiTheme="minorHAnsi" w:cstheme="minorHAnsi"/>
                <w:b/>
                <w:sz w:val="20"/>
                <w:szCs w:val="20"/>
              </w:rPr>
              <w:t>Amortisation</w:t>
            </w:r>
          </w:p>
        </w:tc>
        <w:tc>
          <w:tcPr>
            <w:tcW w:w="425" w:type="dxa"/>
          </w:tcPr>
          <w:p w14:paraId="5F0CCA0D" w14:textId="77777777" w:rsidR="007463B1" w:rsidRDefault="007463B1">
            <w:pPr>
              <w:spacing w:line="276" w:lineRule="auto"/>
              <w:jc w:val="right"/>
              <w:rPr>
                <w:rFonts w:asciiTheme="minorHAnsi" w:hAnsiTheme="minorHAnsi" w:cstheme="minorHAnsi"/>
                <w:sz w:val="20"/>
                <w:szCs w:val="20"/>
              </w:rPr>
            </w:pPr>
          </w:p>
        </w:tc>
        <w:tc>
          <w:tcPr>
            <w:tcW w:w="851" w:type="dxa"/>
          </w:tcPr>
          <w:p w14:paraId="08B047AB" w14:textId="77777777" w:rsidR="007463B1" w:rsidRDefault="007463B1">
            <w:pPr>
              <w:spacing w:line="276" w:lineRule="auto"/>
              <w:jc w:val="right"/>
              <w:rPr>
                <w:rFonts w:asciiTheme="minorHAnsi" w:hAnsiTheme="minorHAnsi" w:cstheme="minorHAnsi"/>
                <w:sz w:val="20"/>
                <w:szCs w:val="20"/>
              </w:rPr>
            </w:pPr>
          </w:p>
        </w:tc>
        <w:tc>
          <w:tcPr>
            <w:tcW w:w="1417" w:type="dxa"/>
          </w:tcPr>
          <w:p w14:paraId="6DBA10A8" w14:textId="77777777" w:rsidR="007463B1" w:rsidRDefault="007463B1">
            <w:pPr>
              <w:spacing w:line="276" w:lineRule="auto"/>
              <w:jc w:val="right"/>
              <w:rPr>
                <w:rFonts w:asciiTheme="minorHAnsi" w:hAnsiTheme="minorHAnsi" w:cstheme="minorHAnsi"/>
                <w:sz w:val="20"/>
                <w:szCs w:val="20"/>
              </w:rPr>
            </w:pPr>
          </w:p>
        </w:tc>
        <w:tc>
          <w:tcPr>
            <w:tcW w:w="1418" w:type="dxa"/>
          </w:tcPr>
          <w:p w14:paraId="161DFD50" w14:textId="77777777" w:rsidR="007463B1" w:rsidRDefault="007463B1">
            <w:pPr>
              <w:spacing w:line="276" w:lineRule="auto"/>
              <w:jc w:val="right"/>
              <w:rPr>
                <w:rFonts w:asciiTheme="minorHAnsi" w:hAnsiTheme="minorHAnsi" w:cstheme="minorHAnsi"/>
                <w:sz w:val="20"/>
                <w:szCs w:val="20"/>
              </w:rPr>
            </w:pPr>
          </w:p>
        </w:tc>
        <w:tc>
          <w:tcPr>
            <w:tcW w:w="1276" w:type="dxa"/>
          </w:tcPr>
          <w:p w14:paraId="178B9858" w14:textId="77777777" w:rsidR="007463B1" w:rsidRDefault="007463B1">
            <w:pPr>
              <w:spacing w:line="276" w:lineRule="auto"/>
              <w:jc w:val="right"/>
              <w:rPr>
                <w:rFonts w:asciiTheme="minorHAnsi" w:hAnsiTheme="minorHAnsi" w:cstheme="minorHAnsi"/>
                <w:sz w:val="20"/>
                <w:szCs w:val="20"/>
              </w:rPr>
            </w:pPr>
          </w:p>
        </w:tc>
      </w:tr>
      <w:tr w:rsidR="007463B1" w14:paraId="19B596BF" w14:textId="77777777" w:rsidTr="007463B1">
        <w:tc>
          <w:tcPr>
            <w:tcW w:w="4573" w:type="dxa"/>
            <w:gridSpan w:val="4"/>
            <w:hideMark/>
          </w:tcPr>
          <w:p w14:paraId="3E5A5DFA" w14:textId="3E29F747" w:rsidR="007463B1" w:rsidRDefault="007463B1">
            <w:pPr>
              <w:spacing w:line="276" w:lineRule="auto"/>
              <w:ind w:firstLine="499"/>
              <w:rPr>
                <w:rFonts w:asciiTheme="minorHAnsi" w:hAnsiTheme="minorHAnsi" w:cstheme="minorHAnsi"/>
                <w:sz w:val="20"/>
                <w:szCs w:val="20"/>
              </w:rPr>
            </w:pPr>
            <w:r>
              <w:rPr>
                <w:rFonts w:asciiTheme="minorHAnsi" w:hAnsiTheme="minorHAnsi" w:cstheme="minorHAnsi"/>
                <w:sz w:val="20"/>
                <w:szCs w:val="20"/>
              </w:rPr>
              <w:t>Balance at 30 June 2020</w:t>
            </w:r>
          </w:p>
        </w:tc>
        <w:tc>
          <w:tcPr>
            <w:tcW w:w="425" w:type="dxa"/>
          </w:tcPr>
          <w:p w14:paraId="2BD4080E" w14:textId="77777777" w:rsidR="007463B1" w:rsidRDefault="007463B1">
            <w:pPr>
              <w:spacing w:line="276" w:lineRule="auto"/>
              <w:jc w:val="right"/>
              <w:rPr>
                <w:rFonts w:asciiTheme="minorHAnsi" w:hAnsiTheme="minorHAnsi" w:cstheme="minorHAnsi"/>
                <w:sz w:val="20"/>
                <w:szCs w:val="20"/>
              </w:rPr>
            </w:pPr>
          </w:p>
        </w:tc>
        <w:tc>
          <w:tcPr>
            <w:tcW w:w="851" w:type="dxa"/>
          </w:tcPr>
          <w:p w14:paraId="0045B876" w14:textId="77777777" w:rsidR="007463B1" w:rsidRDefault="007463B1">
            <w:pPr>
              <w:spacing w:line="276" w:lineRule="auto"/>
              <w:jc w:val="right"/>
              <w:rPr>
                <w:rFonts w:asciiTheme="minorHAnsi" w:hAnsiTheme="minorHAnsi" w:cstheme="minorHAnsi"/>
                <w:sz w:val="20"/>
                <w:szCs w:val="20"/>
              </w:rPr>
            </w:pPr>
          </w:p>
        </w:tc>
        <w:tc>
          <w:tcPr>
            <w:tcW w:w="1417" w:type="dxa"/>
            <w:hideMark/>
          </w:tcPr>
          <w:p w14:paraId="0DC24343"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418" w:type="dxa"/>
            <w:hideMark/>
          </w:tcPr>
          <w:p w14:paraId="709B2440" w14:textId="2DD3F5B3"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139,106</w:t>
            </w:r>
          </w:p>
        </w:tc>
        <w:tc>
          <w:tcPr>
            <w:tcW w:w="1276" w:type="dxa"/>
            <w:hideMark/>
          </w:tcPr>
          <w:p w14:paraId="0ACA9B54" w14:textId="3C0C6156"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139,106</w:t>
            </w:r>
          </w:p>
        </w:tc>
      </w:tr>
      <w:tr w:rsidR="007463B1" w14:paraId="6135D88C" w14:textId="77777777" w:rsidTr="007463B1">
        <w:tc>
          <w:tcPr>
            <w:tcW w:w="4573" w:type="dxa"/>
            <w:gridSpan w:val="4"/>
            <w:hideMark/>
          </w:tcPr>
          <w:p w14:paraId="3FE1937A" w14:textId="77777777" w:rsidR="007463B1" w:rsidRDefault="007463B1">
            <w:pPr>
              <w:spacing w:line="276" w:lineRule="auto"/>
              <w:ind w:firstLine="499"/>
              <w:rPr>
                <w:rFonts w:asciiTheme="minorHAnsi" w:hAnsiTheme="minorHAnsi" w:cstheme="minorHAnsi"/>
                <w:sz w:val="20"/>
                <w:szCs w:val="20"/>
              </w:rPr>
            </w:pPr>
            <w:r>
              <w:rPr>
                <w:rFonts w:asciiTheme="minorHAnsi" w:hAnsiTheme="minorHAnsi" w:cstheme="minorHAnsi"/>
                <w:sz w:val="20"/>
                <w:szCs w:val="20"/>
              </w:rPr>
              <w:t>Impairment</w:t>
            </w:r>
          </w:p>
          <w:p w14:paraId="6664DDD3" w14:textId="1E6F6CD1" w:rsidR="007463B1" w:rsidRDefault="007463B1">
            <w:pPr>
              <w:spacing w:line="276" w:lineRule="auto"/>
              <w:ind w:firstLine="499"/>
              <w:rPr>
                <w:rFonts w:asciiTheme="minorHAnsi" w:hAnsiTheme="minorHAnsi" w:cstheme="minorHAnsi"/>
                <w:sz w:val="20"/>
                <w:szCs w:val="20"/>
              </w:rPr>
            </w:pPr>
            <w:r>
              <w:rPr>
                <w:rFonts w:asciiTheme="minorHAnsi" w:hAnsiTheme="minorHAnsi" w:cstheme="minorHAnsi"/>
                <w:sz w:val="20"/>
                <w:szCs w:val="20"/>
              </w:rPr>
              <w:t>Eliminated on disposal</w:t>
            </w:r>
          </w:p>
        </w:tc>
        <w:tc>
          <w:tcPr>
            <w:tcW w:w="425" w:type="dxa"/>
          </w:tcPr>
          <w:p w14:paraId="469EC995" w14:textId="77777777" w:rsidR="007463B1" w:rsidRDefault="007463B1">
            <w:pPr>
              <w:spacing w:line="276" w:lineRule="auto"/>
              <w:jc w:val="right"/>
              <w:rPr>
                <w:rFonts w:asciiTheme="minorHAnsi" w:hAnsiTheme="minorHAnsi" w:cstheme="minorHAnsi"/>
                <w:sz w:val="20"/>
                <w:szCs w:val="20"/>
              </w:rPr>
            </w:pPr>
          </w:p>
        </w:tc>
        <w:tc>
          <w:tcPr>
            <w:tcW w:w="851" w:type="dxa"/>
          </w:tcPr>
          <w:p w14:paraId="54A8427A" w14:textId="77777777" w:rsidR="007463B1" w:rsidRDefault="007463B1">
            <w:pPr>
              <w:spacing w:line="276" w:lineRule="auto"/>
              <w:jc w:val="right"/>
              <w:rPr>
                <w:rFonts w:asciiTheme="minorHAnsi" w:hAnsiTheme="minorHAnsi" w:cstheme="minorHAnsi"/>
                <w:sz w:val="20"/>
                <w:szCs w:val="20"/>
              </w:rPr>
            </w:pPr>
          </w:p>
        </w:tc>
        <w:tc>
          <w:tcPr>
            <w:tcW w:w="1417" w:type="dxa"/>
            <w:tcBorders>
              <w:top w:val="nil"/>
              <w:left w:val="nil"/>
              <w:bottom w:val="single" w:sz="4" w:space="0" w:color="auto"/>
              <w:right w:val="nil"/>
            </w:tcBorders>
            <w:hideMark/>
          </w:tcPr>
          <w:p w14:paraId="4414C448"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21,599</w:t>
            </w:r>
          </w:p>
          <w:p w14:paraId="560B2AFE" w14:textId="6BBAD6DE"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418" w:type="dxa"/>
            <w:hideMark/>
          </w:tcPr>
          <w:p w14:paraId="3302EA1C"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p w14:paraId="057D48F7" w14:textId="768C31F5"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(139,106)</w:t>
            </w:r>
          </w:p>
        </w:tc>
        <w:tc>
          <w:tcPr>
            <w:tcW w:w="1276" w:type="dxa"/>
            <w:hideMark/>
          </w:tcPr>
          <w:p w14:paraId="4F6C28F8"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21,599</w:t>
            </w:r>
          </w:p>
          <w:p w14:paraId="3264D46B" w14:textId="74964F94"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(139,106)</w:t>
            </w:r>
          </w:p>
        </w:tc>
      </w:tr>
      <w:tr w:rsidR="007463B1" w14:paraId="0BFB99DF" w14:textId="77777777" w:rsidTr="007463B1">
        <w:tc>
          <w:tcPr>
            <w:tcW w:w="4573" w:type="dxa"/>
            <w:gridSpan w:val="4"/>
            <w:hideMark/>
          </w:tcPr>
          <w:p w14:paraId="69C15E3B" w14:textId="716385F7" w:rsidR="007463B1" w:rsidRDefault="007463B1">
            <w:pPr>
              <w:spacing w:line="276" w:lineRule="auto"/>
              <w:ind w:firstLine="499"/>
              <w:rPr>
                <w:rFonts w:asciiTheme="minorHAnsi" w:hAnsiTheme="minorHAnsi" w:cstheme="minorHAnsi"/>
                <w:sz w:val="20"/>
                <w:szCs w:val="20"/>
              </w:rPr>
            </w:pPr>
            <w:r>
              <w:rPr>
                <w:rFonts w:asciiTheme="minorHAnsi" w:hAnsiTheme="minorHAnsi" w:cstheme="minorHAnsi"/>
                <w:b/>
                <w:sz w:val="20"/>
                <w:szCs w:val="20"/>
              </w:rPr>
              <w:t>Balance at 30 June 202</w:t>
            </w:r>
            <w:r w:rsidR="00EB2817">
              <w:rPr>
                <w:rFonts w:asciiTheme="minorHAnsi" w:hAnsiTheme="minorHAnsi" w:cstheme="minorHAnsi"/>
                <w:b/>
                <w:sz w:val="20"/>
                <w:szCs w:val="20"/>
              </w:rPr>
              <w:t>1 and 30 June 2022</w:t>
            </w:r>
          </w:p>
        </w:tc>
        <w:tc>
          <w:tcPr>
            <w:tcW w:w="425" w:type="dxa"/>
          </w:tcPr>
          <w:p w14:paraId="3A48E270" w14:textId="77777777" w:rsidR="007463B1" w:rsidRDefault="007463B1">
            <w:pPr>
              <w:spacing w:line="276" w:lineRule="auto"/>
              <w:jc w:val="right"/>
              <w:rPr>
                <w:rFonts w:asciiTheme="minorHAnsi" w:hAnsiTheme="minorHAnsi" w:cstheme="minorHAnsi"/>
                <w:sz w:val="20"/>
                <w:szCs w:val="20"/>
              </w:rPr>
            </w:pPr>
          </w:p>
        </w:tc>
        <w:tc>
          <w:tcPr>
            <w:tcW w:w="851" w:type="dxa"/>
          </w:tcPr>
          <w:p w14:paraId="1923B6D6" w14:textId="77777777" w:rsidR="007463B1" w:rsidRDefault="007463B1">
            <w:pPr>
              <w:spacing w:line="276" w:lineRule="auto"/>
              <w:jc w:val="right"/>
              <w:rPr>
                <w:rFonts w:asciiTheme="minorHAnsi" w:hAnsiTheme="minorHAnsi" w:cstheme="minorHAnsi"/>
                <w:sz w:val="20"/>
                <w:szCs w:val="20"/>
              </w:rPr>
            </w:pPr>
          </w:p>
        </w:tc>
        <w:tc>
          <w:tcPr>
            <w:tcW w:w="1417" w:type="dxa"/>
            <w:tcBorders>
              <w:top w:val="single" w:sz="4" w:space="0" w:color="auto"/>
              <w:left w:val="nil"/>
              <w:bottom w:val="single" w:sz="4" w:space="0" w:color="auto"/>
              <w:right w:val="nil"/>
            </w:tcBorders>
            <w:hideMark/>
          </w:tcPr>
          <w:p w14:paraId="0A29E28C" w14:textId="6B0A2656" w:rsidR="007463B1" w:rsidRDefault="00EB2817">
            <w:pPr>
              <w:spacing w:line="276" w:lineRule="auto"/>
              <w:jc w:val="right"/>
              <w:rPr>
                <w:rFonts w:asciiTheme="minorHAnsi" w:hAnsiTheme="minorHAnsi" w:cstheme="minorHAnsi"/>
                <w:sz w:val="20"/>
                <w:szCs w:val="20"/>
              </w:rPr>
            </w:pPr>
            <w:r>
              <w:rPr>
                <w:rFonts w:asciiTheme="minorHAnsi" w:hAnsiTheme="minorHAnsi" w:cstheme="minorHAnsi"/>
                <w:sz w:val="20"/>
                <w:szCs w:val="20"/>
              </w:rPr>
              <w:t>21,599</w:t>
            </w:r>
          </w:p>
        </w:tc>
        <w:tc>
          <w:tcPr>
            <w:tcW w:w="1418" w:type="dxa"/>
            <w:tcBorders>
              <w:top w:val="single" w:sz="4" w:space="0" w:color="auto"/>
              <w:left w:val="nil"/>
              <w:bottom w:val="single" w:sz="4" w:space="0" w:color="auto"/>
              <w:right w:val="nil"/>
            </w:tcBorders>
            <w:hideMark/>
          </w:tcPr>
          <w:p w14:paraId="03E4CE2F" w14:textId="10C56B5A" w:rsidR="007463B1" w:rsidRDefault="00EB2817">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276" w:type="dxa"/>
            <w:tcBorders>
              <w:top w:val="single" w:sz="4" w:space="0" w:color="auto"/>
              <w:left w:val="nil"/>
              <w:bottom w:val="single" w:sz="4" w:space="0" w:color="auto"/>
              <w:right w:val="nil"/>
            </w:tcBorders>
            <w:hideMark/>
          </w:tcPr>
          <w:p w14:paraId="7BC692D3" w14:textId="62239BD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21,599</w:t>
            </w:r>
          </w:p>
        </w:tc>
      </w:tr>
      <w:tr w:rsidR="007463B1" w14:paraId="560643E7" w14:textId="77777777" w:rsidTr="007463B1">
        <w:tc>
          <w:tcPr>
            <w:tcW w:w="4573" w:type="dxa"/>
            <w:gridSpan w:val="4"/>
          </w:tcPr>
          <w:p w14:paraId="4E4AC52C" w14:textId="77777777" w:rsidR="007463B1" w:rsidRDefault="007463B1">
            <w:pPr>
              <w:spacing w:line="276" w:lineRule="auto"/>
              <w:ind w:firstLine="499"/>
              <w:rPr>
                <w:rFonts w:asciiTheme="minorHAnsi" w:hAnsiTheme="minorHAnsi" w:cstheme="minorHAnsi"/>
                <w:b/>
                <w:sz w:val="20"/>
                <w:szCs w:val="20"/>
              </w:rPr>
            </w:pPr>
          </w:p>
        </w:tc>
        <w:tc>
          <w:tcPr>
            <w:tcW w:w="425" w:type="dxa"/>
          </w:tcPr>
          <w:p w14:paraId="257AF590" w14:textId="77777777" w:rsidR="007463B1" w:rsidRDefault="007463B1">
            <w:pPr>
              <w:spacing w:line="276" w:lineRule="auto"/>
              <w:jc w:val="right"/>
              <w:rPr>
                <w:rFonts w:asciiTheme="minorHAnsi" w:hAnsiTheme="minorHAnsi" w:cstheme="minorHAnsi"/>
                <w:sz w:val="20"/>
                <w:szCs w:val="20"/>
              </w:rPr>
            </w:pPr>
          </w:p>
        </w:tc>
        <w:tc>
          <w:tcPr>
            <w:tcW w:w="851" w:type="dxa"/>
          </w:tcPr>
          <w:p w14:paraId="792B6136" w14:textId="77777777" w:rsidR="007463B1" w:rsidRDefault="007463B1">
            <w:pPr>
              <w:spacing w:line="276" w:lineRule="auto"/>
              <w:jc w:val="right"/>
              <w:rPr>
                <w:rFonts w:asciiTheme="minorHAnsi" w:hAnsiTheme="minorHAnsi" w:cstheme="minorHAnsi"/>
                <w:sz w:val="20"/>
                <w:szCs w:val="20"/>
              </w:rPr>
            </w:pPr>
          </w:p>
        </w:tc>
        <w:tc>
          <w:tcPr>
            <w:tcW w:w="1417" w:type="dxa"/>
            <w:tcBorders>
              <w:top w:val="single" w:sz="4" w:space="0" w:color="auto"/>
              <w:left w:val="nil"/>
              <w:bottom w:val="nil"/>
              <w:right w:val="nil"/>
            </w:tcBorders>
          </w:tcPr>
          <w:p w14:paraId="103D54E6" w14:textId="77777777" w:rsidR="007463B1" w:rsidRDefault="007463B1">
            <w:pPr>
              <w:spacing w:line="276" w:lineRule="auto"/>
              <w:jc w:val="right"/>
              <w:rPr>
                <w:rFonts w:asciiTheme="minorHAnsi" w:hAnsiTheme="minorHAnsi" w:cstheme="minorHAnsi"/>
                <w:sz w:val="20"/>
                <w:szCs w:val="20"/>
              </w:rPr>
            </w:pPr>
          </w:p>
        </w:tc>
        <w:tc>
          <w:tcPr>
            <w:tcW w:w="1418" w:type="dxa"/>
            <w:tcBorders>
              <w:top w:val="single" w:sz="4" w:space="0" w:color="auto"/>
              <w:left w:val="nil"/>
              <w:bottom w:val="nil"/>
              <w:right w:val="nil"/>
            </w:tcBorders>
          </w:tcPr>
          <w:p w14:paraId="1BEEADD6" w14:textId="77777777" w:rsidR="007463B1" w:rsidRDefault="007463B1">
            <w:pPr>
              <w:spacing w:line="276" w:lineRule="auto"/>
              <w:jc w:val="right"/>
              <w:rPr>
                <w:rFonts w:asciiTheme="minorHAnsi" w:hAnsiTheme="minorHAnsi" w:cstheme="minorHAnsi"/>
                <w:sz w:val="20"/>
                <w:szCs w:val="20"/>
              </w:rPr>
            </w:pPr>
          </w:p>
        </w:tc>
        <w:tc>
          <w:tcPr>
            <w:tcW w:w="1276" w:type="dxa"/>
            <w:tcBorders>
              <w:top w:val="single" w:sz="4" w:space="0" w:color="auto"/>
              <w:left w:val="nil"/>
              <w:bottom w:val="nil"/>
              <w:right w:val="nil"/>
            </w:tcBorders>
          </w:tcPr>
          <w:p w14:paraId="2E8F99A6" w14:textId="77777777" w:rsidR="007463B1" w:rsidRDefault="007463B1">
            <w:pPr>
              <w:spacing w:line="276" w:lineRule="auto"/>
              <w:jc w:val="right"/>
              <w:rPr>
                <w:rFonts w:asciiTheme="minorHAnsi" w:hAnsiTheme="minorHAnsi" w:cstheme="minorHAnsi"/>
                <w:sz w:val="20"/>
                <w:szCs w:val="20"/>
              </w:rPr>
            </w:pPr>
          </w:p>
        </w:tc>
      </w:tr>
      <w:tr w:rsidR="007463B1" w14:paraId="710F6842" w14:textId="77777777" w:rsidTr="007463B1">
        <w:tc>
          <w:tcPr>
            <w:tcW w:w="4573" w:type="dxa"/>
            <w:gridSpan w:val="4"/>
            <w:hideMark/>
          </w:tcPr>
          <w:p w14:paraId="07021AFF" w14:textId="77777777" w:rsidR="007463B1" w:rsidRDefault="007463B1">
            <w:pPr>
              <w:spacing w:line="276" w:lineRule="auto"/>
              <w:ind w:firstLine="499"/>
              <w:rPr>
                <w:rFonts w:asciiTheme="minorHAnsi" w:hAnsiTheme="minorHAnsi" w:cstheme="minorHAnsi"/>
                <w:b/>
                <w:sz w:val="20"/>
                <w:szCs w:val="20"/>
              </w:rPr>
            </w:pPr>
            <w:r>
              <w:rPr>
                <w:rFonts w:asciiTheme="minorHAnsi" w:hAnsiTheme="minorHAnsi" w:cstheme="minorHAnsi"/>
                <w:b/>
                <w:sz w:val="20"/>
                <w:szCs w:val="20"/>
              </w:rPr>
              <w:t>Carrying amounts</w:t>
            </w:r>
          </w:p>
        </w:tc>
        <w:tc>
          <w:tcPr>
            <w:tcW w:w="425" w:type="dxa"/>
          </w:tcPr>
          <w:p w14:paraId="76D26C4B" w14:textId="77777777" w:rsidR="007463B1" w:rsidRDefault="007463B1">
            <w:pPr>
              <w:spacing w:line="276" w:lineRule="auto"/>
              <w:jc w:val="right"/>
              <w:rPr>
                <w:rFonts w:asciiTheme="minorHAnsi" w:hAnsiTheme="minorHAnsi" w:cstheme="minorHAnsi"/>
                <w:sz w:val="20"/>
                <w:szCs w:val="20"/>
              </w:rPr>
            </w:pPr>
          </w:p>
        </w:tc>
        <w:tc>
          <w:tcPr>
            <w:tcW w:w="851" w:type="dxa"/>
          </w:tcPr>
          <w:p w14:paraId="01917A47" w14:textId="77777777" w:rsidR="007463B1" w:rsidRDefault="007463B1">
            <w:pPr>
              <w:spacing w:line="276" w:lineRule="auto"/>
              <w:jc w:val="right"/>
              <w:rPr>
                <w:rFonts w:asciiTheme="minorHAnsi" w:hAnsiTheme="minorHAnsi" w:cstheme="minorHAnsi"/>
                <w:sz w:val="20"/>
                <w:szCs w:val="20"/>
              </w:rPr>
            </w:pPr>
          </w:p>
        </w:tc>
        <w:tc>
          <w:tcPr>
            <w:tcW w:w="1417" w:type="dxa"/>
          </w:tcPr>
          <w:p w14:paraId="450CA12D" w14:textId="77777777" w:rsidR="007463B1" w:rsidRDefault="007463B1">
            <w:pPr>
              <w:spacing w:line="276" w:lineRule="auto"/>
              <w:jc w:val="right"/>
              <w:rPr>
                <w:rFonts w:asciiTheme="minorHAnsi" w:hAnsiTheme="minorHAnsi" w:cstheme="minorHAnsi"/>
                <w:sz w:val="20"/>
                <w:szCs w:val="20"/>
              </w:rPr>
            </w:pPr>
          </w:p>
        </w:tc>
        <w:tc>
          <w:tcPr>
            <w:tcW w:w="1418" w:type="dxa"/>
          </w:tcPr>
          <w:p w14:paraId="10901BB6" w14:textId="77777777" w:rsidR="007463B1" w:rsidRDefault="007463B1">
            <w:pPr>
              <w:spacing w:line="276" w:lineRule="auto"/>
              <w:jc w:val="right"/>
              <w:rPr>
                <w:rFonts w:asciiTheme="minorHAnsi" w:hAnsiTheme="minorHAnsi" w:cstheme="minorHAnsi"/>
                <w:sz w:val="20"/>
                <w:szCs w:val="20"/>
              </w:rPr>
            </w:pPr>
          </w:p>
        </w:tc>
        <w:tc>
          <w:tcPr>
            <w:tcW w:w="1276" w:type="dxa"/>
          </w:tcPr>
          <w:p w14:paraId="0383C453" w14:textId="77777777" w:rsidR="007463B1" w:rsidRDefault="007463B1">
            <w:pPr>
              <w:spacing w:line="276" w:lineRule="auto"/>
              <w:jc w:val="right"/>
              <w:rPr>
                <w:rFonts w:asciiTheme="minorHAnsi" w:hAnsiTheme="minorHAnsi" w:cstheme="minorHAnsi"/>
                <w:sz w:val="20"/>
                <w:szCs w:val="20"/>
              </w:rPr>
            </w:pPr>
          </w:p>
        </w:tc>
      </w:tr>
      <w:tr w:rsidR="007463B1" w14:paraId="13F5D8EA" w14:textId="77777777" w:rsidTr="007463B1">
        <w:tc>
          <w:tcPr>
            <w:tcW w:w="4573" w:type="dxa"/>
            <w:gridSpan w:val="4"/>
            <w:hideMark/>
          </w:tcPr>
          <w:p w14:paraId="771FB072" w14:textId="1FDDD7B8" w:rsidR="007463B1" w:rsidRDefault="007463B1">
            <w:pPr>
              <w:spacing w:line="276" w:lineRule="auto"/>
              <w:ind w:firstLine="499"/>
              <w:rPr>
                <w:rFonts w:asciiTheme="minorHAnsi" w:hAnsiTheme="minorHAnsi" w:cstheme="minorHAnsi"/>
                <w:b/>
                <w:sz w:val="20"/>
                <w:szCs w:val="20"/>
              </w:rPr>
            </w:pPr>
            <w:r>
              <w:rPr>
                <w:rFonts w:asciiTheme="minorHAnsi" w:hAnsiTheme="minorHAnsi" w:cstheme="minorHAnsi"/>
                <w:sz w:val="20"/>
                <w:szCs w:val="20"/>
              </w:rPr>
              <w:t>Balance at 30 June 202</w:t>
            </w:r>
            <w:r w:rsidR="00EB2817">
              <w:rPr>
                <w:rFonts w:asciiTheme="minorHAnsi" w:hAnsiTheme="minorHAnsi" w:cstheme="minorHAnsi"/>
                <w:sz w:val="20"/>
                <w:szCs w:val="20"/>
              </w:rPr>
              <w:t>2</w:t>
            </w:r>
          </w:p>
        </w:tc>
        <w:tc>
          <w:tcPr>
            <w:tcW w:w="425" w:type="dxa"/>
          </w:tcPr>
          <w:p w14:paraId="15C10B04" w14:textId="77777777" w:rsidR="007463B1" w:rsidRDefault="007463B1">
            <w:pPr>
              <w:spacing w:line="276" w:lineRule="auto"/>
              <w:jc w:val="right"/>
              <w:rPr>
                <w:rFonts w:asciiTheme="minorHAnsi" w:hAnsiTheme="minorHAnsi" w:cstheme="minorHAnsi"/>
                <w:sz w:val="20"/>
                <w:szCs w:val="20"/>
              </w:rPr>
            </w:pPr>
          </w:p>
        </w:tc>
        <w:tc>
          <w:tcPr>
            <w:tcW w:w="851" w:type="dxa"/>
          </w:tcPr>
          <w:p w14:paraId="29D046D6" w14:textId="77777777" w:rsidR="007463B1" w:rsidRDefault="007463B1">
            <w:pPr>
              <w:spacing w:line="276" w:lineRule="auto"/>
              <w:jc w:val="right"/>
              <w:rPr>
                <w:rFonts w:asciiTheme="minorHAnsi" w:hAnsiTheme="minorHAnsi" w:cstheme="minorHAnsi"/>
                <w:sz w:val="20"/>
                <w:szCs w:val="20"/>
              </w:rPr>
            </w:pPr>
          </w:p>
        </w:tc>
        <w:tc>
          <w:tcPr>
            <w:tcW w:w="1417" w:type="dxa"/>
            <w:tcBorders>
              <w:top w:val="nil"/>
              <w:left w:val="nil"/>
              <w:bottom w:val="double" w:sz="4" w:space="0" w:color="auto"/>
              <w:right w:val="nil"/>
            </w:tcBorders>
            <w:hideMark/>
          </w:tcPr>
          <w:p w14:paraId="363A43EE"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w:t>
            </w:r>
          </w:p>
        </w:tc>
        <w:tc>
          <w:tcPr>
            <w:tcW w:w="1418" w:type="dxa"/>
            <w:tcBorders>
              <w:top w:val="nil"/>
              <w:left w:val="nil"/>
              <w:bottom w:val="double" w:sz="4" w:space="0" w:color="auto"/>
              <w:right w:val="nil"/>
            </w:tcBorders>
            <w:hideMark/>
          </w:tcPr>
          <w:p w14:paraId="744CC02C"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276" w:type="dxa"/>
            <w:tcBorders>
              <w:top w:val="nil"/>
              <w:left w:val="nil"/>
              <w:bottom w:val="double" w:sz="4" w:space="0" w:color="auto"/>
              <w:right w:val="nil"/>
            </w:tcBorders>
            <w:hideMark/>
          </w:tcPr>
          <w:p w14:paraId="3F755976"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1</w:t>
            </w:r>
          </w:p>
        </w:tc>
      </w:tr>
      <w:tr w:rsidR="007463B1" w14:paraId="56725811" w14:textId="77777777" w:rsidTr="007463B1">
        <w:trPr>
          <w:trHeight w:val="119"/>
        </w:trPr>
        <w:tc>
          <w:tcPr>
            <w:tcW w:w="3749" w:type="dxa"/>
            <w:gridSpan w:val="3"/>
            <w:hideMark/>
          </w:tcPr>
          <w:p w14:paraId="598F42B4" w14:textId="28F8F91C" w:rsidR="007463B1" w:rsidRDefault="007463B1">
            <w:pPr>
              <w:spacing w:line="276" w:lineRule="auto"/>
              <w:ind w:firstLine="499"/>
              <w:rPr>
                <w:rFonts w:asciiTheme="minorHAnsi" w:hAnsiTheme="minorHAnsi" w:cstheme="minorHAnsi"/>
                <w:sz w:val="20"/>
                <w:szCs w:val="20"/>
              </w:rPr>
            </w:pPr>
            <w:r>
              <w:rPr>
                <w:rFonts w:asciiTheme="minorHAnsi" w:hAnsiTheme="minorHAnsi" w:cstheme="minorHAnsi"/>
                <w:sz w:val="20"/>
                <w:szCs w:val="20"/>
              </w:rPr>
              <w:t>Balance at 30 June 202</w:t>
            </w:r>
            <w:r w:rsidR="00EB2817">
              <w:rPr>
                <w:rFonts w:asciiTheme="minorHAnsi" w:hAnsiTheme="minorHAnsi" w:cstheme="minorHAnsi"/>
                <w:sz w:val="20"/>
                <w:szCs w:val="20"/>
              </w:rPr>
              <w:t>1</w:t>
            </w:r>
          </w:p>
        </w:tc>
        <w:tc>
          <w:tcPr>
            <w:tcW w:w="824" w:type="dxa"/>
          </w:tcPr>
          <w:p w14:paraId="67FEC7FC" w14:textId="77777777" w:rsidR="007463B1" w:rsidRDefault="007463B1">
            <w:pPr>
              <w:spacing w:line="276" w:lineRule="auto"/>
              <w:ind w:firstLine="499"/>
              <w:jc w:val="right"/>
              <w:rPr>
                <w:rFonts w:asciiTheme="minorHAnsi" w:hAnsiTheme="minorHAnsi" w:cstheme="minorHAnsi"/>
                <w:sz w:val="20"/>
                <w:szCs w:val="20"/>
              </w:rPr>
            </w:pPr>
          </w:p>
        </w:tc>
        <w:tc>
          <w:tcPr>
            <w:tcW w:w="425" w:type="dxa"/>
          </w:tcPr>
          <w:p w14:paraId="344AEB29" w14:textId="77777777" w:rsidR="007463B1" w:rsidRDefault="007463B1">
            <w:pPr>
              <w:spacing w:line="276" w:lineRule="auto"/>
              <w:jc w:val="right"/>
              <w:rPr>
                <w:rFonts w:asciiTheme="minorHAnsi" w:hAnsiTheme="minorHAnsi" w:cstheme="minorHAnsi"/>
                <w:sz w:val="20"/>
                <w:szCs w:val="20"/>
              </w:rPr>
            </w:pPr>
          </w:p>
        </w:tc>
        <w:tc>
          <w:tcPr>
            <w:tcW w:w="851" w:type="dxa"/>
          </w:tcPr>
          <w:p w14:paraId="392C4ADA" w14:textId="77777777" w:rsidR="007463B1" w:rsidRDefault="007463B1">
            <w:pPr>
              <w:spacing w:line="276" w:lineRule="auto"/>
              <w:jc w:val="right"/>
              <w:rPr>
                <w:rFonts w:asciiTheme="minorHAnsi" w:hAnsiTheme="minorHAnsi" w:cstheme="minorHAnsi"/>
                <w:sz w:val="20"/>
                <w:szCs w:val="20"/>
              </w:rPr>
            </w:pPr>
          </w:p>
        </w:tc>
        <w:tc>
          <w:tcPr>
            <w:tcW w:w="1417" w:type="dxa"/>
            <w:tcBorders>
              <w:top w:val="double" w:sz="4" w:space="0" w:color="auto"/>
              <w:left w:val="nil"/>
              <w:bottom w:val="double" w:sz="4" w:space="0" w:color="auto"/>
              <w:right w:val="nil"/>
            </w:tcBorders>
            <w:hideMark/>
          </w:tcPr>
          <w:p w14:paraId="7340678E" w14:textId="379CA130" w:rsidR="007463B1" w:rsidRDefault="00EB2817">
            <w:pPr>
              <w:spacing w:line="276" w:lineRule="auto"/>
              <w:jc w:val="right"/>
              <w:rPr>
                <w:rFonts w:asciiTheme="minorHAnsi" w:hAnsiTheme="minorHAnsi" w:cstheme="minorHAnsi"/>
                <w:sz w:val="20"/>
                <w:szCs w:val="20"/>
              </w:rPr>
            </w:pPr>
            <w:r>
              <w:rPr>
                <w:rFonts w:asciiTheme="minorHAnsi" w:hAnsiTheme="minorHAnsi" w:cstheme="minorHAnsi"/>
                <w:sz w:val="20"/>
                <w:szCs w:val="20"/>
              </w:rPr>
              <w:t>1</w:t>
            </w:r>
          </w:p>
        </w:tc>
        <w:tc>
          <w:tcPr>
            <w:tcW w:w="1418" w:type="dxa"/>
            <w:tcBorders>
              <w:top w:val="double" w:sz="4" w:space="0" w:color="auto"/>
              <w:left w:val="nil"/>
              <w:bottom w:val="double" w:sz="4" w:space="0" w:color="auto"/>
              <w:right w:val="nil"/>
            </w:tcBorders>
            <w:hideMark/>
          </w:tcPr>
          <w:p w14:paraId="08D1B50A" w14:textId="77777777" w:rsidR="007463B1" w:rsidRDefault="007463B1">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1276" w:type="dxa"/>
            <w:tcBorders>
              <w:top w:val="nil"/>
              <w:left w:val="nil"/>
              <w:bottom w:val="double" w:sz="4" w:space="0" w:color="auto"/>
              <w:right w:val="nil"/>
            </w:tcBorders>
            <w:hideMark/>
          </w:tcPr>
          <w:p w14:paraId="701AFD3F" w14:textId="5762D742" w:rsidR="007463B1" w:rsidRDefault="00EB2817">
            <w:pPr>
              <w:spacing w:line="276" w:lineRule="auto"/>
              <w:jc w:val="right"/>
              <w:rPr>
                <w:rFonts w:asciiTheme="minorHAnsi" w:hAnsiTheme="minorHAnsi" w:cstheme="minorHAnsi"/>
                <w:sz w:val="20"/>
                <w:szCs w:val="20"/>
              </w:rPr>
            </w:pPr>
            <w:r>
              <w:rPr>
                <w:rFonts w:asciiTheme="minorHAnsi" w:hAnsiTheme="minorHAnsi" w:cstheme="minorHAnsi"/>
                <w:sz w:val="20"/>
                <w:szCs w:val="20"/>
              </w:rPr>
              <w:t>1</w:t>
            </w:r>
          </w:p>
        </w:tc>
      </w:tr>
    </w:tbl>
    <w:p w14:paraId="503CE196" w14:textId="4284CF4E" w:rsidR="003256A6" w:rsidRDefault="003256A6" w:rsidP="007463B1">
      <w:pPr>
        <w:widowControl w:val="0"/>
        <w:spacing w:before="120" w:line="276" w:lineRule="auto"/>
        <w:jc w:val="both"/>
        <w:rPr>
          <w:rFonts w:asciiTheme="minorHAnsi" w:hAnsiTheme="minorHAnsi" w:cstheme="minorHAnsi"/>
          <w:b/>
          <w:sz w:val="20"/>
          <w:szCs w:val="20"/>
        </w:rPr>
      </w:pPr>
      <w:r>
        <w:rPr>
          <w:rFonts w:asciiTheme="minorHAnsi" w:hAnsiTheme="minorHAnsi" w:cstheme="minorHAnsi"/>
          <w:b/>
          <w:sz w:val="20"/>
          <w:szCs w:val="20"/>
        </w:rPr>
        <w:tab/>
      </w:r>
    </w:p>
    <w:p w14:paraId="7C11C749" w14:textId="77777777" w:rsidR="00802FA9" w:rsidRDefault="00802FA9" w:rsidP="007463B1">
      <w:pPr>
        <w:widowControl w:val="0"/>
        <w:spacing w:before="120" w:line="276" w:lineRule="auto"/>
        <w:jc w:val="both"/>
        <w:rPr>
          <w:rFonts w:asciiTheme="minorHAnsi" w:hAnsiTheme="minorHAnsi" w:cstheme="minorHAnsi"/>
          <w:b/>
          <w:sz w:val="20"/>
          <w:szCs w:val="20"/>
        </w:rPr>
      </w:pPr>
    </w:p>
    <w:p w14:paraId="2BBBC360" w14:textId="6F33FFE4" w:rsidR="00EF256C" w:rsidRDefault="00EF256C" w:rsidP="00B2796D">
      <w:pPr>
        <w:pStyle w:val="ListParagraph"/>
        <w:widowControl w:val="0"/>
        <w:numPr>
          <w:ilvl w:val="0"/>
          <w:numId w:val="26"/>
        </w:numPr>
        <w:spacing w:before="120" w:line="276" w:lineRule="auto"/>
        <w:ind w:left="567" w:hanging="425"/>
        <w:contextualSpacing w:val="0"/>
        <w:jc w:val="both"/>
        <w:rPr>
          <w:rFonts w:asciiTheme="minorHAnsi" w:hAnsiTheme="minorHAnsi" w:cstheme="minorHAnsi"/>
          <w:b/>
          <w:sz w:val="20"/>
          <w:szCs w:val="20"/>
        </w:rPr>
      </w:pPr>
      <w:r w:rsidRPr="006F6821">
        <w:rPr>
          <w:rFonts w:asciiTheme="minorHAnsi" w:hAnsiTheme="minorHAnsi" w:cstheme="minorHAnsi"/>
          <w:b/>
          <w:sz w:val="20"/>
          <w:szCs w:val="20"/>
        </w:rPr>
        <w:t>Investme</w:t>
      </w:r>
      <w:r>
        <w:rPr>
          <w:rFonts w:asciiTheme="minorHAnsi" w:hAnsiTheme="minorHAnsi" w:cstheme="minorHAnsi"/>
          <w:b/>
          <w:sz w:val="20"/>
          <w:szCs w:val="20"/>
        </w:rPr>
        <w:t>nts</w:t>
      </w:r>
    </w:p>
    <w:p w14:paraId="05212586" w14:textId="77777777" w:rsidR="00802FA9" w:rsidRDefault="00802FA9" w:rsidP="00EB2817">
      <w:pPr>
        <w:keepNext/>
        <w:keepLines/>
        <w:tabs>
          <w:tab w:val="left" w:pos="426"/>
        </w:tabs>
        <w:spacing w:line="276" w:lineRule="auto"/>
        <w:ind w:left="426" w:firstLine="141"/>
        <w:jc w:val="both"/>
        <w:rPr>
          <w:rFonts w:asciiTheme="minorHAnsi" w:hAnsiTheme="minorHAnsi" w:cstheme="minorHAnsi"/>
          <w:b/>
          <w:sz w:val="20"/>
          <w:szCs w:val="20"/>
        </w:rPr>
      </w:pPr>
    </w:p>
    <w:p w14:paraId="7CD2EF25" w14:textId="5117478F" w:rsidR="00046021" w:rsidRPr="00046021" w:rsidRDefault="00046021" w:rsidP="00EB2817">
      <w:pPr>
        <w:keepNext/>
        <w:keepLines/>
        <w:tabs>
          <w:tab w:val="left" w:pos="426"/>
        </w:tabs>
        <w:spacing w:line="276" w:lineRule="auto"/>
        <w:ind w:left="426" w:firstLine="141"/>
        <w:jc w:val="both"/>
        <w:rPr>
          <w:rFonts w:asciiTheme="minorHAnsi" w:hAnsiTheme="minorHAnsi" w:cstheme="minorHAnsi"/>
          <w:b/>
          <w:sz w:val="20"/>
          <w:szCs w:val="20"/>
        </w:rPr>
      </w:pPr>
      <w:r>
        <w:rPr>
          <w:rFonts w:asciiTheme="minorHAnsi" w:hAnsiTheme="minorHAnsi" w:cstheme="minorHAnsi"/>
          <w:b/>
          <w:sz w:val="20"/>
          <w:szCs w:val="20"/>
        </w:rPr>
        <w:t>Company</w:t>
      </w:r>
    </w:p>
    <w:tbl>
      <w:tblPr>
        <w:tblW w:w="9781" w:type="dxa"/>
        <w:tblInd w:w="284" w:type="dxa"/>
        <w:tblLook w:val="00A0" w:firstRow="1" w:lastRow="0" w:firstColumn="1" w:lastColumn="0" w:noHBand="0" w:noVBand="0"/>
      </w:tblPr>
      <w:tblGrid>
        <w:gridCol w:w="7087"/>
        <w:gridCol w:w="1276"/>
        <w:gridCol w:w="1418"/>
      </w:tblGrid>
      <w:tr w:rsidR="00046021" w:rsidRPr="00BB3C18" w14:paraId="1A2E132E" w14:textId="77777777" w:rsidTr="00EB2817">
        <w:trPr>
          <w:trHeight w:val="906"/>
        </w:trPr>
        <w:tc>
          <w:tcPr>
            <w:tcW w:w="7087" w:type="dxa"/>
          </w:tcPr>
          <w:p w14:paraId="67156270" w14:textId="77777777" w:rsidR="00046021" w:rsidRPr="00BB3C18" w:rsidRDefault="00046021" w:rsidP="00EB2817">
            <w:pPr>
              <w:spacing w:line="276" w:lineRule="auto"/>
              <w:ind w:left="37" w:firstLine="141"/>
              <w:jc w:val="right"/>
              <w:rPr>
                <w:rFonts w:asciiTheme="minorHAnsi" w:hAnsiTheme="minorHAnsi" w:cstheme="minorHAnsi"/>
                <w:b/>
                <w:sz w:val="20"/>
                <w:szCs w:val="20"/>
              </w:rPr>
            </w:pPr>
          </w:p>
        </w:tc>
        <w:tc>
          <w:tcPr>
            <w:tcW w:w="1276" w:type="dxa"/>
          </w:tcPr>
          <w:p w14:paraId="3A6E4B10" w14:textId="77777777" w:rsidR="00046021" w:rsidRPr="00BB3C18" w:rsidRDefault="00046021" w:rsidP="00EB2817">
            <w:pPr>
              <w:spacing w:line="276" w:lineRule="auto"/>
              <w:ind w:left="345" w:hanging="204"/>
              <w:jc w:val="right"/>
              <w:rPr>
                <w:rFonts w:asciiTheme="minorHAnsi" w:hAnsiTheme="minorHAnsi" w:cstheme="minorHAnsi"/>
                <w:b/>
                <w:sz w:val="20"/>
                <w:szCs w:val="20"/>
              </w:rPr>
            </w:pPr>
            <w:r w:rsidRPr="00BB3C18">
              <w:rPr>
                <w:rFonts w:asciiTheme="minorHAnsi" w:hAnsiTheme="minorHAnsi" w:cstheme="minorHAnsi"/>
                <w:b/>
                <w:sz w:val="20"/>
                <w:szCs w:val="20"/>
              </w:rPr>
              <w:t>30 June</w:t>
            </w:r>
          </w:p>
          <w:p w14:paraId="34427FA0" w14:textId="16205ACF" w:rsidR="00046021" w:rsidRPr="00BB3C18" w:rsidRDefault="00046021" w:rsidP="00EB2817">
            <w:pPr>
              <w:spacing w:line="276" w:lineRule="auto"/>
              <w:ind w:left="345" w:hanging="204"/>
              <w:jc w:val="right"/>
              <w:rPr>
                <w:rFonts w:asciiTheme="minorHAnsi" w:hAnsiTheme="minorHAnsi" w:cstheme="minorHAnsi"/>
                <w:b/>
                <w:sz w:val="20"/>
                <w:szCs w:val="20"/>
              </w:rPr>
            </w:pPr>
            <w:r w:rsidRPr="00BB3C18">
              <w:rPr>
                <w:rFonts w:asciiTheme="minorHAnsi" w:hAnsiTheme="minorHAnsi" w:cstheme="minorHAnsi"/>
                <w:b/>
                <w:sz w:val="20"/>
                <w:szCs w:val="20"/>
              </w:rPr>
              <w:t>20</w:t>
            </w:r>
            <w:r>
              <w:rPr>
                <w:rFonts w:asciiTheme="minorHAnsi" w:hAnsiTheme="minorHAnsi" w:cstheme="minorHAnsi"/>
                <w:b/>
                <w:sz w:val="20"/>
                <w:szCs w:val="20"/>
              </w:rPr>
              <w:t>2</w:t>
            </w:r>
            <w:r w:rsidR="00E47EBE">
              <w:rPr>
                <w:rFonts w:asciiTheme="minorHAnsi" w:hAnsiTheme="minorHAnsi" w:cstheme="minorHAnsi"/>
                <w:b/>
                <w:sz w:val="20"/>
                <w:szCs w:val="20"/>
              </w:rPr>
              <w:t>2</w:t>
            </w:r>
          </w:p>
          <w:p w14:paraId="7626FCA8" w14:textId="77777777" w:rsidR="00046021" w:rsidRPr="00BB3C18" w:rsidRDefault="00046021" w:rsidP="00EB2817">
            <w:pPr>
              <w:spacing w:line="276" w:lineRule="auto"/>
              <w:ind w:left="345" w:hanging="204"/>
              <w:jc w:val="right"/>
              <w:rPr>
                <w:rFonts w:asciiTheme="minorHAnsi" w:hAnsiTheme="minorHAnsi" w:cstheme="minorHAnsi"/>
                <w:b/>
                <w:sz w:val="20"/>
                <w:szCs w:val="20"/>
              </w:rPr>
            </w:pPr>
            <w:r w:rsidRPr="00BB3C18">
              <w:rPr>
                <w:rFonts w:asciiTheme="minorHAnsi" w:hAnsiTheme="minorHAnsi" w:cstheme="minorHAnsi"/>
                <w:b/>
                <w:sz w:val="20"/>
                <w:szCs w:val="20"/>
              </w:rPr>
              <w:t>£</w:t>
            </w:r>
          </w:p>
        </w:tc>
        <w:tc>
          <w:tcPr>
            <w:tcW w:w="1418" w:type="dxa"/>
          </w:tcPr>
          <w:p w14:paraId="50B7A993" w14:textId="5EC38736" w:rsidR="00046021" w:rsidRPr="00BB3C18" w:rsidRDefault="00046021" w:rsidP="00EB2817">
            <w:pPr>
              <w:spacing w:line="276" w:lineRule="auto"/>
              <w:ind w:left="345" w:hanging="204"/>
              <w:jc w:val="right"/>
              <w:rPr>
                <w:rFonts w:asciiTheme="minorHAnsi" w:hAnsiTheme="minorHAnsi" w:cstheme="minorHAnsi"/>
                <w:b/>
                <w:sz w:val="20"/>
                <w:szCs w:val="20"/>
              </w:rPr>
            </w:pPr>
            <w:r w:rsidRPr="00BB3C18">
              <w:rPr>
                <w:rFonts w:asciiTheme="minorHAnsi" w:hAnsiTheme="minorHAnsi" w:cstheme="minorHAnsi"/>
                <w:b/>
                <w:sz w:val="20"/>
                <w:szCs w:val="20"/>
              </w:rPr>
              <w:t>3</w:t>
            </w:r>
            <w:r w:rsidR="006F6821">
              <w:rPr>
                <w:rFonts w:asciiTheme="minorHAnsi" w:hAnsiTheme="minorHAnsi" w:cstheme="minorHAnsi"/>
                <w:b/>
                <w:sz w:val="20"/>
                <w:szCs w:val="20"/>
              </w:rPr>
              <w:t>0</w:t>
            </w:r>
            <w:r w:rsidRPr="00BB3C18">
              <w:rPr>
                <w:rFonts w:asciiTheme="minorHAnsi" w:hAnsiTheme="minorHAnsi" w:cstheme="minorHAnsi"/>
                <w:b/>
                <w:sz w:val="20"/>
                <w:szCs w:val="20"/>
              </w:rPr>
              <w:t xml:space="preserve"> </w:t>
            </w:r>
            <w:r>
              <w:rPr>
                <w:rFonts w:asciiTheme="minorHAnsi" w:hAnsiTheme="minorHAnsi" w:cstheme="minorHAnsi"/>
                <w:b/>
                <w:sz w:val="20"/>
                <w:szCs w:val="20"/>
              </w:rPr>
              <w:t>June</w:t>
            </w:r>
          </w:p>
          <w:p w14:paraId="30F13FA6" w14:textId="61BAE34A" w:rsidR="00046021" w:rsidRPr="00BB3C18" w:rsidRDefault="00046021" w:rsidP="00EB2817">
            <w:pPr>
              <w:spacing w:line="276" w:lineRule="auto"/>
              <w:ind w:left="345" w:hanging="204"/>
              <w:jc w:val="right"/>
              <w:rPr>
                <w:rFonts w:asciiTheme="minorHAnsi" w:hAnsiTheme="minorHAnsi" w:cstheme="minorHAnsi"/>
                <w:b/>
                <w:sz w:val="20"/>
                <w:szCs w:val="20"/>
              </w:rPr>
            </w:pPr>
            <w:r w:rsidRPr="00BB3C18">
              <w:rPr>
                <w:rFonts w:asciiTheme="minorHAnsi" w:hAnsiTheme="minorHAnsi" w:cstheme="minorHAnsi"/>
                <w:b/>
                <w:sz w:val="20"/>
                <w:szCs w:val="20"/>
              </w:rPr>
              <w:t>20</w:t>
            </w:r>
            <w:r w:rsidR="00903646">
              <w:rPr>
                <w:rFonts w:asciiTheme="minorHAnsi" w:hAnsiTheme="minorHAnsi" w:cstheme="minorHAnsi"/>
                <w:b/>
                <w:sz w:val="20"/>
                <w:szCs w:val="20"/>
              </w:rPr>
              <w:t>2</w:t>
            </w:r>
            <w:r w:rsidR="00E47EBE">
              <w:rPr>
                <w:rFonts w:asciiTheme="minorHAnsi" w:hAnsiTheme="minorHAnsi" w:cstheme="minorHAnsi"/>
                <w:b/>
                <w:sz w:val="20"/>
                <w:szCs w:val="20"/>
              </w:rPr>
              <w:t>1</w:t>
            </w:r>
          </w:p>
          <w:p w14:paraId="32239594" w14:textId="77777777" w:rsidR="00046021" w:rsidRPr="00BB3C18" w:rsidRDefault="00046021" w:rsidP="00EB2817">
            <w:pPr>
              <w:spacing w:line="276" w:lineRule="auto"/>
              <w:ind w:left="345" w:hanging="204"/>
              <w:jc w:val="right"/>
              <w:rPr>
                <w:rFonts w:asciiTheme="minorHAnsi" w:hAnsiTheme="minorHAnsi" w:cstheme="minorHAnsi"/>
                <w:b/>
                <w:sz w:val="20"/>
                <w:szCs w:val="20"/>
              </w:rPr>
            </w:pPr>
            <w:r w:rsidRPr="00BB3C18">
              <w:rPr>
                <w:rFonts w:asciiTheme="minorHAnsi" w:hAnsiTheme="minorHAnsi" w:cstheme="minorHAnsi"/>
                <w:b/>
                <w:sz w:val="20"/>
                <w:szCs w:val="20"/>
              </w:rPr>
              <w:t>£</w:t>
            </w:r>
          </w:p>
        </w:tc>
      </w:tr>
      <w:tr w:rsidR="00046021" w:rsidRPr="00BB3C18" w14:paraId="138C1695" w14:textId="77777777" w:rsidTr="00EB2817">
        <w:trPr>
          <w:trHeight w:val="279"/>
        </w:trPr>
        <w:tc>
          <w:tcPr>
            <w:tcW w:w="7087" w:type="dxa"/>
          </w:tcPr>
          <w:p w14:paraId="74A278F7" w14:textId="3B659AD7" w:rsidR="00046021" w:rsidRPr="00BB3C18" w:rsidRDefault="00046021" w:rsidP="00EB2817">
            <w:pPr>
              <w:spacing w:line="276" w:lineRule="auto"/>
              <w:ind w:firstLine="141"/>
              <w:rPr>
                <w:rFonts w:asciiTheme="minorHAnsi" w:hAnsiTheme="minorHAnsi" w:cstheme="minorHAnsi"/>
                <w:sz w:val="20"/>
                <w:szCs w:val="20"/>
              </w:rPr>
            </w:pPr>
            <w:r>
              <w:rPr>
                <w:rFonts w:asciiTheme="minorHAnsi" w:hAnsiTheme="minorHAnsi" w:cstheme="minorHAnsi"/>
                <w:sz w:val="20"/>
                <w:szCs w:val="20"/>
              </w:rPr>
              <w:t xml:space="preserve">Investments in subsidiaries </w:t>
            </w:r>
          </w:p>
        </w:tc>
        <w:tc>
          <w:tcPr>
            <w:tcW w:w="1276" w:type="dxa"/>
          </w:tcPr>
          <w:p w14:paraId="180790D9" w14:textId="266D42B7" w:rsidR="00046021" w:rsidRPr="00C34890" w:rsidRDefault="00DA499B" w:rsidP="00EB2817">
            <w:pPr>
              <w:spacing w:line="276" w:lineRule="auto"/>
              <w:ind w:left="345" w:hanging="204"/>
              <w:jc w:val="right"/>
              <w:rPr>
                <w:rFonts w:asciiTheme="minorHAnsi" w:hAnsiTheme="minorHAnsi" w:cstheme="minorHAnsi"/>
                <w:sz w:val="20"/>
                <w:szCs w:val="20"/>
              </w:rPr>
            </w:pPr>
            <w:r>
              <w:rPr>
                <w:rFonts w:asciiTheme="minorHAnsi" w:hAnsiTheme="minorHAnsi" w:cstheme="minorHAnsi"/>
                <w:sz w:val="20"/>
                <w:szCs w:val="20"/>
              </w:rPr>
              <w:t>2</w:t>
            </w:r>
          </w:p>
        </w:tc>
        <w:tc>
          <w:tcPr>
            <w:tcW w:w="1418" w:type="dxa"/>
          </w:tcPr>
          <w:p w14:paraId="754C84B5" w14:textId="7B945E8D" w:rsidR="00046021" w:rsidRPr="00C34890" w:rsidRDefault="00903646" w:rsidP="00EB2817">
            <w:pPr>
              <w:spacing w:line="276" w:lineRule="auto"/>
              <w:ind w:left="345" w:hanging="204"/>
              <w:jc w:val="right"/>
              <w:rPr>
                <w:rFonts w:asciiTheme="minorHAnsi" w:hAnsiTheme="minorHAnsi" w:cstheme="minorHAnsi"/>
                <w:sz w:val="20"/>
                <w:szCs w:val="20"/>
              </w:rPr>
            </w:pPr>
            <w:r>
              <w:rPr>
                <w:rFonts w:asciiTheme="minorHAnsi" w:hAnsiTheme="minorHAnsi" w:cstheme="minorHAnsi"/>
                <w:sz w:val="20"/>
                <w:szCs w:val="20"/>
              </w:rPr>
              <w:t>2</w:t>
            </w:r>
          </w:p>
        </w:tc>
      </w:tr>
      <w:tr w:rsidR="00046021" w:rsidRPr="00BB3C18" w14:paraId="689B551F" w14:textId="77777777" w:rsidTr="00EB2817">
        <w:trPr>
          <w:trHeight w:val="279"/>
        </w:trPr>
        <w:tc>
          <w:tcPr>
            <w:tcW w:w="7087" w:type="dxa"/>
          </w:tcPr>
          <w:p w14:paraId="0F9D1675" w14:textId="77777777" w:rsidR="00046021" w:rsidRPr="00BB3C18" w:rsidRDefault="00046021" w:rsidP="00EB2817">
            <w:pPr>
              <w:spacing w:line="276" w:lineRule="auto"/>
              <w:ind w:firstLine="141"/>
              <w:rPr>
                <w:rFonts w:asciiTheme="minorHAnsi" w:hAnsiTheme="minorHAnsi" w:cstheme="minorHAnsi"/>
                <w:sz w:val="20"/>
                <w:szCs w:val="20"/>
              </w:rPr>
            </w:pPr>
          </w:p>
        </w:tc>
        <w:tc>
          <w:tcPr>
            <w:tcW w:w="1276" w:type="dxa"/>
            <w:tcBorders>
              <w:top w:val="single" w:sz="4" w:space="0" w:color="auto"/>
              <w:bottom w:val="double" w:sz="4" w:space="0" w:color="auto"/>
            </w:tcBorders>
          </w:tcPr>
          <w:p w14:paraId="18734166" w14:textId="03FDD9DB" w:rsidR="00046021" w:rsidRPr="00C34890" w:rsidRDefault="00DA499B" w:rsidP="00EB2817">
            <w:pPr>
              <w:spacing w:line="276" w:lineRule="auto"/>
              <w:ind w:left="345" w:hanging="204"/>
              <w:jc w:val="right"/>
              <w:rPr>
                <w:rFonts w:asciiTheme="minorHAnsi" w:hAnsiTheme="minorHAnsi" w:cstheme="minorHAnsi"/>
                <w:sz w:val="20"/>
                <w:szCs w:val="20"/>
              </w:rPr>
            </w:pPr>
            <w:r>
              <w:rPr>
                <w:rFonts w:asciiTheme="minorHAnsi" w:hAnsiTheme="minorHAnsi" w:cstheme="minorHAnsi"/>
                <w:sz w:val="20"/>
                <w:szCs w:val="20"/>
              </w:rPr>
              <w:t>2</w:t>
            </w:r>
          </w:p>
        </w:tc>
        <w:tc>
          <w:tcPr>
            <w:tcW w:w="1418" w:type="dxa"/>
            <w:tcBorders>
              <w:top w:val="single" w:sz="4" w:space="0" w:color="auto"/>
              <w:bottom w:val="double" w:sz="4" w:space="0" w:color="auto"/>
            </w:tcBorders>
          </w:tcPr>
          <w:p w14:paraId="18A0B70E" w14:textId="37A0D120" w:rsidR="00046021" w:rsidRPr="00C34890" w:rsidRDefault="00903646" w:rsidP="00EB2817">
            <w:pPr>
              <w:spacing w:line="276" w:lineRule="auto"/>
              <w:ind w:left="345" w:hanging="204"/>
              <w:jc w:val="right"/>
              <w:rPr>
                <w:rFonts w:asciiTheme="minorHAnsi" w:hAnsiTheme="minorHAnsi" w:cstheme="minorHAnsi"/>
                <w:sz w:val="20"/>
                <w:szCs w:val="20"/>
              </w:rPr>
            </w:pPr>
            <w:r>
              <w:rPr>
                <w:rFonts w:asciiTheme="minorHAnsi" w:hAnsiTheme="minorHAnsi" w:cstheme="minorHAnsi"/>
                <w:sz w:val="20"/>
                <w:szCs w:val="20"/>
              </w:rPr>
              <w:t>2</w:t>
            </w:r>
          </w:p>
        </w:tc>
      </w:tr>
    </w:tbl>
    <w:p w14:paraId="19F420A8" w14:textId="77777777" w:rsidR="00802FA9" w:rsidRDefault="00EB2817" w:rsidP="00EB2817">
      <w:pPr>
        <w:spacing w:before="240" w:line="276" w:lineRule="auto"/>
        <w:ind w:left="142"/>
        <w:jc w:val="both"/>
        <w:rPr>
          <w:rFonts w:asciiTheme="minorHAnsi" w:hAnsiTheme="minorHAnsi" w:cstheme="minorHAnsi"/>
          <w:b/>
          <w:sz w:val="20"/>
          <w:szCs w:val="20"/>
        </w:rPr>
      </w:pPr>
      <w:r>
        <w:rPr>
          <w:rFonts w:asciiTheme="minorHAnsi" w:hAnsiTheme="minorHAnsi" w:cstheme="minorHAnsi"/>
          <w:b/>
          <w:sz w:val="20"/>
          <w:szCs w:val="20"/>
        </w:rPr>
        <w:t xml:space="preserve">      </w:t>
      </w:r>
    </w:p>
    <w:p w14:paraId="169D484D" w14:textId="77777777" w:rsidR="00802FA9" w:rsidRDefault="00802FA9" w:rsidP="00EB2817">
      <w:pPr>
        <w:spacing w:before="240" w:line="276" w:lineRule="auto"/>
        <w:ind w:left="142"/>
        <w:jc w:val="both"/>
        <w:rPr>
          <w:rFonts w:asciiTheme="minorHAnsi" w:hAnsiTheme="minorHAnsi" w:cstheme="minorHAnsi"/>
          <w:b/>
          <w:sz w:val="20"/>
          <w:szCs w:val="20"/>
        </w:rPr>
      </w:pPr>
    </w:p>
    <w:p w14:paraId="2700F786" w14:textId="77777777" w:rsidR="00802FA9" w:rsidRDefault="00802FA9" w:rsidP="00EB2817">
      <w:pPr>
        <w:spacing w:before="240" w:line="276" w:lineRule="auto"/>
        <w:ind w:left="142"/>
        <w:jc w:val="both"/>
        <w:rPr>
          <w:rFonts w:asciiTheme="minorHAnsi" w:hAnsiTheme="minorHAnsi" w:cstheme="minorHAnsi"/>
          <w:b/>
          <w:sz w:val="20"/>
          <w:szCs w:val="20"/>
        </w:rPr>
      </w:pPr>
    </w:p>
    <w:p w14:paraId="768B5BE0" w14:textId="77777777" w:rsidR="00802FA9" w:rsidRDefault="00802FA9" w:rsidP="00EB2817">
      <w:pPr>
        <w:spacing w:before="240" w:line="276" w:lineRule="auto"/>
        <w:ind w:left="142"/>
        <w:jc w:val="both"/>
        <w:rPr>
          <w:rFonts w:asciiTheme="minorHAnsi" w:hAnsiTheme="minorHAnsi" w:cstheme="minorHAnsi"/>
          <w:b/>
          <w:sz w:val="20"/>
          <w:szCs w:val="20"/>
        </w:rPr>
      </w:pPr>
    </w:p>
    <w:p w14:paraId="3F32DF41" w14:textId="77777777" w:rsidR="00802FA9" w:rsidRDefault="00802FA9" w:rsidP="00EB2817">
      <w:pPr>
        <w:spacing w:before="240" w:line="276" w:lineRule="auto"/>
        <w:ind w:left="142"/>
        <w:jc w:val="both"/>
        <w:rPr>
          <w:rFonts w:asciiTheme="minorHAnsi" w:hAnsiTheme="minorHAnsi" w:cstheme="minorHAnsi"/>
          <w:b/>
          <w:sz w:val="20"/>
          <w:szCs w:val="20"/>
        </w:rPr>
      </w:pPr>
    </w:p>
    <w:p w14:paraId="5B0F08C9" w14:textId="77777777" w:rsidR="00802FA9" w:rsidRDefault="00802FA9" w:rsidP="00EB2817">
      <w:pPr>
        <w:spacing w:before="240" w:line="276" w:lineRule="auto"/>
        <w:ind w:left="142"/>
        <w:jc w:val="both"/>
        <w:rPr>
          <w:rFonts w:asciiTheme="minorHAnsi" w:hAnsiTheme="minorHAnsi" w:cstheme="minorHAnsi"/>
          <w:b/>
          <w:sz w:val="20"/>
          <w:szCs w:val="20"/>
        </w:rPr>
      </w:pPr>
    </w:p>
    <w:p w14:paraId="6CF2AB33" w14:textId="77777777" w:rsidR="00802FA9" w:rsidRDefault="00802FA9" w:rsidP="00EB2817">
      <w:pPr>
        <w:spacing w:before="240" w:line="276" w:lineRule="auto"/>
        <w:ind w:left="142"/>
        <w:jc w:val="both"/>
        <w:rPr>
          <w:rFonts w:asciiTheme="minorHAnsi" w:hAnsiTheme="minorHAnsi" w:cstheme="minorHAnsi"/>
          <w:b/>
          <w:sz w:val="20"/>
          <w:szCs w:val="20"/>
        </w:rPr>
      </w:pPr>
    </w:p>
    <w:p w14:paraId="4851FF7E" w14:textId="77777777" w:rsidR="00802FA9" w:rsidRDefault="00802FA9" w:rsidP="00EB2817">
      <w:pPr>
        <w:spacing w:before="240" w:line="276" w:lineRule="auto"/>
        <w:ind w:left="142"/>
        <w:jc w:val="both"/>
        <w:rPr>
          <w:rFonts w:asciiTheme="minorHAnsi" w:hAnsiTheme="minorHAnsi" w:cstheme="minorHAnsi"/>
          <w:b/>
          <w:sz w:val="20"/>
          <w:szCs w:val="20"/>
        </w:rPr>
      </w:pPr>
    </w:p>
    <w:p w14:paraId="3ED7D5C9" w14:textId="77777777" w:rsidR="00802FA9" w:rsidRDefault="00802FA9" w:rsidP="00EB2817">
      <w:pPr>
        <w:spacing w:before="240" w:line="276" w:lineRule="auto"/>
        <w:ind w:left="142"/>
        <w:jc w:val="both"/>
        <w:rPr>
          <w:rFonts w:asciiTheme="minorHAnsi" w:hAnsiTheme="minorHAnsi" w:cstheme="minorHAnsi"/>
          <w:b/>
          <w:sz w:val="20"/>
          <w:szCs w:val="20"/>
        </w:rPr>
      </w:pPr>
    </w:p>
    <w:p w14:paraId="72E15AA8" w14:textId="77777777" w:rsidR="00802FA9" w:rsidRDefault="00802FA9" w:rsidP="00EB2817">
      <w:pPr>
        <w:spacing w:before="240" w:line="276" w:lineRule="auto"/>
        <w:ind w:left="142"/>
        <w:jc w:val="both"/>
        <w:rPr>
          <w:rFonts w:asciiTheme="minorHAnsi" w:hAnsiTheme="minorHAnsi" w:cstheme="minorHAnsi"/>
          <w:b/>
          <w:sz w:val="20"/>
          <w:szCs w:val="20"/>
        </w:rPr>
      </w:pPr>
    </w:p>
    <w:p w14:paraId="5E74F66A" w14:textId="405D96E2" w:rsidR="00802FA9" w:rsidRPr="00802FA9" w:rsidRDefault="00802FA9" w:rsidP="00802FA9">
      <w:pPr>
        <w:widowControl w:val="0"/>
        <w:spacing w:before="120" w:line="276" w:lineRule="auto"/>
        <w:ind w:left="567" w:hanging="567"/>
        <w:jc w:val="both"/>
        <w:rPr>
          <w:rFonts w:asciiTheme="minorHAnsi" w:hAnsiTheme="minorHAnsi" w:cstheme="minorHAnsi"/>
          <w:b/>
          <w:sz w:val="20"/>
          <w:szCs w:val="20"/>
        </w:rPr>
      </w:pPr>
      <w:r>
        <w:rPr>
          <w:rFonts w:asciiTheme="minorHAnsi" w:hAnsiTheme="minorHAnsi" w:cstheme="minorHAnsi"/>
          <w:b/>
          <w:sz w:val="20"/>
          <w:szCs w:val="20"/>
        </w:rPr>
        <w:t xml:space="preserve">10.      </w:t>
      </w:r>
      <w:r w:rsidRPr="00802FA9">
        <w:rPr>
          <w:rFonts w:asciiTheme="minorHAnsi" w:hAnsiTheme="minorHAnsi" w:cstheme="minorHAnsi"/>
          <w:b/>
          <w:sz w:val="20"/>
          <w:szCs w:val="20"/>
        </w:rPr>
        <w:t>Investments</w:t>
      </w:r>
      <w:r>
        <w:rPr>
          <w:rFonts w:asciiTheme="minorHAnsi" w:hAnsiTheme="minorHAnsi" w:cstheme="minorHAnsi"/>
          <w:b/>
          <w:sz w:val="20"/>
          <w:szCs w:val="20"/>
        </w:rPr>
        <w:t xml:space="preserve"> (</w:t>
      </w:r>
      <w:r w:rsidR="001B504E">
        <w:rPr>
          <w:rFonts w:asciiTheme="minorHAnsi" w:hAnsiTheme="minorHAnsi" w:cstheme="minorHAnsi"/>
          <w:b/>
          <w:sz w:val="20"/>
          <w:szCs w:val="20"/>
        </w:rPr>
        <w:t>continued</w:t>
      </w:r>
      <w:r>
        <w:rPr>
          <w:rFonts w:asciiTheme="minorHAnsi" w:hAnsiTheme="minorHAnsi" w:cstheme="minorHAnsi"/>
          <w:b/>
          <w:sz w:val="20"/>
          <w:szCs w:val="20"/>
        </w:rPr>
        <w:t>)</w:t>
      </w:r>
    </w:p>
    <w:p w14:paraId="6C21BE56" w14:textId="7AFA0D09" w:rsidR="00EB2817" w:rsidRDefault="00EB2817" w:rsidP="00EB2817">
      <w:pPr>
        <w:spacing w:before="240" w:line="276" w:lineRule="auto"/>
        <w:ind w:left="142"/>
        <w:jc w:val="both"/>
        <w:rPr>
          <w:rFonts w:asciiTheme="minorHAnsi" w:hAnsiTheme="minorHAnsi" w:cstheme="minorHAnsi"/>
          <w:b/>
          <w:sz w:val="20"/>
          <w:szCs w:val="20"/>
        </w:rPr>
      </w:pPr>
      <w:r>
        <w:rPr>
          <w:rFonts w:asciiTheme="minorHAnsi" w:hAnsiTheme="minorHAnsi" w:cstheme="minorHAnsi"/>
          <w:b/>
          <w:sz w:val="20"/>
          <w:szCs w:val="20"/>
        </w:rPr>
        <w:t xml:space="preserve">  </w:t>
      </w:r>
      <w:r w:rsidR="00802FA9">
        <w:rPr>
          <w:rFonts w:asciiTheme="minorHAnsi" w:hAnsiTheme="minorHAnsi" w:cstheme="minorHAnsi"/>
          <w:b/>
          <w:sz w:val="20"/>
          <w:szCs w:val="20"/>
        </w:rPr>
        <w:t xml:space="preserve">       </w:t>
      </w:r>
      <w:r>
        <w:rPr>
          <w:rFonts w:asciiTheme="minorHAnsi" w:hAnsiTheme="minorHAnsi" w:cstheme="minorHAnsi"/>
          <w:b/>
          <w:sz w:val="20"/>
          <w:szCs w:val="20"/>
        </w:rPr>
        <w:t>Subsidiaries as at 30 June 2022:</w:t>
      </w:r>
    </w:p>
    <w:tbl>
      <w:tblPr>
        <w:tblStyle w:val="TableGrid"/>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79"/>
        <w:gridCol w:w="1557"/>
        <w:gridCol w:w="1682"/>
        <w:gridCol w:w="842"/>
      </w:tblGrid>
      <w:tr w:rsidR="00EB2817" w14:paraId="32F69189" w14:textId="77777777" w:rsidTr="00EB2817">
        <w:tc>
          <w:tcPr>
            <w:tcW w:w="2779" w:type="dxa"/>
            <w:tcBorders>
              <w:top w:val="nil"/>
              <w:left w:val="nil"/>
              <w:bottom w:val="single" w:sz="4" w:space="0" w:color="auto"/>
              <w:right w:val="nil"/>
            </w:tcBorders>
          </w:tcPr>
          <w:p w14:paraId="658FC94D" w14:textId="77777777" w:rsidR="00EB2817" w:rsidRDefault="00EB2817">
            <w:pPr>
              <w:tabs>
                <w:tab w:val="left" w:pos="709"/>
              </w:tabs>
              <w:spacing w:line="276" w:lineRule="auto"/>
              <w:ind w:left="142"/>
              <w:rPr>
                <w:rFonts w:asciiTheme="minorHAnsi" w:hAnsiTheme="minorHAnsi" w:cstheme="minorHAnsi"/>
                <w:b/>
                <w:i/>
                <w:sz w:val="20"/>
                <w:szCs w:val="20"/>
              </w:rPr>
            </w:pPr>
          </w:p>
          <w:p w14:paraId="582A7AA5" w14:textId="77777777" w:rsidR="00EB2817" w:rsidRDefault="00EB2817">
            <w:pPr>
              <w:tabs>
                <w:tab w:val="left" w:pos="709"/>
              </w:tabs>
              <w:spacing w:line="276" w:lineRule="auto"/>
              <w:ind w:left="142"/>
              <w:rPr>
                <w:rFonts w:asciiTheme="minorHAnsi" w:hAnsiTheme="minorHAnsi" w:cstheme="minorHAnsi"/>
                <w:b/>
                <w:i/>
                <w:sz w:val="20"/>
                <w:szCs w:val="20"/>
              </w:rPr>
            </w:pPr>
            <w:r>
              <w:rPr>
                <w:rFonts w:asciiTheme="minorHAnsi" w:hAnsiTheme="minorHAnsi" w:cstheme="minorHAnsi"/>
                <w:b/>
                <w:i/>
                <w:sz w:val="20"/>
                <w:szCs w:val="20"/>
              </w:rPr>
              <w:t>Entity</w:t>
            </w:r>
          </w:p>
        </w:tc>
        <w:tc>
          <w:tcPr>
            <w:tcW w:w="2779" w:type="dxa"/>
            <w:tcBorders>
              <w:top w:val="nil"/>
              <w:left w:val="nil"/>
              <w:bottom w:val="single" w:sz="4" w:space="0" w:color="auto"/>
              <w:right w:val="nil"/>
            </w:tcBorders>
          </w:tcPr>
          <w:p w14:paraId="70AFE674" w14:textId="77777777" w:rsidR="00EB2817" w:rsidRDefault="00EB2817">
            <w:pPr>
              <w:pStyle w:val="ListParagraph"/>
              <w:tabs>
                <w:tab w:val="left" w:pos="709"/>
              </w:tabs>
              <w:spacing w:line="276" w:lineRule="auto"/>
              <w:ind w:left="142"/>
              <w:rPr>
                <w:rFonts w:asciiTheme="minorHAnsi" w:hAnsiTheme="minorHAnsi" w:cstheme="minorHAnsi"/>
                <w:b/>
                <w:i/>
                <w:sz w:val="20"/>
                <w:szCs w:val="20"/>
              </w:rPr>
            </w:pPr>
          </w:p>
          <w:p w14:paraId="2728DA2A" w14:textId="77777777" w:rsidR="00EB2817" w:rsidRDefault="00EB2817">
            <w:pPr>
              <w:pStyle w:val="ListParagraph"/>
              <w:tabs>
                <w:tab w:val="left" w:pos="709"/>
              </w:tabs>
              <w:spacing w:line="276" w:lineRule="auto"/>
              <w:ind w:left="142"/>
              <w:rPr>
                <w:rFonts w:asciiTheme="minorHAnsi" w:hAnsiTheme="minorHAnsi" w:cstheme="minorHAnsi"/>
                <w:b/>
                <w:i/>
                <w:sz w:val="20"/>
                <w:szCs w:val="20"/>
              </w:rPr>
            </w:pPr>
            <w:r>
              <w:rPr>
                <w:rFonts w:asciiTheme="minorHAnsi" w:hAnsiTheme="minorHAnsi" w:cstheme="minorHAnsi"/>
                <w:b/>
                <w:i/>
                <w:sz w:val="20"/>
                <w:szCs w:val="20"/>
              </w:rPr>
              <w:t>Registered office address</w:t>
            </w:r>
          </w:p>
        </w:tc>
        <w:tc>
          <w:tcPr>
            <w:tcW w:w="1557" w:type="dxa"/>
            <w:tcBorders>
              <w:top w:val="nil"/>
              <w:left w:val="nil"/>
              <w:bottom w:val="single" w:sz="4" w:space="0" w:color="auto"/>
              <w:right w:val="nil"/>
            </w:tcBorders>
            <w:hideMark/>
          </w:tcPr>
          <w:p w14:paraId="654657FE" w14:textId="77777777" w:rsidR="00EB2817" w:rsidRDefault="00EB2817">
            <w:pPr>
              <w:pStyle w:val="ListParagraph"/>
              <w:tabs>
                <w:tab w:val="left" w:pos="709"/>
              </w:tabs>
              <w:spacing w:line="276" w:lineRule="auto"/>
              <w:ind w:left="142"/>
              <w:rPr>
                <w:rFonts w:asciiTheme="minorHAnsi" w:hAnsiTheme="minorHAnsi" w:cstheme="minorHAnsi"/>
                <w:b/>
                <w:i/>
                <w:sz w:val="20"/>
                <w:szCs w:val="20"/>
              </w:rPr>
            </w:pPr>
            <w:r>
              <w:rPr>
                <w:rFonts w:asciiTheme="minorHAnsi" w:hAnsiTheme="minorHAnsi" w:cstheme="minorHAnsi"/>
                <w:b/>
                <w:i/>
                <w:sz w:val="20"/>
                <w:szCs w:val="20"/>
              </w:rPr>
              <w:t>Country of incorporation</w:t>
            </w:r>
          </w:p>
        </w:tc>
        <w:tc>
          <w:tcPr>
            <w:tcW w:w="1682" w:type="dxa"/>
            <w:tcBorders>
              <w:top w:val="nil"/>
              <w:left w:val="nil"/>
              <w:bottom w:val="single" w:sz="4" w:space="0" w:color="auto"/>
              <w:right w:val="nil"/>
            </w:tcBorders>
            <w:hideMark/>
          </w:tcPr>
          <w:p w14:paraId="56AAAA33" w14:textId="77777777" w:rsidR="00EB2817" w:rsidRDefault="00EB2817">
            <w:pPr>
              <w:pStyle w:val="ListParagraph"/>
              <w:tabs>
                <w:tab w:val="left" w:pos="709"/>
              </w:tabs>
              <w:spacing w:line="276" w:lineRule="auto"/>
              <w:ind w:left="142"/>
              <w:rPr>
                <w:rFonts w:asciiTheme="minorHAnsi" w:hAnsiTheme="minorHAnsi" w:cstheme="minorHAnsi"/>
                <w:b/>
                <w:i/>
                <w:sz w:val="20"/>
                <w:szCs w:val="20"/>
              </w:rPr>
            </w:pPr>
            <w:r>
              <w:rPr>
                <w:rFonts w:asciiTheme="minorHAnsi" w:hAnsiTheme="minorHAnsi" w:cstheme="minorHAnsi"/>
                <w:b/>
                <w:i/>
                <w:sz w:val="20"/>
                <w:szCs w:val="20"/>
              </w:rPr>
              <w:t>Nature of business</w:t>
            </w:r>
          </w:p>
        </w:tc>
        <w:tc>
          <w:tcPr>
            <w:tcW w:w="842" w:type="dxa"/>
            <w:tcBorders>
              <w:top w:val="nil"/>
              <w:left w:val="nil"/>
              <w:bottom w:val="single" w:sz="4" w:space="0" w:color="auto"/>
              <w:right w:val="nil"/>
            </w:tcBorders>
          </w:tcPr>
          <w:p w14:paraId="6C505B30" w14:textId="77777777" w:rsidR="00EB2817" w:rsidRDefault="00EB2817">
            <w:pPr>
              <w:pStyle w:val="ListParagraph"/>
              <w:tabs>
                <w:tab w:val="left" w:pos="709"/>
              </w:tabs>
              <w:spacing w:line="276" w:lineRule="auto"/>
              <w:ind w:left="142"/>
              <w:rPr>
                <w:rFonts w:asciiTheme="minorHAnsi" w:hAnsiTheme="minorHAnsi" w:cstheme="minorHAnsi"/>
                <w:b/>
                <w:i/>
                <w:sz w:val="20"/>
                <w:szCs w:val="20"/>
              </w:rPr>
            </w:pPr>
          </w:p>
          <w:p w14:paraId="61C73985" w14:textId="77777777" w:rsidR="00EB2817" w:rsidRDefault="00EB2817">
            <w:pPr>
              <w:pStyle w:val="ListParagraph"/>
              <w:tabs>
                <w:tab w:val="left" w:pos="709"/>
              </w:tabs>
              <w:spacing w:line="276" w:lineRule="auto"/>
              <w:ind w:left="142"/>
              <w:rPr>
                <w:rFonts w:asciiTheme="minorHAnsi" w:hAnsiTheme="minorHAnsi" w:cstheme="minorHAnsi"/>
                <w:b/>
                <w:i/>
                <w:sz w:val="20"/>
                <w:szCs w:val="20"/>
              </w:rPr>
            </w:pPr>
            <w:r>
              <w:rPr>
                <w:rFonts w:asciiTheme="minorHAnsi" w:hAnsiTheme="minorHAnsi" w:cstheme="minorHAnsi"/>
                <w:b/>
                <w:i/>
                <w:sz w:val="20"/>
                <w:szCs w:val="20"/>
              </w:rPr>
              <w:t>Notes</w:t>
            </w:r>
          </w:p>
        </w:tc>
      </w:tr>
      <w:tr w:rsidR="00EB2817" w14:paraId="176CCB1D" w14:textId="77777777" w:rsidTr="00EB2817">
        <w:tc>
          <w:tcPr>
            <w:tcW w:w="2779" w:type="dxa"/>
            <w:hideMark/>
          </w:tcPr>
          <w:p w14:paraId="383A1607" w14:textId="780FD169" w:rsidR="00EB2817" w:rsidRDefault="00EB2817" w:rsidP="00EB2817">
            <w:pPr>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WideCells International Limited</w:t>
            </w:r>
          </w:p>
        </w:tc>
        <w:tc>
          <w:tcPr>
            <w:tcW w:w="2779" w:type="dxa"/>
            <w:hideMark/>
          </w:tcPr>
          <w:p w14:paraId="276BDB8B"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7 Bell Yard, London, WC2A 2JR</w:t>
            </w:r>
          </w:p>
        </w:tc>
        <w:tc>
          <w:tcPr>
            <w:tcW w:w="1557" w:type="dxa"/>
            <w:hideMark/>
          </w:tcPr>
          <w:p w14:paraId="6FD22488"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United Kingdom</w:t>
            </w:r>
          </w:p>
        </w:tc>
        <w:tc>
          <w:tcPr>
            <w:tcW w:w="1682" w:type="dxa"/>
            <w:hideMark/>
          </w:tcPr>
          <w:p w14:paraId="6BD068B8"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Holding company</w:t>
            </w:r>
          </w:p>
        </w:tc>
        <w:tc>
          <w:tcPr>
            <w:tcW w:w="842" w:type="dxa"/>
            <w:hideMark/>
          </w:tcPr>
          <w:p w14:paraId="354E49AA"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(c)</w:t>
            </w:r>
          </w:p>
        </w:tc>
      </w:tr>
      <w:tr w:rsidR="00EB2817" w14:paraId="4E566362" w14:textId="77777777" w:rsidTr="00EB2817">
        <w:tc>
          <w:tcPr>
            <w:tcW w:w="2779" w:type="dxa"/>
            <w:hideMark/>
          </w:tcPr>
          <w:p w14:paraId="43B8CE88" w14:textId="77777777" w:rsidR="00EB2817" w:rsidRDefault="00EB2817" w:rsidP="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 xml:space="preserve">WideCells Limited </w:t>
            </w:r>
          </w:p>
        </w:tc>
        <w:tc>
          <w:tcPr>
            <w:tcW w:w="2779" w:type="dxa"/>
            <w:hideMark/>
          </w:tcPr>
          <w:p w14:paraId="23D81DAF"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3 Field Court, Gray’s Inn, London, WC1R 5EF</w:t>
            </w:r>
          </w:p>
        </w:tc>
        <w:tc>
          <w:tcPr>
            <w:tcW w:w="1557" w:type="dxa"/>
            <w:hideMark/>
          </w:tcPr>
          <w:p w14:paraId="34F79A17"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United Kingdom</w:t>
            </w:r>
          </w:p>
        </w:tc>
        <w:tc>
          <w:tcPr>
            <w:tcW w:w="1682" w:type="dxa"/>
            <w:hideMark/>
          </w:tcPr>
          <w:p w14:paraId="19DF4431"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In liquidation</w:t>
            </w:r>
          </w:p>
        </w:tc>
        <w:tc>
          <w:tcPr>
            <w:tcW w:w="842" w:type="dxa"/>
            <w:hideMark/>
          </w:tcPr>
          <w:p w14:paraId="2547CB7E"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(a)</w:t>
            </w:r>
          </w:p>
        </w:tc>
      </w:tr>
      <w:tr w:rsidR="00EB2817" w14:paraId="5A54E1B2" w14:textId="77777777" w:rsidTr="00EB2817">
        <w:tc>
          <w:tcPr>
            <w:tcW w:w="2779" w:type="dxa"/>
            <w:hideMark/>
          </w:tcPr>
          <w:p w14:paraId="632F92CC" w14:textId="77777777" w:rsidR="00EB2817" w:rsidRDefault="00EB2817" w:rsidP="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WideCells Portugal SA</w:t>
            </w:r>
          </w:p>
        </w:tc>
        <w:tc>
          <w:tcPr>
            <w:tcW w:w="2779" w:type="dxa"/>
            <w:hideMark/>
          </w:tcPr>
          <w:p w14:paraId="331F810A" w14:textId="77777777" w:rsidR="00EB2817" w:rsidRDefault="00EB2817">
            <w:pPr>
              <w:pStyle w:val="ListParagraph"/>
              <w:tabs>
                <w:tab w:val="left" w:pos="709"/>
              </w:tabs>
              <w:spacing w:line="276" w:lineRule="auto"/>
              <w:ind w:left="142"/>
              <w:rPr>
                <w:rFonts w:asciiTheme="minorHAnsi" w:hAnsiTheme="minorHAnsi" w:cstheme="minorHAnsi"/>
                <w:sz w:val="20"/>
                <w:szCs w:val="20"/>
                <w:lang w:val="fr-FR"/>
              </w:rPr>
            </w:pPr>
            <w:r>
              <w:rPr>
                <w:rFonts w:asciiTheme="minorHAnsi" w:hAnsiTheme="minorHAnsi" w:cstheme="minorHAnsi"/>
                <w:sz w:val="20"/>
                <w:szCs w:val="20"/>
                <w:lang w:val="fr-FR"/>
              </w:rPr>
              <w:t>Rua Da Casa Branca, 97 Coimbra 3030-109, Portugal</w:t>
            </w:r>
          </w:p>
        </w:tc>
        <w:tc>
          <w:tcPr>
            <w:tcW w:w="1557" w:type="dxa"/>
            <w:hideMark/>
          </w:tcPr>
          <w:p w14:paraId="5AA629CF"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Portugal</w:t>
            </w:r>
          </w:p>
        </w:tc>
        <w:tc>
          <w:tcPr>
            <w:tcW w:w="1682" w:type="dxa"/>
            <w:hideMark/>
          </w:tcPr>
          <w:p w14:paraId="339EC77C"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Trading company</w:t>
            </w:r>
          </w:p>
        </w:tc>
        <w:tc>
          <w:tcPr>
            <w:tcW w:w="842" w:type="dxa"/>
            <w:hideMark/>
          </w:tcPr>
          <w:p w14:paraId="6D57BF5A"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(a)</w:t>
            </w:r>
          </w:p>
        </w:tc>
      </w:tr>
      <w:tr w:rsidR="00EB2817" w14:paraId="60DE0C51" w14:textId="77777777" w:rsidTr="00EB2817">
        <w:tc>
          <w:tcPr>
            <w:tcW w:w="2779" w:type="dxa"/>
            <w:hideMark/>
          </w:tcPr>
          <w:p w14:paraId="05634934" w14:textId="77777777" w:rsidR="00EB2817" w:rsidRDefault="00EB2817" w:rsidP="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WideCells Espana SL</w:t>
            </w:r>
          </w:p>
        </w:tc>
        <w:tc>
          <w:tcPr>
            <w:tcW w:w="2779" w:type="dxa"/>
            <w:hideMark/>
          </w:tcPr>
          <w:p w14:paraId="4CFBF3B5" w14:textId="77777777" w:rsidR="00EB2817" w:rsidRDefault="00EB2817">
            <w:pPr>
              <w:pStyle w:val="ListParagraph"/>
              <w:tabs>
                <w:tab w:val="left" w:pos="709"/>
              </w:tabs>
              <w:spacing w:line="276" w:lineRule="auto"/>
              <w:ind w:left="142"/>
              <w:rPr>
                <w:rFonts w:asciiTheme="minorHAnsi" w:hAnsiTheme="minorHAnsi" w:cstheme="minorHAnsi"/>
                <w:sz w:val="20"/>
                <w:szCs w:val="20"/>
                <w:lang w:val="es-ES"/>
              </w:rPr>
            </w:pPr>
            <w:r>
              <w:rPr>
                <w:rFonts w:asciiTheme="minorHAnsi" w:hAnsiTheme="minorHAnsi" w:cstheme="minorHAnsi"/>
                <w:sz w:val="20"/>
                <w:szCs w:val="20"/>
                <w:lang w:val="es-ES"/>
              </w:rPr>
              <w:t>Calle Castillo de Fuensaldana, 4, 28232 Las Rozas, Madrid</w:t>
            </w:r>
          </w:p>
        </w:tc>
        <w:tc>
          <w:tcPr>
            <w:tcW w:w="1557" w:type="dxa"/>
            <w:hideMark/>
          </w:tcPr>
          <w:p w14:paraId="78C139D9"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Spain</w:t>
            </w:r>
          </w:p>
        </w:tc>
        <w:tc>
          <w:tcPr>
            <w:tcW w:w="1682" w:type="dxa"/>
            <w:hideMark/>
          </w:tcPr>
          <w:p w14:paraId="27D52488"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In liquidation</w:t>
            </w:r>
          </w:p>
        </w:tc>
        <w:tc>
          <w:tcPr>
            <w:tcW w:w="842" w:type="dxa"/>
            <w:hideMark/>
          </w:tcPr>
          <w:p w14:paraId="36E7420F"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(a)</w:t>
            </w:r>
          </w:p>
        </w:tc>
      </w:tr>
      <w:tr w:rsidR="00EB2817" w14:paraId="6858817D" w14:textId="77777777" w:rsidTr="00EB2817">
        <w:tc>
          <w:tcPr>
            <w:tcW w:w="2779" w:type="dxa"/>
            <w:hideMark/>
          </w:tcPr>
          <w:p w14:paraId="0E69C6A2" w14:textId="77777777" w:rsidR="00EB2817" w:rsidRDefault="00EB2817" w:rsidP="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CellPlan Limited</w:t>
            </w:r>
          </w:p>
        </w:tc>
        <w:tc>
          <w:tcPr>
            <w:tcW w:w="2779" w:type="dxa"/>
            <w:hideMark/>
          </w:tcPr>
          <w:p w14:paraId="0AF5DAC5"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7 Bell Yard, London, WC2A 2JR</w:t>
            </w:r>
          </w:p>
        </w:tc>
        <w:tc>
          <w:tcPr>
            <w:tcW w:w="1557" w:type="dxa"/>
            <w:hideMark/>
          </w:tcPr>
          <w:p w14:paraId="14D66799"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United Kingdom</w:t>
            </w:r>
          </w:p>
        </w:tc>
        <w:tc>
          <w:tcPr>
            <w:tcW w:w="1682" w:type="dxa"/>
            <w:hideMark/>
          </w:tcPr>
          <w:p w14:paraId="00511C9F"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Dormant company</w:t>
            </w:r>
          </w:p>
        </w:tc>
        <w:tc>
          <w:tcPr>
            <w:tcW w:w="842" w:type="dxa"/>
            <w:hideMark/>
          </w:tcPr>
          <w:p w14:paraId="42C3B08A"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(a)</w:t>
            </w:r>
          </w:p>
        </w:tc>
      </w:tr>
      <w:tr w:rsidR="00EB2817" w14:paraId="5A4B914A" w14:textId="77777777" w:rsidTr="00EB2817">
        <w:tc>
          <w:tcPr>
            <w:tcW w:w="2779" w:type="dxa"/>
            <w:hideMark/>
          </w:tcPr>
          <w:p w14:paraId="266C7B18" w14:textId="77777777" w:rsidR="00EB2817" w:rsidRDefault="00EB2817" w:rsidP="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CellPlan International Lda</w:t>
            </w:r>
          </w:p>
        </w:tc>
        <w:tc>
          <w:tcPr>
            <w:tcW w:w="2779" w:type="dxa"/>
            <w:hideMark/>
          </w:tcPr>
          <w:p w14:paraId="2ABB03AA" w14:textId="77777777" w:rsidR="00EB2817" w:rsidRDefault="00EB2817">
            <w:pPr>
              <w:pStyle w:val="ListParagraph"/>
              <w:tabs>
                <w:tab w:val="left" w:pos="709"/>
              </w:tabs>
              <w:spacing w:line="276" w:lineRule="auto"/>
              <w:ind w:left="142"/>
              <w:rPr>
                <w:rFonts w:asciiTheme="minorHAnsi" w:hAnsiTheme="minorHAnsi" w:cstheme="minorHAnsi"/>
                <w:sz w:val="20"/>
                <w:szCs w:val="20"/>
                <w:lang w:val="pt-PT"/>
              </w:rPr>
            </w:pPr>
            <w:r>
              <w:rPr>
                <w:rFonts w:asciiTheme="minorHAnsi" w:hAnsiTheme="minorHAnsi" w:cstheme="minorHAnsi"/>
                <w:sz w:val="20"/>
                <w:szCs w:val="20"/>
                <w:lang w:val="pt-PT"/>
              </w:rPr>
              <w:t>Edificio Tower Plaza Rotunda Eng, Edgar Cardoso, no. 23, 11 F, 4400-676 Vila Nova de Gaia, Portugal</w:t>
            </w:r>
            <w:r>
              <w:rPr>
                <w:rFonts w:asciiTheme="minorHAnsi" w:hAnsiTheme="minorHAnsi" w:cstheme="minorHAnsi"/>
                <w:i/>
                <w:iCs/>
                <w:color w:val="0432FF"/>
                <w:lang w:val="pt-PT"/>
              </w:rPr>
              <w:t> </w:t>
            </w:r>
          </w:p>
        </w:tc>
        <w:tc>
          <w:tcPr>
            <w:tcW w:w="1557" w:type="dxa"/>
            <w:hideMark/>
          </w:tcPr>
          <w:p w14:paraId="63885038"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Portugal</w:t>
            </w:r>
          </w:p>
        </w:tc>
        <w:tc>
          <w:tcPr>
            <w:tcW w:w="1682" w:type="dxa"/>
            <w:hideMark/>
          </w:tcPr>
          <w:p w14:paraId="7F7A6EC6"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Dormant company</w:t>
            </w:r>
          </w:p>
        </w:tc>
        <w:tc>
          <w:tcPr>
            <w:tcW w:w="842" w:type="dxa"/>
            <w:hideMark/>
          </w:tcPr>
          <w:p w14:paraId="16F89A7E" w14:textId="77777777" w:rsidR="00EB2817" w:rsidRDefault="00EB2817">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(b)</w:t>
            </w:r>
          </w:p>
        </w:tc>
      </w:tr>
      <w:tr w:rsidR="00EB2817" w14:paraId="02705C83" w14:textId="77777777" w:rsidTr="00EB2817">
        <w:tc>
          <w:tcPr>
            <w:tcW w:w="2779" w:type="dxa"/>
            <w:hideMark/>
          </w:tcPr>
          <w:p w14:paraId="3B13896D" w14:textId="6479E828"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Iconic Labs IP Limited</w:t>
            </w:r>
          </w:p>
        </w:tc>
        <w:tc>
          <w:tcPr>
            <w:tcW w:w="2779" w:type="dxa"/>
            <w:hideMark/>
          </w:tcPr>
          <w:p w14:paraId="778BFC73" w14:textId="3B69D282" w:rsidR="00EB2817" w:rsidRPr="003256A6" w:rsidRDefault="00EB2817" w:rsidP="003256A6">
            <w:pPr>
              <w:pStyle w:val="ListParagraph"/>
              <w:tabs>
                <w:tab w:val="left" w:pos="709"/>
              </w:tabs>
              <w:spacing w:line="276" w:lineRule="auto"/>
              <w:ind w:left="142"/>
              <w:rPr>
                <w:rFonts w:asciiTheme="minorHAnsi" w:hAnsiTheme="minorHAnsi" w:cstheme="minorHAnsi"/>
                <w:sz w:val="20"/>
                <w:szCs w:val="20"/>
                <w:lang w:val="pt-PT"/>
              </w:rPr>
            </w:pPr>
            <w:r w:rsidRPr="003256A6">
              <w:rPr>
                <w:rFonts w:asciiTheme="minorHAnsi" w:hAnsiTheme="minorHAnsi" w:cstheme="minorHAnsi"/>
                <w:sz w:val="20"/>
                <w:szCs w:val="20"/>
                <w:lang w:val="pt-PT"/>
              </w:rPr>
              <w:t>7 Bell Yard, London, WC2A 2JR</w:t>
            </w:r>
          </w:p>
        </w:tc>
        <w:tc>
          <w:tcPr>
            <w:tcW w:w="1557" w:type="dxa"/>
            <w:hideMark/>
          </w:tcPr>
          <w:p w14:paraId="5060D085" w14:textId="368C20D9"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United Kingdom</w:t>
            </w:r>
          </w:p>
        </w:tc>
        <w:tc>
          <w:tcPr>
            <w:tcW w:w="1682" w:type="dxa"/>
            <w:hideMark/>
          </w:tcPr>
          <w:p w14:paraId="2D2C6B30" w14:textId="5E299EEE"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Trading company</w:t>
            </w:r>
          </w:p>
        </w:tc>
        <w:tc>
          <w:tcPr>
            <w:tcW w:w="842" w:type="dxa"/>
            <w:hideMark/>
          </w:tcPr>
          <w:p w14:paraId="1C18E75B" w14:textId="3D46B3BE"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(c)</w:t>
            </w:r>
          </w:p>
        </w:tc>
      </w:tr>
      <w:tr w:rsidR="00EB2817" w14:paraId="5FE8248D" w14:textId="77777777" w:rsidTr="00EB2817">
        <w:tc>
          <w:tcPr>
            <w:tcW w:w="2779" w:type="dxa"/>
            <w:hideMark/>
          </w:tcPr>
          <w:p w14:paraId="2B99C7E3" w14:textId="77777777"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Nuuco Media Limited</w:t>
            </w:r>
          </w:p>
        </w:tc>
        <w:tc>
          <w:tcPr>
            <w:tcW w:w="2779" w:type="dxa"/>
            <w:hideMark/>
          </w:tcPr>
          <w:p w14:paraId="45960F15" w14:textId="77777777" w:rsidR="00EB2817" w:rsidRPr="003256A6" w:rsidRDefault="00EB2817" w:rsidP="003256A6">
            <w:pPr>
              <w:pStyle w:val="ListParagraph"/>
              <w:tabs>
                <w:tab w:val="left" w:pos="709"/>
              </w:tabs>
              <w:spacing w:line="276" w:lineRule="auto"/>
              <w:ind w:left="142"/>
              <w:rPr>
                <w:rFonts w:asciiTheme="minorHAnsi" w:hAnsiTheme="minorHAnsi" w:cstheme="minorHAnsi"/>
                <w:sz w:val="20"/>
                <w:szCs w:val="20"/>
                <w:lang w:val="pt-PT"/>
              </w:rPr>
            </w:pPr>
            <w:r w:rsidRPr="003256A6">
              <w:rPr>
                <w:rFonts w:asciiTheme="minorHAnsi" w:hAnsiTheme="minorHAnsi" w:cstheme="minorHAnsi"/>
                <w:sz w:val="20"/>
                <w:szCs w:val="20"/>
                <w:lang w:val="pt-PT"/>
              </w:rPr>
              <w:t>7 Bell Yard, London, WC2A 2JR</w:t>
            </w:r>
          </w:p>
        </w:tc>
        <w:tc>
          <w:tcPr>
            <w:tcW w:w="1557" w:type="dxa"/>
            <w:hideMark/>
          </w:tcPr>
          <w:p w14:paraId="28CD6B47" w14:textId="77777777"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United Kingdom</w:t>
            </w:r>
          </w:p>
        </w:tc>
        <w:tc>
          <w:tcPr>
            <w:tcW w:w="1682" w:type="dxa"/>
            <w:hideMark/>
          </w:tcPr>
          <w:p w14:paraId="6B9943AE" w14:textId="77777777"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Trading company</w:t>
            </w:r>
          </w:p>
        </w:tc>
        <w:tc>
          <w:tcPr>
            <w:tcW w:w="842" w:type="dxa"/>
            <w:hideMark/>
          </w:tcPr>
          <w:p w14:paraId="71C64F96" w14:textId="6D85A4A8" w:rsidR="00EB2817" w:rsidRDefault="00EB2817" w:rsidP="003256A6">
            <w:pPr>
              <w:pStyle w:val="ListParagraph"/>
              <w:tabs>
                <w:tab w:val="left" w:pos="709"/>
              </w:tabs>
              <w:spacing w:line="276" w:lineRule="auto"/>
              <w:ind w:left="142"/>
              <w:rPr>
                <w:rFonts w:asciiTheme="minorHAnsi" w:hAnsiTheme="minorHAnsi" w:cstheme="minorHAnsi"/>
                <w:sz w:val="20"/>
                <w:szCs w:val="20"/>
              </w:rPr>
            </w:pPr>
            <w:r>
              <w:rPr>
                <w:rFonts w:asciiTheme="minorHAnsi" w:hAnsiTheme="minorHAnsi" w:cstheme="minorHAnsi"/>
                <w:sz w:val="20"/>
                <w:szCs w:val="20"/>
              </w:rPr>
              <w:t>(</w:t>
            </w:r>
            <w:r w:rsidR="004D72D5">
              <w:rPr>
                <w:rFonts w:asciiTheme="minorHAnsi" w:hAnsiTheme="minorHAnsi" w:cstheme="minorHAnsi"/>
                <w:sz w:val="20"/>
                <w:szCs w:val="20"/>
              </w:rPr>
              <w:t>c</w:t>
            </w:r>
            <w:r>
              <w:rPr>
                <w:rFonts w:asciiTheme="minorHAnsi" w:hAnsiTheme="minorHAnsi" w:cstheme="minorHAnsi"/>
                <w:sz w:val="20"/>
                <w:szCs w:val="20"/>
              </w:rPr>
              <w:t>)</w:t>
            </w:r>
          </w:p>
        </w:tc>
      </w:tr>
    </w:tbl>
    <w:p w14:paraId="7D77AD19" w14:textId="77777777" w:rsidR="00EB2817" w:rsidRDefault="00EB2817" w:rsidP="00EB2817">
      <w:pPr>
        <w:pStyle w:val="ListParagraph"/>
        <w:tabs>
          <w:tab w:val="left" w:pos="709"/>
        </w:tabs>
        <w:spacing w:line="276" w:lineRule="auto"/>
        <w:ind w:left="567"/>
        <w:jc w:val="both"/>
        <w:rPr>
          <w:rFonts w:asciiTheme="minorHAnsi" w:hAnsiTheme="minorHAnsi" w:cstheme="minorHAnsi"/>
          <w:sz w:val="20"/>
          <w:szCs w:val="20"/>
        </w:rPr>
      </w:pPr>
    </w:p>
    <w:p w14:paraId="7338A0F9" w14:textId="77777777" w:rsidR="00EB2817" w:rsidRDefault="00EB2817" w:rsidP="004D72D5">
      <w:pPr>
        <w:tabs>
          <w:tab w:val="left" w:pos="709"/>
        </w:tabs>
        <w:spacing w:line="276" w:lineRule="auto"/>
        <w:ind w:firstLine="709"/>
        <w:jc w:val="both"/>
        <w:rPr>
          <w:rFonts w:asciiTheme="minorHAnsi" w:hAnsiTheme="minorHAnsi" w:cstheme="minorHAnsi"/>
          <w:sz w:val="20"/>
          <w:szCs w:val="20"/>
        </w:rPr>
      </w:pPr>
      <w:r>
        <w:rPr>
          <w:rFonts w:asciiTheme="minorHAnsi" w:hAnsiTheme="minorHAnsi" w:cstheme="minorHAnsi"/>
          <w:sz w:val="20"/>
          <w:szCs w:val="20"/>
        </w:rPr>
        <w:t>Notes:</w:t>
      </w:r>
      <w:r>
        <w:rPr>
          <w:rFonts w:asciiTheme="minorHAnsi" w:hAnsiTheme="minorHAnsi" w:cstheme="minorHAnsi"/>
          <w:sz w:val="20"/>
          <w:szCs w:val="20"/>
        </w:rPr>
        <w:tab/>
        <w:t>(a) 100% owned by WideCells International Limited</w:t>
      </w:r>
      <w:r>
        <w:rPr>
          <w:rFonts w:asciiTheme="minorHAnsi" w:hAnsiTheme="minorHAnsi" w:cstheme="minorHAnsi"/>
          <w:sz w:val="20"/>
          <w:szCs w:val="20"/>
        </w:rPr>
        <w:tab/>
        <w:t>(b) 100% owned by CellPlan Limited</w:t>
      </w:r>
    </w:p>
    <w:p w14:paraId="5E846B43" w14:textId="3EDC8818" w:rsidR="00EB2817" w:rsidRDefault="00EB2817" w:rsidP="00EB2817">
      <w:pPr>
        <w:tabs>
          <w:tab w:val="left" w:pos="709"/>
        </w:tabs>
        <w:spacing w:line="276" w:lineRule="auto"/>
        <w:ind w:firstLine="567"/>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 100% owned by Iconic Labs plc</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1913DE75" w14:textId="2D5DE905" w:rsidR="00EB2817" w:rsidRDefault="00EB2817" w:rsidP="00EB2817">
      <w:pPr>
        <w:tabs>
          <w:tab w:val="left" w:pos="709"/>
        </w:tabs>
        <w:spacing w:line="276" w:lineRule="auto"/>
        <w:ind w:firstLine="567"/>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2AA185FF" w14:textId="43034D39" w:rsidR="00DA16C0" w:rsidRDefault="004D72D5" w:rsidP="00DA16C0">
      <w:pPr>
        <w:tabs>
          <w:tab w:val="left" w:pos="709"/>
        </w:tabs>
        <w:spacing w:before="120" w:line="240" w:lineRule="exact"/>
        <w:ind w:left="709"/>
        <w:jc w:val="both"/>
        <w:rPr>
          <w:rFonts w:asciiTheme="minorHAnsi" w:hAnsiTheme="minorHAnsi" w:cstheme="minorHAnsi"/>
          <w:sz w:val="20"/>
          <w:szCs w:val="20"/>
        </w:rPr>
      </w:pPr>
      <w:r>
        <w:rPr>
          <w:rFonts w:asciiTheme="minorHAnsi" w:hAnsiTheme="minorHAnsi" w:cstheme="minorHAnsi"/>
          <w:sz w:val="20"/>
          <w:szCs w:val="20"/>
        </w:rPr>
        <w:t>During the 2022 financial year,</w:t>
      </w:r>
      <w:r w:rsidR="00DA16C0">
        <w:rPr>
          <w:rFonts w:asciiTheme="minorHAnsi" w:hAnsiTheme="minorHAnsi" w:cstheme="minorHAnsi"/>
          <w:sz w:val="20"/>
          <w:szCs w:val="20"/>
        </w:rPr>
        <w:t xml:space="preserve"> the following subsidiary undertakings and associated undertakings were dissolved:</w:t>
      </w:r>
    </w:p>
    <w:p w14:paraId="1223EE07" w14:textId="2325EFE0" w:rsidR="00DA16C0" w:rsidRDefault="004D72D5" w:rsidP="00DA16C0">
      <w:pPr>
        <w:pStyle w:val="ListParagraph"/>
        <w:numPr>
          <w:ilvl w:val="0"/>
          <w:numId w:val="11"/>
        </w:numPr>
        <w:tabs>
          <w:tab w:val="left" w:pos="709"/>
        </w:tabs>
        <w:spacing w:before="120" w:line="240" w:lineRule="exact"/>
        <w:jc w:val="both"/>
        <w:rPr>
          <w:rFonts w:asciiTheme="minorHAnsi" w:hAnsiTheme="minorHAnsi" w:cstheme="minorHAnsi"/>
          <w:sz w:val="20"/>
          <w:szCs w:val="20"/>
        </w:rPr>
      </w:pPr>
      <w:r w:rsidRPr="00DA16C0">
        <w:rPr>
          <w:rFonts w:asciiTheme="minorHAnsi" w:hAnsiTheme="minorHAnsi" w:cstheme="minorHAnsi"/>
          <w:sz w:val="20"/>
          <w:szCs w:val="20"/>
        </w:rPr>
        <w:t>Iconic Labs UK Limited</w:t>
      </w:r>
      <w:r w:rsidR="00DA16C0">
        <w:rPr>
          <w:rFonts w:asciiTheme="minorHAnsi" w:hAnsiTheme="minorHAnsi" w:cstheme="minorHAnsi"/>
          <w:sz w:val="20"/>
          <w:szCs w:val="20"/>
        </w:rPr>
        <w:t xml:space="preserve"> (subsidiary);</w:t>
      </w:r>
    </w:p>
    <w:p w14:paraId="12CA7083" w14:textId="2F2A143D" w:rsidR="00DA16C0" w:rsidRDefault="004D72D5" w:rsidP="00DA16C0">
      <w:pPr>
        <w:pStyle w:val="ListParagraph"/>
        <w:numPr>
          <w:ilvl w:val="0"/>
          <w:numId w:val="11"/>
        </w:numPr>
        <w:tabs>
          <w:tab w:val="left" w:pos="709"/>
        </w:tabs>
        <w:spacing w:before="120" w:line="240" w:lineRule="exact"/>
        <w:jc w:val="both"/>
        <w:rPr>
          <w:rFonts w:asciiTheme="minorHAnsi" w:hAnsiTheme="minorHAnsi" w:cstheme="minorHAnsi"/>
          <w:sz w:val="20"/>
          <w:szCs w:val="20"/>
        </w:rPr>
      </w:pPr>
      <w:r w:rsidRPr="00DA16C0">
        <w:rPr>
          <w:rFonts w:asciiTheme="minorHAnsi" w:hAnsiTheme="minorHAnsi" w:cstheme="minorHAnsi"/>
          <w:sz w:val="20"/>
          <w:szCs w:val="20"/>
        </w:rPr>
        <w:t>Wideacademy Limited</w:t>
      </w:r>
      <w:r w:rsidR="00DA16C0">
        <w:rPr>
          <w:rFonts w:asciiTheme="minorHAnsi" w:hAnsiTheme="minorHAnsi" w:cstheme="minorHAnsi"/>
          <w:sz w:val="20"/>
          <w:szCs w:val="20"/>
        </w:rPr>
        <w:t xml:space="preserve"> (subsidiary);</w:t>
      </w:r>
    </w:p>
    <w:p w14:paraId="2A49DE4F" w14:textId="1475703B" w:rsidR="00EB2817" w:rsidRDefault="004D72D5" w:rsidP="00DA16C0">
      <w:pPr>
        <w:pStyle w:val="ListParagraph"/>
        <w:numPr>
          <w:ilvl w:val="0"/>
          <w:numId w:val="11"/>
        </w:numPr>
        <w:tabs>
          <w:tab w:val="left" w:pos="709"/>
        </w:tabs>
        <w:spacing w:before="120" w:line="240" w:lineRule="exact"/>
        <w:jc w:val="both"/>
        <w:rPr>
          <w:rFonts w:asciiTheme="minorHAnsi" w:hAnsiTheme="minorHAnsi" w:cstheme="minorHAnsi"/>
          <w:sz w:val="20"/>
          <w:szCs w:val="20"/>
        </w:rPr>
      </w:pPr>
      <w:r w:rsidRPr="00DA16C0">
        <w:rPr>
          <w:rFonts w:asciiTheme="minorHAnsi" w:hAnsiTheme="minorHAnsi" w:cstheme="minorHAnsi"/>
          <w:sz w:val="20"/>
          <w:szCs w:val="20"/>
        </w:rPr>
        <w:t>Coalition Media Limited</w:t>
      </w:r>
      <w:r w:rsidR="00DA16C0" w:rsidRPr="00DA16C0">
        <w:rPr>
          <w:rFonts w:asciiTheme="minorHAnsi" w:hAnsiTheme="minorHAnsi" w:cstheme="minorHAnsi"/>
          <w:sz w:val="20"/>
          <w:szCs w:val="20"/>
        </w:rPr>
        <w:t xml:space="preserve"> </w:t>
      </w:r>
      <w:r w:rsidR="00DA16C0">
        <w:rPr>
          <w:rFonts w:asciiTheme="minorHAnsi" w:hAnsiTheme="minorHAnsi" w:cstheme="minorHAnsi"/>
          <w:sz w:val="20"/>
          <w:szCs w:val="20"/>
        </w:rPr>
        <w:t>(subsidiary); and</w:t>
      </w:r>
    </w:p>
    <w:p w14:paraId="785F5030" w14:textId="5380EFC3" w:rsidR="00DA16C0" w:rsidRPr="00E616B9" w:rsidRDefault="00DA16C0" w:rsidP="00DA16C0">
      <w:pPr>
        <w:pStyle w:val="ListParagraph"/>
        <w:numPr>
          <w:ilvl w:val="0"/>
          <w:numId w:val="11"/>
        </w:numPr>
        <w:tabs>
          <w:tab w:val="left" w:pos="709"/>
        </w:tabs>
        <w:spacing w:before="120" w:line="240" w:lineRule="exact"/>
        <w:jc w:val="both"/>
        <w:rPr>
          <w:rFonts w:asciiTheme="minorHAnsi" w:hAnsiTheme="minorHAnsi" w:cstheme="minorHAnsi"/>
          <w:sz w:val="20"/>
          <w:szCs w:val="20"/>
          <w:lang w:val="it-IT"/>
        </w:rPr>
      </w:pPr>
      <w:r w:rsidRPr="00E616B9">
        <w:rPr>
          <w:rFonts w:asciiTheme="minorHAnsi" w:hAnsiTheme="minorHAnsi" w:cstheme="minorHAnsi"/>
          <w:sz w:val="20"/>
          <w:szCs w:val="20"/>
          <w:lang w:val="it-IT"/>
        </w:rPr>
        <w:t>Medium Channel Media Limited (associate)</w:t>
      </w:r>
    </w:p>
    <w:p w14:paraId="2F24A905" w14:textId="77777777" w:rsidR="004D72D5" w:rsidRPr="00E616B9" w:rsidRDefault="004D72D5" w:rsidP="00EB2817">
      <w:pPr>
        <w:tabs>
          <w:tab w:val="left" w:pos="709"/>
        </w:tabs>
        <w:spacing w:before="120" w:line="240" w:lineRule="exact"/>
        <w:ind w:left="567"/>
        <w:jc w:val="both"/>
        <w:rPr>
          <w:rFonts w:asciiTheme="minorHAnsi" w:hAnsiTheme="minorHAnsi" w:cstheme="minorHAnsi"/>
          <w:sz w:val="20"/>
          <w:szCs w:val="20"/>
          <w:lang w:val="it-IT"/>
        </w:rPr>
      </w:pPr>
    </w:p>
    <w:p w14:paraId="6EE25231" w14:textId="46EB5C1B" w:rsidR="00EB2817" w:rsidRDefault="004D72D5" w:rsidP="004D72D5">
      <w:pPr>
        <w:tabs>
          <w:tab w:val="left" w:pos="709"/>
        </w:tabs>
        <w:spacing w:before="120" w:line="240" w:lineRule="exact"/>
        <w:ind w:left="567" w:firstLine="142"/>
        <w:jc w:val="both"/>
        <w:rPr>
          <w:rFonts w:asciiTheme="minorHAnsi" w:hAnsiTheme="minorHAnsi" w:cstheme="minorHAnsi"/>
          <w:sz w:val="20"/>
          <w:szCs w:val="20"/>
        </w:rPr>
      </w:pPr>
      <w:r>
        <w:rPr>
          <w:rFonts w:asciiTheme="minorHAnsi" w:hAnsiTheme="minorHAnsi" w:cstheme="minorHAnsi"/>
          <w:sz w:val="20"/>
          <w:szCs w:val="20"/>
        </w:rPr>
        <w:t xml:space="preserve">In </w:t>
      </w:r>
      <w:r w:rsidR="00EB2817">
        <w:rPr>
          <w:rFonts w:asciiTheme="minorHAnsi" w:hAnsiTheme="minorHAnsi" w:cstheme="minorHAnsi"/>
          <w:sz w:val="20"/>
          <w:szCs w:val="20"/>
        </w:rPr>
        <w:t xml:space="preserve">September 2019, Widecells Limited </w:t>
      </w:r>
      <w:r>
        <w:rPr>
          <w:rFonts w:asciiTheme="minorHAnsi" w:hAnsiTheme="minorHAnsi" w:cstheme="minorHAnsi"/>
          <w:sz w:val="20"/>
          <w:szCs w:val="20"/>
        </w:rPr>
        <w:t>w</w:t>
      </w:r>
      <w:r w:rsidR="00EB2817">
        <w:rPr>
          <w:rFonts w:asciiTheme="minorHAnsi" w:hAnsiTheme="minorHAnsi" w:cstheme="minorHAnsi"/>
          <w:sz w:val="20"/>
          <w:szCs w:val="20"/>
        </w:rPr>
        <w:t xml:space="preserve">as placed liquidation. </w:t>
      </w:r>
      <w:r>
        <w:rPr>
          <w:rFonts w:asciiTheme="minorHAnsi" w:hAnsiTheme="minorHAnsi" w:cstheme="minorHAnsi"/>
          <w:sz w:val="20"/>
          <w:szCs w:val="20"/>
        </w:rPr>
        <w:t>The company was dissolved in August 2022</w:t>
      </w:r>
      <w:r w:rsidR="00DA16C0">
        <w:rPr>
          <w:rFonts w:asciiTheme="minorHAnsi" w:hAnsiTheme="minorHAnsi" w:cstheme="minorHAnsi"/>
          <w:sz w:val="20"/>
          <w:szCs w:val="20"/>
        </w:rPr>
        <w:t>.</w:t>
      </w:r>
    </w:p>
    <w:p w14:paraId="4E3961C2" w14:textId="7A25747F" w:rsidR="00DA16C0" w:rsidRDefault="00DA16C0" w:rsidP="004D72D5">
      <w:pPr>
        <w:tabs>
          <w:tab w:val="left" w:pos="709"/>
        </w:tabs>
        <w:spacing w:before="120" w:line="240" w:lineRule="exact"/>
        <w:ind w:left="567" w:firstLine="142"/>
        <w:jc w:val="both"/>
        <w:rPr>
          <w:rFonts w:asciiTheme="minorHAnsi" w:hAnsiTheme="minorHAnsi" w:cstheme="minorHAnsi"/>
          <w:sz w:val="20"/>
          <w:szCs w:val="20"/>
        </w:rPr>
      </w:pPr>
      <w:r>
        <w:rPr>
          <w:rFonts w:asciiTheme="minorHAnsi" w:hAnsiTheme="minorHAnsi" w:cstheme="minorHAnsi"/>
          <w:sz w:val="20"/>
          <w:szCs w:val="20"/>
        </w:rPr>
        <w:t>In August 2022, Iconic Labs IP Limited was dissolved.</w:t>
      </w:r>
    </w:p>
    <w:p w14:paraId="7B78054D" w14:textId="5EFF3239" w:rsidR="00EB2817" w:rsidRDefault="00DA16C0" w:rsidP="004D72D5">
      <w:pPr>
        <w:tabs>
          <w:tab w:val="left" w:pos="709"/>
        </w:tabs>
        <w:spacing w:before="120" w:line="240" w:lineRule="exact"/>
        <w:ind w:left="567" w:firstLine="142"/>
        <w:jc w:val="both"/>
        <w:rPr>
          <w:rFonts w:asciiTheme="minorHAnsi" w:hAnsiTheme="minorHAnsi" w:cstheme="minorHAnsi"/>
          <w:sz w:val="20"/>
          <w:szCs w:val="20"/>
        </w:rPr>
      </w:pPr>
      <w:r>
        <w:rPr>
          <w:rFonts w:asciiTheme="minorHAnsi" w:hAnsiTheme="minorHAnsi" w:cstheme="minorHAnsi"/>
          <w:sz w:val="20"/>
          <w:szCs w:val="20"/>
        </w:rPr>
        <w:t>In</w:t>
      </w:r>
      <w:r w:rsidR="00EB2817">
        <w:rPr>
          <w:rFonts w:asciiTheme="minorHAnsi" w:hAnsiTheme="minorHAnsi" w:cstheme="minorHAnsi"/>
          <w:sz w:val="20"/>
          <w:szCs w:val="20"/>
        </w:rPr>
        <w:t xml:space="preserve"> November 2019, Widecells Espana </w:t>
      </w:r>
      <w:r>
        <w:rPr>
          <w:rFonts w:asciiTheme="minorHAnsi" w:hAnsiTheme="minorHAnsi" w:cstheme="minorHAnsi"/>
          <w:sz w:val="20"/>
          <w:szCs w:val="20"/>
        </w:rPr>
        <w:t>w</w:t>
      </w:r>
      <w:r w:rsidR="00EB2817">
        <w:rPr>
          <w:rFonts w:asciiTheme="minorHAnsi" w:hAnsiTheme="minorHAnsi" w:cstheme="minorHAnsi"/>
          <w:sz w:val="20"/>
          <w:szCs w:val="20"/>
        </w:rPr>
        <w:t>as placed into liquidation.</w:t>
      </w:r>
    </w:p>
    <w:p w14:paraId="7F36B0DC" w14:textId="63A940B9" w:rsidR="00C96300" w:rsidRDefault="00C96300" w:rsidP="004D72D5">
      <w:pPr>
        <w:tabs>
          <w:tab w:val="left" w:pos="709"/>
        </w:tabs>
        <w:spacing w:before="120" w:line="240" w:lineRule="exact"/>
        <w:ind w:left="567" w:firstLine="142"/>
        <w:jc w:val="both"/>
        <w:rPr>
          <w:rFonts w:asciiTheme="minorHAnsi" w:hAnsiTheme="minorHAnsi" w:cstheme="minorHAnsi"/>
          <w:sz w:val="20"/>
          <w:szCs w:val="20"/>
        </w:rPr>
      </w:pPr>
    </w:p>
    <w:p w14:paraId="6F24D823" w14:textId="7384BC3C" w:rsidR="00802FA9" w:rsidRDefault="00802FA9" w:rsidP="004D72D5">
      <w:pPr>
        <w:tabs>
          <w:tab w:val="left" w:pos="709"/>
        </w:tabs>
        <w:spacing w:before="120" w:line="240" w:lineRule="exact"/>
        <w:ind w:left="567" w:firstLine="142"/>
        <w:jc w:val="both"/>
        <w:rPr>
          <w:rFonts w:asciiTheme="minorHAnsi" w:hAnsiTheme="minorHAnsi" w:cstheme="minorHAnsi"/>
          <w:sz w:val="20"/>
          <w:szCs w:val="20"/>
        </w:rPr>
      </w:pPr>
    </w:p>
    <w:p w14:paraId="46363E03" w14:textId="29F5C871" w:rsidR="00802FA9" w:rsidRDefault="00802FA9" w:rsidP="004D72D5">
      <w:pPr>
        <w:tabs>
          <w:tab w:val="left" w:pos="709"/>
        </w:tabs>
        <w:spacing w:before="120" w:line="240" w:lineRule="exact"/>
        <w:ind w:left="567" w:firstLine="142"/>
        <w:jc w:val="both"/>
        <w:rPr>
          <w:rFonts w:asciiTheme="minorHAnsi" w:hAnsiTheme="minorHAnsi" w:cstheme="minorHAnsi"/>
          <w:sz w:val="20"/>
          <w:szCs w:val="20"/>
        </w:rPr>
      </w:pPr>
    </w:p>
    <w:p w14:paraId="5517583D" w14:textId="7BA0F70B" w:rsidR="00802FA9" w:rsidRDefault="00802FA9" w:rsidP="004D72D5">
      <w:pPr>
        <w:tabs>
          <w:tab w:val="left" w:pos="709"/>
        </w:tabs>
        <w:spacing w:before="120" w:line="240" w:lineRule="exact"/>
        <w:ind w:left="567" w:firstLine="142"/>
        <w:jc w:val="both"/>
        <w:rPr>
          <w:rFonts w:asciiTheme="minorHAnsi" w:hAnsiTheme="minorHAnsi" w:cstheme="minorHAnsi"/>
          <w:sz w:val="20"/>
          <w:szCs w:val="20"/>
        </w:rPr>
      </w:pPr>
    </w:p>
    <w:p w14:paraId="69326DDC" w14:textId="4EAD7D58" w:rsidR="00802FA9" w:rsidRDefault="00802FA9" w:rsidP="004D72D5">
      <w:pPr>
        <w:tabs>
          <w:tab w:val="left" w:pos="709"/>
        </w:tabs>
        <w:spacing w:before="120" w:line="240" w:lineRule="exact"/>
        <w:ind w:left="567" w:firstLine="142"/>
        <w:jc w:val="both"/>
        <w:rPr>
          <w:rFonts w:asciiTheme="minorHAnsi" w:hAnsiTheme="minorHAnsi" w:cstheme="minorHAnsi"/>
          <w:sz w:val="20"/>
          <w:szCs w:val="20"/>
        </w:rPr>
      </w:pPr>
    </w:p>
    <w:p w14:paraId="70AE6C70" w14:textId="77777777" w:rsidR="00802FA9" w:rsidRDefault="00802FA9" w:rsidP="004D72D5">
      <w:pPr>
        <w:tabs>
          <w:tab w:val="left" w:pos="709"/>
        </w:tabs>
        <w:spacing w:before="120" w:line="240" w:lineRule="exact"/>
        <w:ind w:left="567" w:firstLine="142"/>
        <w:jc w:val="both"/>
        <w:rPr>
          <w:rFonts w:asciiTheme="minorHAnsi" w:hAnsiTheme="minorHAnsi" w:cstheme="minorHAnsi"/>
          <w:sz w:val="20"/>
          <w:szCs w:val="20"/>
        </w:rPr>
      </w:pPr>
    </w:p>
    <w:p w14:paraId="39BDD159" w14:textId="77777777" w:rsidR="00DA16C0" w:rsidRDefault="00DA16C0" w:rsidP="00DA16C0">
      <w:pPr>
        <w:tabs>
          <w:tab w:val="left" w:pos="709"/>
        </w:tabs>
        <w:spacing w:line="276" w:lineRule="auto"/>
        <w:jc w:val="both"/>
        <w:rPr>
          <w:rFonts w:asciiTheme="minorHAnsi" w:hAnsiTheme="minorHAnsi" w:cstheme="minorHAnsi"/>
          <w:sz w:val="20"/>
          <w:szCs w:val="20"/>
        </w:rPr>
      </w:pPr>
    </w:p>
    <w:p w14:paraId="0312FC38" w14:textId="59EB4D83" w:rsidR="00045BC1" w:rsidRPr="00DA16C0" w:rsidRDefault="00045BC1" w:rsidP="00C96300">
      <w:pPr>
        <w:pStyle w:val="ListParagraph"/>
        <w:numPr>
          <w:ilvl w:val="0"/>
          <w:numId w:val="26"/>
        </w:numPr>
        <w:tabs>
          <w:tab w:val="left" w:pos="709"/>
        </w:tabs>
        <w:spacing w:line="276" w:lineRule="auto"/>
        <w:ind w:left="567" w:hanging="567"/>
        <w:jc w:val="both"/>
        <w:rPr>
          <w:rFonts w:asciiTheme="minorHAnsi" w:hAnsiTheme="minorHAnsi" w:cstheme="minorHAnsi"/>
          <w:b/>
          <w:sz w:val="20"/>
          <w:szCs w:val="20"/>
        </w:rPr>
      </w:pPr>
      <w:r w:rsidRPr="00DA16C0">
        <w:rPr>
          <w:rFonts w:asciiTheme="minorHAnsi" w:hAnsiTheme="minorHAnsi" w:cstheme="minorHAnsi"/>
          <w:b/>
          <w:sz w:val="20"/>
          <w:szCs w:val="20"/>
        </w:rPr>
        <w:lastRenderedPageBreak/>
        <w:t>Trade and other receivables</w:t>
      </w:r>
    </w:p>
    <w:p w14:paraId="47BC6AA7" w14:textId="77777777" w:rsidR="005E3F0A" w:rsidRPr="00BB3C18" w:rsidRDefault="005E3F0A" w:rsidP="005E3F0A">
      <w:pPr>
        <w:pStyle w:val="ListParagraph"/>
        <w:keepNext/>
        <w:keepLines/>
        <w:spacing w:line="276" w:lineRule="auto"/>
        <w:contextualSpacing w:val="0"/>
        <w:jc w:val="both"/>
        <w:rPr>
          <w:rFonts w:asciiTheme="minorHAnsi" w:hAnsiTheme="minorHAnsi" w:cstheme="minorHAnsi"/>
          <w:b/>
          <w:sz w:val="20"/>
          <w:szCs w:val="20"/>
        </w:rPr>
      </w:pPr>
    </w:p>
    <w:p w14:paraId="0312FC39" w14:textId="77777777" w:rsidR="005B7F66" w:rsidRPr="00EA71BF" w:rsidRDefault="005B7F66" w:rsidP="00E47B84">
      <w:pPr>
        <w:tabs>
          <w:tab w:val="left" w:pos="4508"/>
        </w:tabs>
        <w:spacing w:line="276" w:lineRule="auto"/>
        <w:ind w:firstLine="567"/>
        <w:jc w:val="both"/>
        <w:rPr>
          <w:rFonts w:asciiTheme="minorHAnsi" w:hAnsiTheme="minorHAnsi" w:cstheme="minorHAnsi"/>
          <w:b/>
          <w:sz w:val="20"/>
          <w:szCs w:val="20"/>
        </w:rPr>
      </w:pPr>
      <w:r w:rsidRPr="00EA71BF">
        <w:rPr>
          <w:rFonts w:asciiTheme="minorHAnsi" w:hAnsiTheme="minorHAnsi" w:cstheme="minorHAnsi"/>
          <w:b/>
          <w:sz w:val="20"/>
          <w:szCs w:val="20"/>
        </w:rPr>
        <w:t>Group</w:t>
      </w:r>
    </w:p>
    <w:tbl>
      <w:tblPr>
        <w:tblW w:w="9606" w:type="dxa"/>
        <w:tblInd w:w="567" w:type="dxa"/>
        <w:tblLook w:val="00A0" w:firstRow="1" w:lastRow="0" w:firstColumn="1" w:lastColumn="0" w:noHBand="0" w:noVBand="0"/>
      </w:tblPr>
      <w:tblGrid>
        <w:gridCol w:w="5495"/>
        <w:gridCol w:w="1984"/>
        <w:gridCol w:w="2127"/>
      </w:tblGrid>
      <w:tr w:rsidR="007C69AE" w:rsidRPr="00EA71BF" w14:paraId="0312FC42" w14:textId="77777777" w:rsidTr="007C69AE">
        <w:trPr>
          <w:trHeight w:val="906"/>
        </w:trPr>
        <w:tc>
          <w:tcPr>
            <w:tcW w:w="5495" w:type="dxa"/>
          </w:tcPr>
          <w:p w14:paraId="0312FC3A" w14:textId="77777777" w:rsidR="007C69AE" w:rsidRPr="00EA71BF" w:rsidRDefault="007C69AE" w:rsidP="000D6FDC">
            <w:pPr>
              <w:spacing w:line="276" w:lineRule="auto"/>
              <w:jc w:val="right"/>
              <w:rPr>
                <w:rFonts w:asciiTheme="minorHAnsi" w:hAnsiTheme="minorHAnsi" w:cstheme="minorHAnsi"/>
                <w:b/>
                <w:sz w:val="20"/>
                <w:szCs w:val="20"/>
              </w:rPr>
            </w:pPr>
          </w:p>
        </w:tc>
        <w:tc>
          <w:tcPr>
            <w:tcW w:w="1984" w:type="dxa"/>
          </w:tcPr>
          <w:p w14:paraId="0312FC3B" w14:textId="56187888" w:rsidR="007C69AE" w:rsidRPr="00EA71BF" w:rsidRDefault="007C69AE" w:rsidP="000D6FDC">
            <w:pPr>
              <w:spacing w:line="276" w:lineRule="auto"/>
              <w:jc w:val="right"/>
              <w:rPr>
                <w:rFonts w:asciiTheme="minorHAnsi" w:hAnsiTheme="minorHAnsi" w:cstheme="minorHAnsi"/>
                <w:b/>
                <w:sz w:val="20"/>
                <w:szCs w:val="20"/>
              </w:rPr>
            </w:pPr>
            <w:r w:rsidRPr="00EA71BF">
              <w:rPr>
                <w:rFonts w:asciiTheme="minorHAnsi" w:hAnsiTheme="minorHAnsi" w:cstheme="minorHAnsi"/>
                <w:b/>
                <w:sz w:val="20"/>
                <w:szCs w:val="20"/>
              </w:rPr>
              <w:t>30 June</w:t>
            </w:r>
          </w:p>
          <w:p w14:paraId="0312FC3C" w14:textId="48D56F1C" w:rsidR="007C69AE" w:rsidRPr="00EA71BF" w:rsidRDefault="007C69AE" w:rsidP="000D6FDC">
            <w:pPr>
              <w:spacing w:line="276" w:lineRule="auto"/>
              <w:jc w:val="right"/>
              <w:rPr>
                <w:rFonts w:asciiTheme="minorHAnsi" w:hAnsiTheme="minorHAnsi" w:cstheme="minorHAnsi"/>
                <w:b/>
                <w:sz w:val="20"/>
                <w:szCs w:val="20"/>
              </w:rPr>
            </w:pPr>
            <w:r w:rsidRPr="00EA71BF">
              <w:rPr>
                <w:rFonts w:asciiTheme="minorHAnsi" w:hAnsiTheme="minorHAnsi" w:cstheme="minorHAnsi"/>
                <w:b/>
                <w:sz w:val="20"/>
                <w:szCs w:val="20"/>
              </w:rPr>
              <w:t>20</w:t>
            </w:r>
            <w:r w:rsidR="00B36861" w:rsidRPr="00EA71BF">
              <w:rPr>
                <w:rFonts w:asciiTheme="minorHAnsi" w:hAnsiTheme="minorHAnsi" w:cstheme="minorHAnsi"/>
                <w:b/>
                <w:sz w:val="20"/>
                <w:szCs w:val="20"/>
              </w:rPr>
              <w:t>2</w:t>
            </w:r>
            <w:r w:rsidR="00FC09A8">
              <w:rPr>
                <w:rFonts w:asciiTheme="minorHAnsi" w:hAnsiTheme="minorHAnsi" w:cstheme="minorHAnsi"/>
                <w:b/>
                <w:sz w:val="20"/>
                <w:szCs w:val="20"/>
              </w:rPr>
              <w:t>2</w:t>
            </w:r>
          </w:p>
          <w:p w14:paraId="0312FC3D" w14:textId="77777777" w:rsidR="007C69AE" w:rsidRPr="00EA71BF" w:rsidRDefault="007C69AE" w:rsidP="000D6FDC">
            <w:pPr>
              <w:spacing w:line="276" w:lineRule="auto"/>
              <w:jc w:val="right"/>
              <w:rPr>
                <w:rFonts w:asciiTheme="minorHAnsi" w:hAnsiTheme="minorHAnsi" w:cstheme="minorHAnsi"/>
                <w:b/>
                <w:sz w:val="20"/>
                <w:szCs w:val="20"/>
              </w:rPr>
            </w:pPr>
            <w:r w:rsidRPr="00EA71BF">
              <w:rPr>
                <w:rFonts w:asciiTheme="minorHAnsi" w:hAnsiTheme="minorHAnsi" w:cstheme="minorHAnsi"/>
                <w:b/>
                <w:sz w:val="20"/>
                <w:szCs w:val="20"/>
              </w:rPr>
              <w:t>£</w:t>
            </w:r>
          </w:p>
        </w:tc>
        <w:tc>
          <w:tcPr>
            <w:tcW w:w="2127" w:type="dxa"/>
          </w:tcPr>
          <w:p w14:paraId="0312FC3F" w14:textId="0CB1E59B" w:rsidR="007C69AE" w:rsidRPr="00EA71BF" w:rsidRDefault="007C69AE" w:rsidP="000D6FDC">
            <w:pPr>
              <w:spacing w:line="276" w:lineRule="auto"/>
              <w:jc w:val="right"/>
              <w:rPr>
                <w:rFonts w:asciiTheme="minorHAnsi" w:hAnsiTheme="minorHAnsi" w:cstheme="minorHAnsi"/>
                <w:b/>
                <w:sz w:val="20"/>
                <w:szCs w:val="20"/>
              </w:rPr>
            </w:pPr>
            <w:r w:rsidRPr="00EA71BF">
              <w:rPr>
                <w:rFonts w:asciiTheme="minorHAnsi" w:hAnsiTheme="minorHAnsi" w:cstheme="minorHAnsi"/>
                <w:b/>
                <w:sz w:val="20"/>
                <w:szCs w:val="20"/>
              </w:rPr>
              <w:t>3</w:t>
            </w:r>
            <w:r w:rsidR="00B36861" w:rsidRPr="00EA71BF">
              <w:rPr>
                <w:rFonts w:asciiTheme="minorHAnsi" w:hAnsiTheme="minorHAnsi" w:cstheme="minorHAnsi"/>
                <w:b/>
                <w:sz w:val="20"/>
                <w:szCs w:val="20"/>
              </w:rPr>
              <w:t>0 June</w:t>
            </w:r>
          </w:p>
          <w:p w14:paraId="0312FC40" w14:textId="09CD5BF1" w:rsidR="007C69AE" w:rsidRPr="00EA71BF" w:rsidRDefault="007C69AE" w:rsidP="000D6FDC">
            <w:pPr>
              <w:spacing w:line="276" w:lineRule="auto"/>
              <w:jc w:val="right"/>
              <w:rPr>
                <w:rFonts w:asciiTheme="minorHAnsi" w:hAnsiTheme="minorHAnsi" w:cstheme="minorHAnsi"/>
                <w:b/>
                <w:sz w:val="20"/>
                <w:szCs w:val="20"/>
              </w:rPr>
            </w:pPr>
            <w:r w:rsidRPr="00EA71BF">
              <w:rPr>
                <w:rFonts w:asciiTheme="minorHAnsi" w:hAnsiTheme="minorHAnsi" w:cstheme="minorHAnsi"/>
                <w:b/>
                <w:sz w:val="20"/>
                <w:szCs w:val="20"/>
              </w:rPr>
              <w:t>20</w:t>
            </w:r>
            <w:r w:rsidR="006E7F02" w:rsidRPr="00EA71BF">
              <w:rPr>
                <w:rFonts w:asciiTheme="minorHAnsi" w:hAnsiTheme="minorHAnsi" w:cstheme="minorHAnsi"/>
                <w:b/>
                <w:sz w:val="20"/>
                <w:szCs w:val="20"/>
              </w:rPr>
              <w:t>2</w:t>
            </w:r>
            <w:r w:rsidR="00FC09A8">
              <w:rPr>
                <w:rFonts w:asciiTheme="minorHAnsi" w:hAnsiTheme="minorHAnsi" w:cstheme="minorHAnsi"/>
                <w:b/>
                <w:sz w:val="20"/>
                <w:szCs w:val="20"/>
              </w:rPr>
              <w:t>1</w:t>
            </w:r>
          </w:p>
          <w:p w14:paraId="0312FC41" w14:textId="77777777" w:rsidR="007C69AE" w:rsidRPr="00EA71BF" w:rsidRDefault="007C69AE" w:rsidP="000D6FDC">
            <w:pPr>
              <w:spacing w:line="276" w:lineRule="auto"/>
              <w:jc w:val="right"/>
              <w:rPr>
                <w:rFonts w:asciiTheme="minorHAnsi" w:hAnsiTheme="minorHAnsi" w:cstheme="minorHAnsi"/>
                <w:b/>
                <w:sz w:val="20"/>
                <w:szCs w:val="20"/>
              </w:rPr>
            </w:pPr>
            <w:r w:rsidRPr="00EA71BF">
              <w:rPr>
                <w:rFonts w:asciiTheme="minorHAnsi" w:hAnsiTheme="minorHAnsi" w:cstheme="minorHAnsi"/>
                <w:b/>
                <w:sz w:val="20"/>
                <w:szCs w:val="20"/>
              </w:rPr>
              <w:t>£</w:t>
            </w:r>
          </w:p>
        </w:tc>
      </w:tr>
      <w:tr w:rsidR="006E7F02" w:rsidRPr="00EA71BF" w14:paraId="0312FC47" w14:textId="77777777" w:rsidTr="002F1271">
        <w:trPr>
          <w:trHeight w:val="279"/>
        </w:trPr>
        <w:tc>
          <w:tcPr>
            <w:tcW w:w="5495" w:type="dxa"/>
          </w:tcPr>
          <w:p w14:paraId="0312FC43" w14:textId="77777777" w:rsidR="006E7F02" w:rsidRPr="00EA71BF" w:rsidRDefault="006E7F02" w:rsidP="006E7F02">
            <w:pPr>
              <w:spacing w:line="276" w:lineRule="auto"/>
              <w:ind w:hanging="108"/>
              <w:rPr>
                <w:rFonts w:asciiTheme="minorHAnsi" w:hAnsiTheme="minorHAnsi" w:cstheme="minorHAnsi"/>
                <w:sz w:val="20"/>
                <w:szCs w:val="20"/>
              </w:rPr>
            </w:pPr>
            <w:r w:rsidRPr="00EA71BF">
              <w:rPr>
                <w:rFonts w:asciiTheme="minorHAnsi" w:hAnsiTheme="minorHAnsi" w:cstheme="minorHAnsi"/>
                <w:sz w:val="20"/>
                <w:szCs w:val="20"/>
              </w:rPr>
              <w:t>Trade receivables</w:t>
            </w:r>
          </w:p>
        </w:tc>
        <w:tc>
          <w:tcPr>
            <w:tcW w:w="1984" w:type="dxa"/>
          </w:tcPr>
          <w:p w14:paraId="0312FC44" w14:textId="2D998551" w:rsidR="006E7F02" w:rsidRPr="00EA71BF" w:rsidRDefault="00676BF7" w:rsidP="006E7F02">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w:t>
            </w:r>
          </w:p>
        </w:tc>
        <w:tc>
          <w:tcPr>
            <w:tcW w:w="2127" w:type="dxa"/>
          </w:tcPr>
          <w:p w14:paraId="0312FC46" w14:textId="341E7897" w:rsidR="006E7F02" w:rsidRPr="00EA71BF" w:rsidRDefault="00FC09A8" w:rsidP="006E7F02">
            <w:pPr>
              <w:spacing w:line="276" w:lineRule="auto"/>
              <w:jc w:val="right"/>
              <w:rPr>
                <w:rFonts w:asciiTheme="minorHAnsi" w:hAnsiTheme="minorHAnsi" w:cstheme="minorHAnsi"/>
                <w:sz w:val="20"/>
                <w:szCs w:val="20"/>
              </w:rPr>
            </w:pPr>
            <w:r>
              <w:rPr>
                <w:rFonts w:asciiTheme="minorHAnsi" w:hAnsiTheme="minorHAnsi" w:cstheme="minorHAnsi"/>
                <w:bCs/>
                <w:sz w:val="20"/>
                <w:szCs w:val="20"/>
              </w:rPr>
              <w:t>100,000</w:t>
            </w:r>
          </w:p>
        </w:tc>
      </w:tr>
      <w:tr w:rsidR="006E7F02" w:rsidRPr="00EA71BF" w14:paraId="0312FC4C" w14:textId="77777777" w:rsidTr="002F1271">
        <w:trPr>
          <w:trHeight w:val="279"/>
        </w:trPr>
        <w:tc>
          <w:tcPr>
            <w:tcW w:w="5495" w:type="dxa"/>
          </w:tcPr>
          <w:p w14:paraId="0312FC48" w14:textId="77777777" w:rsidR="006E7F02" w:rsidRPr="00EA71BF" w:rsidRDefault="006E7F02" w:rsidP="006E7F02">
            <w:pPr>
              <w:spacing w:line="276" w:lineRule="auto"/>
              <w:ind w:hanging="108"/>
              <w:rPr>
                <w:rFonts w:asciiTheme="minorHAnsi" w:hAnsiTheme="minorHAnsi" w:cstheme="minorHAnsi"/>
                <w:sz w:val="20"/>
                <w:szCs w:val="20"/>
              </w:rPr>
            </w:pPr>
            <w:r w:rsidRPr="00EA71BF">
              <w:rPr>
                <w:rFonts w:asciiTheme="minorHAnsi" w:hAnsiTheme="minorHAnsi" w:cstheme="minorHAnsi"/>
                <w:sz w:val="20"/>
                <w:szCs w:val="20"/>
              </w:rPr>
              <w:t>Other receivables</w:t>
            </w:r>
          </w:p>
        </w:tc>
        <w:tc>
          <w:tcPr>
            <w:tcW w:w="1984" w:type="dxa"/>
            <w:tcBorders>
              <w:bottom w:val="single" w:sz="4" w:space="0" w:color="auto"/>
            </w:tcBorders>
          </w:tcPr>
          <w:p w14:paraId="0312FC49" w14:textId="09FC4C74" w:rsidR="006E7F02" w:rsidRPr="00EA71BF" w:rsidRDefault="00676BF7" w:rsidP="006E7F02">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w:t>
            </w:r>
          </w:p>
        </w:tc>
        <w:tc>
          <w:tcPr>
            <w:tcW w:w="2127" w:type="dxa"/>
            <w:tcBorders>
              <w:bottom w:val="single" w:sz="4" w:space="0" w:color="auto"/>
            </w:tcBorders>
          </w:tcPr>
          <w:p w14:paraId="0312FC4B" w14:textId="61B506E4" w:rsidR="006E7F02" w:rsidRPr="00EA71BF" w:rsidRDefault="00FC09A8" w:rsidP="006E7F02">
            <w:pPr>
              <w:spacing w:line="276" w:lineRule="auto"/>
              <w:jc w:val="right"/>
              <w:rPr>
                <w:rFonts w:asciiTheme="minorHAnsi" w:hAnsiTheme="minorHAnsi" w:cstheme="minorHAnsi"/>
                <w:sz w:val="20"/>
                <w:szCs w:val="20"/>
              </w:rPr>
            </w:pPr>
            <w:r>
              <w:rPr>
                <w:rFonts w:asciiTheme="minorHAnsi" w:hAnsiTheme="minorHAnsi" w:cstheme="minorHAnsi"/>
                <w:bCs/>
                <w:sz w:val="20"/>
                <w:szCs w:val="20"/>
              </w:rPr>
              <w:t>3,1</w:t>
            </w:r>
            <w:r w:rsidR="006E7F02" w:rsidRPr="00EA71BF">
              <w:rPr>
                <w:rFonts w:asciiTheme="minorHAnsi" w:hAnsiTheme="minorHAnsi" w:cstheme="minorHAnsi"/>
                <w:bCs/>
                <w:sz w:val="20"/>
                <w:szCs w:val="20"/>
              </w:rPr>
              <w:t>26</w:t>
            </w:r>
          </w:p>
        </w:tc>
      </w:tr>
      <w:tr w:rsidR="007C69AE" w:rsidRPr="00786C36" w14:paraId="0312FC51" w14:textId="77777777" w:rsidTr="007C69AE">
        <w:trPr>
          <w:trHeight w:val="279"/>
        </w:trPr>
        <w:tc>
          <w:tcPr>
            <w:tcW w:w="5495" w:type="dxa"/>
          </w:tcPr>
          <w:p w14:paraId="0312FC4D" w14:textId="65C19366" w:rsidR="007C69AE" w:rsidRPr="00EA71BF" w:rsidRDefault="002A6168" w:rsidP="000D6FDC">
            <w:pPr>
              <w:spacing w:line="276" w:lineRule="auto"/>
              <w:ind w:hanging="108"/>
              <w:rPr>
                <w:rFonts w:asciiTheme="minorHAnsi" w:hAnsiTheme="minorHAnsi" w:cstheme="minorHAnsi"/>
                <w:b/>
                <w:sz w:val="20"/>
                <w:szCs w:val="20"/>
              </w:rPr>
            </w:pPr>
            <w:r w:rsidRPr="00EA71BF">
              <w:rPr>
                <w:rFonts w:asciiTheme="minorHAnsi" w:hAnsiTheme="minorHAnsi" w:cstheme="minorHAnsi"/>
                <w:b/>
                <w:sz w:val="20"/>
                <w:szCs w:val="20"/>
              </w:rPr>
              <w:t>Total receivables</w:t>
            </w:r>
          </w:p>
        </w:tc>
        <w:tc>
          <w:tcPr>
            <w:tcW w:w="1984" w:type="dxa"/>
            <w:tcBorders>
              <w:top w:val="single" w:sz="4" w:space="0" w:color="auto"/>
              <w:bottom w:val="double" w:sz="4" w:space="0" w:color="auto"/>
            </w:tcBorders>
          </w:tcPr>
          <w:p w14:paraId="0312FC4E" w14:textId="3D989D66" w:rsidR="007C69AE" w:rsidRPr="00EA71BF" w:rsidRDefault="00676BF7" w:rsidP="000D6FDC">
            <w:pPr>
              <w:spacing w:line="276" w:lineRule="auto"/>
              <w:jc w:val="right"/>
              <w:rPr>
                <w:rFonts w:asciiTheme="minorHAnsi" w:hAnsiTheme="minorHAnsi" w:cstheme="minorHAnsi"/>
                <w:bCs/>
                <w:sz w:val="20"/>
                <w:szCs w:val="20"/>
              </w:rPr>
            </w:pPr>
            <w:r>
              <w:rPr>
                <w:rFonts w:asciiTheme="minorHAnsi" w:hAnsiTheme="minorHAnsi" w:cstheme="minorHAnsi"/>
                <w:bCs/>
                <w:sz w:val="20"/>
                <w:szCs w:val="20"/>
              </w:rPr>
              <w:t>-</w:t>
            </w:r>
          </w:p>
        </w:tc>
        <w:tc>
          <w:tcPr>
            <w:tcW w:w="2127" w:type="dxa"/>
            <w:tcBorders>
              <w:top w:val="single" w:sz="4" w:space="0" w:color="auto"/>
              <w:bottom w:val="double" w:sz="4" w:space="0" w:color="auto"/>
            </w:tcBorders>
          </w:tcPr>
          <w:p w14:paraId="0312FC50" w14:textId="38C09194" w:rsidR="007C69AE" w:rsidRPr="00EA71BF" w:rsidRDefault="00FC09A8" w:rsidP="000D6FDC">
            <w:pPr>
              <w:spacing w:line="276" w:lineRule="auto"/>
              <w:jc w:val="right"/>
              <w:rPr>
                <w:rFonts w:asciiTheme="minorHAnsi" w:hAnsiTheme="minorHAnsi" w:cstheme="minorHAnsi"/>
                <w:sz w:val="20"/>
                <w:szCs w:val="20"/>
              </w:rPr>
            </w:pPr>
            <w:r>
              <w:rPr>
                <w:rFonts w:asciiTheme="minorHAnsi" w:hAnsiTheme="minorHAnsi" w:cstheme="minorHAnsi"/>
                <w:bCs/>
                <w:sz w:val="20"/>
                <w:szCs w:val="20"/>
              </w:rPr>
              <w:t>103,126</w:t>
            </w:r>
          </w:p>
        </w:tc>
      </w:tr>
    </w:tbl>
    <w:p w14:paraId="7EC5B7E1" w14:textId="77777777" w:rsidR="002A6168" w:rsidRPr="00786C36" w:rsidRDefault="002A6168" w:rsidP="002A6168">
      <w:pPr>
        <w:tabs>
          <w:tab w:val="left" w:pos="4508"/>
        </w:tabs>
        <w:spacing w:line="276" w:lineRule="auto"/>
        <w:ind w:left="426"/>
        <w:jc w:val="both"/>
        <w:rPr>
          <w:rFonts w:asciiTheme="minorHAnsi" w:hAnsiTheme="minorHAnsi" w:cstheme="minorHAnsi"/>
          <w:sz w:val="20"/>
          <w:szCs w:val="20"/>
          <w:highlight w:val="yellow"/>
        </w:rPr>
      </w:pPr>
    </w:p>
    <w:p w14:paraId="262681F0" w14:textId="24EB2968" w:rsidR="00034844" w:rsidRPr="00FD476C" w:rsidRDefault="00034844" w:rsidP="00F57D12">
      <w:pPr>
        <w:pStyle w:val="ListParagraph"/>
        <w:tabs>
          <w:tab w:val="left" w:pos="4508"/>
        </w:tabs>
        <w:spacing w:before="120" w:line="240" w:lineRule="exact"/>
        <w:ind w:left="567" w:right="-579"/>
        <w:contextualSpacing w:val="0"/>
        <w:jc w:val="both"/>
        <w:rPr>
          <w:rFonts w:asciiTheme="minorHAnsi" w:hAnsiTheme="minorHAnsi" w:cstheme="minorHAnsi"/>
          <w:b/>
          <w:sz w:val="20"/>
          <w:szCs w:val="20"/>
        </w:rPr>
      </w:pPr>
      <w:r w:rsidRPr="00FD476C">
        <w:rPr>
          <w:rFonts w:asciiTheme="minorHAnsi" w:hAnsiTheme="minorHAnsi" w:cstheme="minorHAnsi"/>
          <w:b/>
          <w:sz w:val="20"/>
          <w:szCs w:val="20"/>
        </w:rPr>
        <w:t>Trade and other receivables</w:t>
      </w:r>
    </w:p>
    <w:p w14:paraId="18BD2338" w14:textId="31E5FD3D" w:rsidR="002039AB" w:rsidRPr="00FD476C" w:rsidRDefault="002A6168" w:rsidP="00F57D12">
      <w:pPr>
        <w:tabs>
          <w:tab w:val="left" w:pos="4508"/>
        </w:tabs>
        <w:spacing w:before="120" w:line="240" w:lineRule="exact"/>
        <w:ind w:left="567" w:right="-579"/>
        <w:jc w:val="both"/>
        <w:rPr>
          <w:rFonts w:asciiTheme="minorHAnsi" w:hAnsiTheme="minorHAnsi" w:cstheme="minorHAnsi"/>
          <w:sz w:val="20"/>
          <w:szCs w:val="20"/>
        </w:rPr>
      </w:pPr>
      <w:r w:rsidRPr="00FD476C">
        <w:rPr>
          <w:rFonts w:asciiTheme="minorHAnsi" w:hAnsiTheme="minorHAnsi" w:cstheme="minorHAnsi"/>
          <w:sz w:val="20"/>
          <w:szCs w:val="20"/>
        </w:rPr>
        <w:t xml:space="preserve">Trade and other receivables do not contain any impaired assets. The group does not hold any collateral as security and the maximum exposure to credit risk at the consolidated statement of financial position date is the fair value of each class of receivable. </w:t>
      </w:r>
    </w:p>
    <w:p w14:paraId="408B81EC" w14:textId="5682A522" w:rsidR="002A6168" w:rsidRPr="00FD476C" w:rsidRDefault="002A6168" w:rsidP="00F57D12">
      <w:pPr>
        <w:tabs>
          <w:tab w:val="left" w:pos="4508"/>
        </w:tabs>
        <w:spacing w:before="120" w:line="240" w:lineRule="exact"/>
        <w:ind w:left="567" w:right="-579"/>
        <w:jc w:val="both"/>
        <w:rPr>
          <w:rFonts w:asciiTheme="minorHAnsi" w:hAnsiTheme="minorHAnsi" w:cstheme="minorHAnsi"/>
          <w:sz w:val="20"/>
          <w:szCs w:val="20"/>
        </w:rPr>
      </w:pPr>
      <w:r w:rsidRPr="00FD476C">
        <w:rPr>
          <w:rFonts w:asciiTheme="minorHAnsi" w:hAnsiTheme="minorHAnsi" w:cstheme="minorHAnsi"/>
          <w:sz w:val="20"/>
          <w:szCs w:val="20"/>
        </w:rPr>
        <w:t>Book values approximate to fair value at 30 June 20</w:t>
      </w:r>
      <w:r w:rsidR="00B36861" w:rsidRPr="00FD476C">
        <w:rPr>
          <w:rFonts w:asciiTheme="minorHAnsi" w:hAnsiTheme="minorHAnsi" w:cstheme="minorHAnsi"/>
          <w:sz w:val="20"/>
          <w:szCs w:val="20"/>
        </w:rPr>
        <w:t>2</w:t>
      </w:r>
      <w:r w:rsidR="00FC09A8">
        <w:rPr>
          <w:rFonts w:asciiTheme="minorHAnsi" w:hAnsiTheme="minorHAnsi" w:cstheme="minorHAnsi"/>
          <w:sz w:val="20"/>
          <w:szCs w:val="20"/>
        </w:rPr>
        <w:t>2</w:t>
      </w:r>
      <w:r w:rsidRPr="00FD476C">
        <w:rPr>
          <w:rFonts w:asciiTheme="minorHAnsi" w:hAnsiTheme="minorHAnsi" w:cstheme="minorHAnsi"/>
          <w:sz w:val="20"/>
          <w:szCs w:val="20"/>
        </w:rPr>
        <w:t xml:space="preserve"> and 3</w:t>
      </w:r>
      <w:r w:rsidR="00B36861" w:rsidRPr="00FD476C">
        <w:rPr>
          <w:rFonts w:asciiTheme="minorHAnsi" w:hAnsiTheme="minorHAnsi" w:cstheme="minorHAnsi"/>
          <w:sz w:val="20"/>
          <w:szCs w:val="20"/>
        </w:rPr>
        <w:t>0 June 20</w:t>
      </w:r>
      <w:r w:rsidR="006E7F02" w:rsidRPr="00FD476C">
        <w:rPr>
          <w:rFonts w:asciiTheme="minorHAnsi" w:hAnsiTheme="minorHAnsi" w:cstheme="minorHAnsi"/>
          <w:sz w:val="20"/>
          <w:szCs w:val="20"/>
        </w:rPr>
        <w:t>2</w:t>
      </w:r>
      <w:r w:rsidR="00FC09A8">
        <w:rPr>
          <w:rFonts w:asciiTheme="minorHAnsi" w:hAnsiTheme="minorHAnsi" w:cstheme="minorHAnsi"/>
          <w:sz w:val="20"/>
          <w:szCs w:val="20"/>
        </w:rPr>
        <w:t>1</w:t>
      </w:r>
      <w:r w:rsidRPr="00FD476C">
        <w:rPr>
          <w:rFonts w:asciiTheme="minorHAnsi" w:hAnsiTheme="minorHAnsi" w:cstheme="minorHAnsi"/>
          <w:sz w:val="20"/>
          <w:szCs w:val="20"/>
        </w:rPr>
        <w:t>.</w:t>
      </w:r>
    </w:p>
    <w:p w14:paraId="2DFD5DC3" w14:textId="393D1E37" w:rsidR="002A6168" w:rsidRPr="00FD476C" w:rsidRDefault="002A6168" w:rsidP="008E6BF9">
      <w:pPr>
        <w:tabs>
          <w:tab w:val="left" w:pos="4508"/>
        </w:tabs>
        <w:spacing w:before="120" w:line="240" w:lineRule="exact"/>
        <w:ind w:firstLine="567"/>
        <w:jc w:val="both"/>
        <w:rPr>
          <w:rFonts w:asciiTheme="minorHAnsi" w:hAnsiTheme="minorHAnsi" w:cstheme="minorHAnsi"/>
          <w:b/>
          <w:sz w:val="20"/>
          <w:szCs w:val="20"/>
        </w:rPr>
      </w:pPr>
      <w:r w:rsidRPr="00FD476C">
        <w:rPr>
          <w:rFonts w:asciiTheme="minorHAnsi" w:hAnsiTheme="minorHAnsi" w:cstheme="minorHAnsi"/>
          <w:b/>
          <w:sz w:val="20"/>
          <w:szCs w:val="20"/>
        </w:rPr>
        <w:t>Company</w:t>
      </w:r>
    </w:p>
    <w:tbl>
      <w:tblPr>
        <w:tblW w:w="9606" w:type="dxa"/>
        <w:tblInd w:w="567" w:type="dxa"/>
        <w:tblLook w:val="00A0" w:firstRow="1" w:lastRow="0" w:firstColumn="1" w:lastColumn="0" w:noHBand="0" w:noVBand="0"/>
      </w:tblPr>
      <w:tblGrid>
        <w:gridCol w:w="5495"/>
        <w:gridCol w:w="1984"/>
        <w:gridCol w:w="2127"/>
      </w:tblGrid>
      <w:tr w:rsidR="002A6168" w:rsidRPr="00FD476C" w14:paraId="5DC36A91" w14:textId="77777777" w:rsidTr="00DD18A8">
        <w:trPr>
          <w:trHeight w:val="906"/>
        </w:trPr>
        <w:tc>
          <w:tcPr>
            <w:tcW w:w="5495" w:type="dxa"/>
          </w:tcPr>
          <w:p w14:paraId="6C02DBAD" w14:textId="77777777" w:rsidR="002A6168" w:rsidRPr="00FD476C" w:rsidRDefault="002A6168" w:rsidP="00DD18A8">
            <w:pPr>
              <w:spacing w:line="276" w:lineRule="auto"/>
              <w:jc w:val="right"/>
              <w:rPr>
                <w:rFonts w:asciiTheme="minorHAnsi" w:hAnsiTheme="minorHAnsi" w:cstheme="minorHAnsi"/>
                <w:b/>
                <w:sz w:val="20"/>
                <w:szCs w:val="20"/>
              </w:rPr>
            </w:pPr>
          </w:p>
        </w:tc>
        <w:tc>
          <w:tcPr>
            <w:tcW w:w="1984" w:type="dxa"/>
          </w:tcPr>
          <w:p w14:paraId="44B273E2" w14:textId="77777777" w:rsidR="002A6168" w:rsidRPr="00FD476C" w:rsidRDefault="002A6168" w:rsidP="00DD18A8">
            <w:pPr>
              <w:spacing w:line="276" w:lineRule="auto"/>
              <w:jc w:val="right"/>
              <w:rPr>
                <w:rFonts w:asciiTheme="minorHAnsi" w:hAnsiTheme="minorHAnsi" w:cstheme="minorHAnsi"/>
                <w:b/>
                <w:sz w:val="20"/>
                <w:szCs w:val="20"/>
              </w:rPr>
            </w:pPr>
            <w:r w:rsidRPr="00FD476C">
              <w:rPr>
                <w:rFonts w:asciiTheme="minorHAnsi" w:hAnsiTheme="minorHAnsi" w:cstheme="minorHAnsi"/>
                <w:b/>
                <w:sz w:val="20"/>
                <w:szCs w:val="20"/>
              </w:rPr>
              <w:t>30 June</w:t>
            </w:r>
          </w:p>
          <w:p w14:paraId="0D147EA5" w14:textId="2B291E9F" w:rsidR="002A6168" w:rsidRPr="00FD476C" w:rsidRDefault="002A6168" w:rsidP="00DD18A8">
            <w:pPr>
              <w:spacing w:line="276" w:lineRule="auto"/>
              <w:jc w:val="right"/>
              <w:rPr>
                <w:rFonts w:asciiTheme="minorHAnsi" w:hAnsiTheme="minorHAnsi" w:cstheme="minorHAnsi"/>
                <w:b/>
                <w:sz w:val="20"/>
                <w:szCs w:val="20"/>
              </w:rPr>
            </w:pPr>
            <w:r w:rsidRPr="00FD476C">
              <w:rPr>
                <w:rFonts w:asciiTheme="minorHAnsi" w:hAnsiTheme="minorHAnsi" w:cstheme="minorHAnsi"/>
                <w:b/>
                <w:sz w:val="20"/>
                <w:szCs w:val="20"/>
              </w:rPr>
              <w:t>20</w:t>
            </w:r>
            <w:r w:rsidR="00B36861" w:rsidRPr="00FD476C">
              <w:rPr>
                <w:rFonts w:asciiTheme="minorHAnsi" w:hAnsiTheme="minorHAnsi" w:cstheme="minorHAnsi"/>
                <w:b/>
                <w:sz w:val="20"/>
                <w:szCs w:val="20"/>
              </w:rPr>
              <w:t>2</w:t>
            </w:r>
            <w:r w:rsidR="006E3101">
              <w:rPr>
                <w:rFonts w:asciiTheme="minorHAnsi" w:hAnsiTheme="minorHAnsi" w:cstheme="minorHAnsi"/>
                <w:b/>
                <w:sz w:val="20"/>
                <w:szCs w:val="20"/>
              </w:rPr>
              <w:t>2</w:t>
            </w:r>
          </w:p>
          <w:p w14:paraId="664B35BD" w14:textId="77777777" w:rsidR="002A6168" w:rsidRPr="00FD476C" w:rsidRDefault="002A6168" w:rsidP="00DD18A8">
            <w:pPr>
              <w:spacing w:line="276" w:lineRule="auto"/>
              <w:jc w:val="right"/>
              <w:rPr>
                <w:rFonts w:asciiTheme="minorHAnsi" w:hAnsiTheme="minorHAnsi" w:cstheme="minorHAnsi"/>
                <w:b/>
                <w:sz w:val="20"/>
                <w:szCs w:val="20"/>
              </w:rPr>
            </w:pPr>
            <w:r w:rsidRPr="00FD476C">
              <w:rPr>
                <w:rFonts w:asciiTheme="minorHAnsi" w:hAnsiTheme="minorHAnsi" w:cstheme="minorHAnsi"/>
                <w:b/>
                <w:sz w:val="20"/>
                <w:szCs w:val="20"/>
              </w:rPr>
              <w:t>£</w:t>
            </w:r>
          </w:p>
        </w:tc>
        <w:tc>
          <w:tcPr>
            <w:tcW w:w="2127" w:type="dxa"/>
          </w:tcPr>
          <w:p w14:paraId="6E597D88" w14:textId="2E2F4A7E" w:rsidR="002A6168" w:rsidRPr="00FD476C" w:rsidRDefault="002A6168" w:rsidP="00DD18A8">
            <w:pPr>
              <w:spacing w:line="276" w:lineRule="auto"/>
              <w:jc w:val="right"/>
              <w:rPr>
                <w:rFonts w:asciiTheme="minorHAnsi" w:hAnsiTheme="minorHAnsi" w:cstheme="minorHAnsi"/>
                <w:b/>
                <w:sz w:val="20"/>
                <w:szCs w:val="20"/>
              </w:rPr>
            </w:pPr>
            <w:r w:rsidRPr="00FD476C">
              <w:rPr>
                <w:rFonts w:asciiTheme="minorHAnsi" w:hAnsiTheme="minorHAnsi" w:cstheme="minorHAnsi"/>
                <w:b/>
                <w:sz w:val="20"/>
                <w:szCs w:val="20"/>
              </w:rPr>
              <w:t>3</w:t>
            </w:r>
            <w:r w:rsidR="00F57D12" w:rsidRPr="00FD476C">
              <w:rPr>
                <w:rFonts w:asciiTheme="minorHAnsi" w:hAnsiTheme="minorHAnsi" w:cstheme="minorHAnsi"/>
                <w:b/>
                <w:sz w:val="20"/>
                <w:szCs w:val="20"/>
              </w:rPr>
              <w:t>0</w:t>
            </w:r>
            <w:r w:rsidRPr="00FD476C">
              <w:rPr>
                <w:rFonts w:asciiTheme="minorHAnsi" w:hAnsiTheme="minorHAnsi" w:cstheme="minorHAnsi"/>
                <w:b/>
                <w:sz w:val="20"/>
                <w:szCs w:val="20"/>
              </w:rPr>
              <w:t xml:space="preserve"> </w:t>
            </w:r>
            <w:r w:rsidR="00B36861" w:rsidRPr="00FD476C">
              <w:rPr>
                <w:rFonts w:asciiTheme="minorHAnsi" w:hAnsiTheme="minorHAnsi" w:cstheme="minorHAnsi"/>
                <w:b/>
                <w:sz w:val="20"/>
                <w:szCs w:val="20"/>
              </w:rPr>
              <w:t>June</w:t>
            </w:r>
          </w:p>
          <w:p w14:paraId="7A31BD7E" w14:textId="208A5780" w:rsidR="002A6168" w:rsidRPr="00FD476C" w:rsidRDefault="006E3101" w:rsidP="00DD18A8">
            <w:pPr>
              <w:spacing w:line="276" w:lineRule="auto"/>
              <w:jc w:val="right"/>
              <w:rPr>
                <w:rFonts w:asciiTheme="minorHAnsi" w:hAnsiTheme="minorHAnsi" w:cstheme="minorHAnsi"/>
                <w:b/>
                <w:sz w:val="20"/>
                <w:szCs w:val="20"/>
              </w:rPr>
            </w:pPr>
            <w:r>
              <w:rPr>
                <w:rFonts w:asciiTheme="minorHAnsi" w:hAnsiTheme="minorHAnsi" w:cstheme="minorHAnsi"/>
                <w:b/>
                <w:sz w:val="20"/>
                <w:szCs w:val="20"/>
              </w:rPr>
              <w:t>2021</w:t>
            </w:r>
          </w:p>
          <w:p w14:paraId="613F8AF9" w14:textId="77777777" w:rsidR="002A6168" w:rsidRPr="00FD476C" w:rsidRDefault="002A6168" w:rsidP="00DD18A8">
            <w:pPr>
              <w:spacing w:line="276" w:lineRule="auto"/>
              <w:jc w:val="right"/>
              <w:rPr>
                <w:rFonts w:asciiTheme="minorHAnsi" w:hAnsiTheme="minorHAnsi" w:cstheme="minorHAnsi"/>
                <w:b/>
                <w:sz w:val="20"/>
                <w:szCs w:val="20"/>
              </w:rPr>
            </w:pPr>
            <w:r w:rsidRPr="00FD476C">
              <w:rPr>
                <w:rFonts w:asciiTheme="minorHAnsi" w:hAnsiTheme="minorHAnsi" w:cstheme="minorHAnsi"/>
                <w:b/>
                <w:sz w:val="20"/>
                <w:szCs w:val="20"/>
              </w:rPr>
              <w:t>£</w:t>
            </w:r>
          </w:p>
        </w:tc>
      </w:tr>
      <w:tr w:rsidR="006E7F02" w:rsidRPr="00FD476C" w14:paraId="05CC0DD3" w14:textId="77777777" w:rsidTr="00DD18A8">
        <w:trPr>
          <w:trHeight w:val="279"/>
        </w:trPr>
        <w:tc>
          <w:tcPr>
            <w:tcW w:w="5495" w:type="dxa"/>
          </w:tcPr>
          <w:p w14:paraId="2CDC1D09" w14:textId="47B7F774" w:rsidR="006E7F02" w:rsidRPr="00FD476C" w:rsidRDefault="006E7F02" w:rsidP="006E7F02">
            <w:pPr>
              <w:spacing w:line="276" w:lineRule="auto"/>
              <w:ind w:hanging="108"/>
              <w:rPr>
                <w:rFonts w:asciiTheme="minorHAnsi" w:hAnsiTheme="minorHAnsi" w:cstheme="minorHAnsi"/>
                <w:sz w:val="20"/>
                <w:szCs w:val="20"/>
              </w:rPr>
            </w:pPr>
            <w:r w:rsidRPr="00FD476C">
              <w:rPr>
                <w:rFonts w:asciiTheme="minorHAnsi" w:hAnsiTheme="minorHAnsi" w:cstheme="minorHAnsi"/>
                <w:sz w:val="20"/>
                <w:szCs w:val="20"/>
              </w:rPr>
              <w:t>Amounts due from group companies</w:t>
            </w:r>
          </w:p>
        </w:tc>
        <w:tc>
          <w:tcPr>
            <w:tcW w:w="1984" w:type="dxa"/>
          </w:tcPr>
          <w:p w14:paraId="1352AC60" w14:textId="1BACC27E" w:rsidR="006E7F02" w:rsidRPr="00FD476C" w:rsidRDefault="00676BF7" w:rsidP="006E7F02">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2127" w:type="dxa"/>
          </w:tcPr>
          <w:p w14:paraId="65ABAB00" w14:textId="203E1286" w:rsidR="006E7F02" w:rsidRPr="00FD476C" w:rsidRDefault="006E3101" w:rsidP="006E7F02">
            <w:pPr>
              <w:spacing w:line="276" w:lineRule="auto"/>
              <w:jc w:val="right"/>
              <w:rPr>
                <w:rFonts w:asciiTheme="minorHAnsi" w:hAnsiTheme="minorHAnsi" w:cstheme="minorHAnsi"/>
                <w:sz w:val="20"/>
                <w:szCs w:val="20"/>
              </w:rPr>
            </w:pPr>
            <w:r>
              <w:rPr>
                <w:rFonts w:asciiTheme="minorHAnsi" w:hAnsiTheme="minorHAnsi" w:cstheme="minorHAnsi"/>
                <w:sz w:val="20"/>
                <w:szCs w:val="20"/>
              </w:rPr>
              <w:t>398,185</w:t>
            </w:r>
          </w:p>
        </w:tc>
      </w:tr>
      <w:tr w:rsidR="006E7F02" w:rsidRPr="00FD476C" w14:paraId="5B4494EE" w14:textId="77777777" w:rsidTr="00DD18A8">
        <w:trPr>
          <w:trHeight w:val="279"/>
        </w:trPr>
        <w:tc>
          <w:tcPr>
            <w:tcW w:w="5495" w:type="dxa"/>
          </w:tcPr>
          <w:p w14:paraId="003AFD92" w14:textId="77777777" w:rsidR="006E7F02" w:rsidRPr="00FD476C" w:rsidRDefault="006E7F02" w:rsidP="006E7F02">
            <w:pPr>
              <w:spacing w:line="276" w:lineRule="auto"/>
              <w:ind w:hanging="108"/>
              <w:rPr>
                <w:rFonts w:asciiTheme="minorHAnsi" w:hAnsiTheme="minorHAnsi" w:cstheme="minorHAnsi"/>
                <w:sz w:val="20"/>
                <w:szCs w:val="20"/>
              </w:rPr>
            </w:pPr>
            <w:r w:rsidRPr="00FD476C">
              <w:rPr>
                <w:rFonts w:asciiTheme="minorHAnsi" w:hAnsiTheme="minorHAnsi" w:cstheme="minorHAnsi"/>
                <w:sz w:val="20"/>
                <w:szCs w:val="20"/>
              </w:rPr>
              <w:t>Other receivables</w:t>
            </w:r>
          </w:p>
        </w:tc>
        <w:tc>
          <w:tcPr>
            <w:tcW w:w="1984" w:type="dxa"/>
            <w:tcBorders>
              <w:bottom w:val="single" w:sz="4" w:space="0" w:color="auto"/>
            </w:tcBorders>
          </w:tcPr>
          <w:p w14:paraId="721E7A11" w14:textId="4A40AF59" w:rsidR="006E7F02" w:rsidRPr="00FD476C" w:rsidRDefault="006E3101" w:rsidP="006E7F02">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2127" w:type="dxa"/>
            <w:tcBorders>
              <w:bottom w:val="single" w:sz="4" w:space="0" w:color="auto"/>
            </w:tcBorders>
          </w:tcPr>
          <w:p w14:paraId="163DC894" w14:textId="5048EEF4" w:rsidR="006E7F02" w:rsidRPr="00FD476C" w:rsidRDefault="006E3101" w:rsidP="006E7F02">
            <w:pPr>
              <w:spacing w:line="276" w:lineRule="auto"/>
              <w:jc w:val="right"/>
              <w:rPr>
                <w:rFonts w:asciiTheme="minorHAnsi" w:hAnsiTheme="minorHAnsi" w:cstheme="minorHAnsi"/>
                <w:sz w:val="20"/>
                <w:szCs w:val="20"/>
              </w:rPr>
            </w:pPr>
            <w:r>
              <w:rPr>
                <w:rFonts w:asciiTheme="minorHAnsi" w:hAnsiTheme="minorHAnsi" w:cstheme="minorHAnsi"/>
                <w:sz w:val="20"/>
                <w:szCs w:val="20"/>
              </w:rPr>
              <w:t>2,610</w:t>
            </w:r>
          </w:p>
        </w:tc>
      </w:tr>
      <w:tr w:rsidR="002A6168" w:rsidRPr="00786C36" w14:paraId="574669BF" w14:textId="77777777" w:rsidTr="00DD18A8">
        <w:trPr>
          <w:trHeight w:val="279"/>
        </w:trPr>
        <w:tc>
          <w:tcPr>
            <w:tcW w:w="5495" w:type="dxa"/>
          </w:tcPr>
          <w:p w14:paraId="71124D05" w14:textId="77777777" w:rsidR="002A6168" w:rsidRPr="00FD476C" w:rsidRDefault="002A6168" w:rsidP="00DD18A8">
            <w:pPr>
              <w:spacing w:line="276" w:lineRule="auto"/>
              <w:ind w:hanging="108"/>
              <w:rPr>
                <w:rFonts w:asciiTheme="minorHAnsi" w:hAnsiTheme="minorHAnsi" w:cstheme="minorHAnsi"/>
                <w:sz w:val="20"/>
                <w:szCs w:val="20"/>
              </w:rPr>
            </w:pPr>
          </w:p>
        </w:tc>
        <w:tc>
          <w:tcPr>
            <w:tcW w:w="1984" w:type="dxa"/>
            <w:tcBorders>
              <w:top w:val="single" w:sz="4" w:space="0" w:color="auto"/>
              <w:bottom w:val="double" w:sz="4" w:space="0" w:color="auto"/>
            </w:tcBorders>
          </w:tcPr>
          <w:p w14:paraId="66219B7F" w14:textId="2E89B8BF" w:rsidR="002A6168" w:rsidRPr="00FD476C" w:rsidRDefault="00676BF7" w:rsidP="00DD18A8">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2127" w:type="dxa"/>
            <w:tcBorders>
              <w:top w:val="single" w:sz="4" w:space="0" w:color="auto"/>
              <w:bottom w:val="double" w:sz="4" w:space="0" w:color="auto"/>
            </w:tcBorders>
          </w:tcPr>
          <w:p w14:paraId="32573985" w14:textId="177546F6" w:rsidR="002A6168" w:rsidRPr="00FD476C" w:rsidRDefault="006E3101" w:rsidP="00DD18A8">
            <w:pPr>
              <w:spacing w:line="276" w:lineRule="auto"/>
              <w:jc w:val="right"/>
              <w:rPr>
                <w:rFonts w:asciiTheme="minorHAnsi" w:hAnsiTheme="minorHAnsi" w:cstheme="minorHAnsi"/>
                <w:sz w:val="20"/>
                <w:szCs w:val="20"/>
              </w:rPr>
            </w:pPr>
            <w:r>
              <w:rPr>
                <w:rFonts w:asciiTheme="minorHAnsi" w:hAnsiTheme="minorHAnsi" w:cstheme="minorHAnsi"/>
                <w:sz w:val="20"/>
                <w:szCs w:val="20"/>
              </w:rPr>
              <w:t>400,795</w:t>
            </w:r>
          </w:p>
        </w:tc>
      </w:tr>
    </w:tbl>
    <w:p w14:paraId="6A7F7DDC" w14:textId="5282FAF0" w:rsidR="00C34890" w:rsidRDefault="00C34890" w:rsidP="00D118C2">
      <w:pPr>
        <w:pStyle w:val="ListParagraph"/>
        <w:spacing w:before="120" w:line="240" w:lineRule="exact"/>
        <w:ind w:left="567" w:hanging="567"/>
        <w:contextualSpacing w:val="0"/>
        <w:jc w:val="both"/>
        <w:rPr>
          <w:rFonts w:asciiTheme="minorHAnsi" w:hAnsiTheme="minorHAnsi" w:cstheme="minorHAnsi"/>
          <w:b/>
          <w:sz w:val="20"/>
          <w:szCs w:val="20"/>
          <w:highlight w:val="yellow"/>
        </w:rPr>
      </w:pPr>
    </w:p>
    <w:p w14:paraId="0312FC72" w14:textId="6306A96F" w:rsidR="005B7F66" w:rsidRPr="00944C86" w:rsidRDefault="005B7F66" w:rsidP="00E40D30">
      <w:pPr>
        <w:pStyle w:val="ListParagraph"/>
        <w:widowControl w:val="0"/>
        <w:numPr>
          <w:ilvl w:val="0"/>
          <w:numId w:val="26"/>
        </w:numPr>
        <w:spacing w:before="120" w:line="276" w:lineRule="auto"/>
        <w:ind w:left="567" w:hanging="578"/>
        <w:contextualSpacing w:val="0"/>
        <w:jc w:val="both"/>
        <w:rPr>
          <w:rFonts w:asciiTheme="minorHAnsi" w:hAnsiTheme="minorHAnsi" w:cstheme="minorHAnsi"/>
          <w:b/>
          <w:sz w:val="20"/>
          <w:szCs w:val="20"/>
        </w:rPr>
      </w:pPr>
      <w:r w:rsidRPr="00944C86">
        <w:rPr>
          <w:rFonts w:asciiTheme="minorHAnsi" w:hAnsiTheme="minorHAnsi" w:cstheme="minorHAnsi"/>
          <w:b/>
          <w:sz w:val="20"/>
          <w:szCs w:val="20"/>
        </w:rPr>
        <w:t>Cash and cash equivalents</w:t>
      </w:r>
    </w:p>
    <w:p w14:paraId="0312FC73" w14:textId="2D4E72C0" w:rsidR="005B7F66" w:rsidRPr="00944C86" w:rsidRDefault="0053710A" w:rsidP="0053710A">
      <w:pPr>
        <w:tabs>
          <w:tab w:val="left" w:pos="567"/>
          <w:tab w:val="left" w:pos="4508"/>
        </w:tabs>
        <w:spacing w:before="120" w:line="276" w:lineRule="auto"/>
        <w:jc w:val="both"/>
        <w:rPr>
          <w:rFonts w:asciiTheme="minorHAnsi" w:hAnsiTheme="minorHAnsi" w:cstheme="minorHAnsi"/>
          <w:b/>
          <w:sz w:val="20"/>
          <w:szCs w:val="20"/>
        </w:rPr>
      </w:pPr>
      <w:r w:rsidRPr="00944C86">
        <w:rPr>
          <w:rFonts w:asciiTheme="minorHAnsi" w:hAnsiTheme="minorHAnsi" w:cstheme="minorHAnsi"/>
          <w:b/>
          <w:sz w:val="20"/>
          <w:szCs w:val="20"/>
        </w:rPr>
        <w:tab/>
      </w:r>
      <w:r w:rsidR="007C69AE" w:rsidRPr="00944C86">
        <w:rPr>
          <w:rFonts w:asciiTheme="minorHAnsi" w:hAnsiTheme="minorHAnsi" w:cstheme="minorHAnsi"/>
          <w:b/>
          <w:sz w:val="20"/>
          <w:szCs w:val="20"/>
        </w:rPr>
        <w:t>Group</w:t>
      </w:r>
    </w:p>
    <w:tbl>
      <w:tblPr>
        <w:tblW w:w="9639" w:type="dxa"/>
        <w:tblInd w:w="534" w:type="dxa"/>
        <w:tblLook w:val="00A0" w:firstRow="1" w:lastRow="0" w:firstColumn="1" w:lastColumn="0" w:noHBand="0" w:noVBand="0"/>
      </w:tblPr>
      <w:tblGrid>
        <w:gridCol w:w="5528"/>
        <w:gridCol w:w="1984"/>
        <w:gridCol w:w="2127"/>
      </w:tblGrid>
      <w:tr w:rsidR="007C69AE" w:rsidRPr="00944C86" w14:paraId="0312FC78" w14:textId="77777777" w:rsidTr="007C69AE">
        <w:tc>
          <w:tcPr>
            <w:tcW w:w="5528" w:type="dxa"/>
          </w:tcPr>
          <w:p w14:paraId="0312FC74" w14:textId="77777777" w:rsidR="007C69AE" w:rsidRPr="00944C86" w:rsidRDefault="007C69AE" w:rsidP="000D6FDC">
            <w:pPr>
              <w:spacing w:line="276" w:lineRule="auto"/>
              <w:jc w:val="right"/>
              <w:rPr>
                <w:rFonts w:asciiTheme="minorHAnsi" w:hAnsiTheme="minorHAnsi" w:cstheme="minorHAnsi"/>
                <w:b/>
                <w:sz w:val="20"/>
                <w:szCs w:val="20"/>
              </w:rPr>
            </w:pPr>
          </w:p>
        </w:tc>
        <w:tc>
          <w:tcPr>
            <w:tcW w:w="1984" w:type="dxa"/>
          </w:tcPr>
          <w:p w14:paraId="2F5E2B45" w14:textId="77777777" w:rsidR="007C69AE" w:rsidRPr="00944C86" w:rsidRDefault="007C69AE" w:rsidP="003749CE">
            <w:pPr>
              <w:spacing w:line="276" w:lineRule="auto"/>
              <w:ind w:hanging="108"/>
              <w:jc w:val="right"/>
              <w:rPr>
                <w:rFonts w:asciiTheme="minorHAnsi" w:hAnsiTheme="minorHAnsi" w:cstheme="minorHAnsi"/>
                <w:b/>
                <w:sz w:val="20"/>
                <w:szCs w:val="20"/>
              </w:rPr>
            </w:pPr>
            <w:r w:rsidRPr="00944C86">
              <w:rPr>
                <w:rFonts w:asciiTheme="minorHAnsi" w:hAnsiTheme="minorHAnsi" w:cstheme="minorHAnsi"/>
                <w:b/>
                <w:sz w:val="20"/>
                <w:szCs w:val="20"/>
              </w:rPr>
              <w:t xml:space="preserve">30 June </w:t>
            </w:r>
          </w:p>
          <w:p w14:paraId="0312FC75" w14:textId="36657C83" w:rsidR="007C69AE" w:rsidRPr="00944C86" w:rsidRDefault="007C69AE" w:rsidP="003749CE">
            <w:pPr>
              <w:spacing w:line="276" w:lineRule="auto"/>
              <w:ind w:hanging="108"/>
              <w:jc w:val="right"/>
              <w:rPr>
                <w:rFonts w:asciiTheme="minorHAnsi" w:hAnsiTheme="minorHAnsi" w:cstheme="minorHAnsi"/>
                <w:b/>
                <w:sz w:val="20"/>
                <w:szCs w:val="20"/>
              </w:rPr>
            </w:pPr>
            <w:r w:rsidRPr="00944C86">
              <w:rPr>
                <w:rFonts w:asciiTheme="minorHAnsi" w:hAnsiTheme="minorHAnsi" w:cstheme="minorHAnsi"/>
                <w:b/>
                <w:sz w:val="20"/>
                <w:szCs w:val="20"/>
              </w:rPr>
              <w:t>20</w:t>
            </w:r>
            <w:r w:rsidR="00B36861" w:rsidRPr="00944C86">
              <w:rPr>
                <w:rFonts w:asciiTheme="minorHAnsi" w:hAnsiTheme="minorHAnsi" w:cstheme="minorHAnsi"/>
                <w:b/>
                <w:sz w:val="20"/>
                <w:szCs w:val="20"/>
              </w:rPr>
              <w:t>2</w:t>
            </w:r>
            <w:r w:rsidR="006E3101">
              <w:rPr>
                <w:rFonts w:asciiTheme="minorHAnsi" w:hAnsiTheme="minorHAnsi" w:cstheme="minorHAnsi"/>
                <w:b/>
                <w:sz w:val="20"/>
                <w:szCs w:val="20"/>
              </w:rPr>
              <w:t>2</w:t>
            </w:r>
            <w:r w:rsidRPr="00944C86">
              <w:rPr>
                <w:rFonts w:asciiTheme="minorHAnsi" w:hAnsiTheme="minorHAnsi" w:cstheme="minorHAnsi"/>
                <w:b/>
                <w:sz w:val="20"/>
                <w:szCs w:val="20"/>
              </w:rPr>
              <w:br/>
              <w:t>£</w:t>
            </w:r>
          </w:p>
        </w:tc>
        <w:tc>
          <w:tcPr>
            <w:tcW w:w="2127" w:type="dxa"/>
          </w:tcPr>
          <w:p w14:paraId="0312FC77" w14:textId="6C808E7D" w:rsidR="007C69AE" w:rsidRPr="00944C86" w:rsidRDefault="007C69AE" w:rsidP="003749CE">
            <w:pPr>
              <w:spacing w:line="276" w:lineRule="auto"/>
              <w:jc w:val="right"/>
              <w:rPr>
                <w:rFonts w:asciiTheme="minorHAnsi" w:hAnsiTheme="minorHAnsi" w:cstheme="minorHAnsi"/>
                <w:b/>
                <w:sz w:val="20"/>
                <w:szCs w:val="20"/>
              </w:rPr>
            </w:pPr>
            <w:r w:rsidRPr="00944C86">
              <w:rPr>
                <w:rFonts w:asciiTheme="minorHAnsi" w:hAnsiTheme="minorHAnsi" w:cstheme="minorHAnsi"/>
                <w:b/>
                <w:sz w:val="20"/>
                <w:szCs w:val="20"/>
              </w:rPr>
              <w:t>3</w:t>
            </w:r>
            <w:r w:rsidR="00B36861" w:rsidRPr="00944C86">
              <w:rPr>
                <w:rFonts w:asciiTheme="minorHAnsi" w:hAnsiTheme="minorHAnsi" w:cstheme="minorHAnsi"/>
                <w:b/>
                <w:sz w:val="20"/>
                <w:szCs w:val="20"/>
              </w:rPr>
              <w:t>0 June</w:t>
            </w:r>
            <w:r w:rsidR="00B36861" w:rsidRPr="00944C86" w:rsidDel="00B36861">
              <w:rPr>
                <w:rFonts w:asciiTheme="minorHAnsi" w:hAnsiTheme="minorHAnsi" w:cstheme="minorHAnsi"/>
                <w:b/>
                <w:sz w:val="20"/>
                <w:szCs w:val="20"/>
              </w:rPr>
              <w:t xml:space="preserve"> </w:t>
            </w:r>
            <w:r w:rsidRPr="00944C86">
              <w:rPr>
                <w:rFonts w:asciiTheme="minorHAnsi" w:hAnsiTheme="minorHAnsi" w:cstheme="minorHAnsi"/>
                <w:b/>
                <w:sz w:val="20"/>
                <w:szCs w:val="20"/>
              </w:rPr>
              <w:br/>
              <w:t>20</w:t>
            </w:r>
            <w:r w:rsidR="006E7F02" w:rsidRPr="00944C86">
              <w:rPr>
                <w:rFonts w:asciiTheme="minorHAnsi" w:hAnsiTheme="minorHAnsi" w:cstheme="minorHAnsi"/>
                <w:b/>
                <w:sz w:val="20"/>
                <w:szCs w:val="20"/>
              </w:rPr>
              <w:t>2</w:t>
            </w:r>
            <w:r w:rsidR="006E3101">
              <w:rPr>
                <w:rFonts w:asciiTheme="minorHAnsi" w:hAnsiTheme="minorHAnsi" w:cstheme="minorHAnsi"/>
                <w:b/>
                <w:sz w:val="20"/>
                <w:szCs w:val="20"/>
              </w:rPr>
              <w:t>1</w:t>
            </w:r>
            <w:r w:rsidRPr="00944C86">
              <w:rPr>
                <w:rFonts w:asciiTheme="minorHAnsi" w:hAnsiTheme="minorHAnsi" w:cstheme="minorHAnsi"/>
                <w:b/>
                <w:sz w:val="20"/>
                <w:szCs w:val="20"/>
              </w:rPr>
              <w:br/>
              <w:t>£</w:t>
            </w:r>
          </w:p>
        </w:tc>
      </w:tr>
      <w:tr w:rsidR="006E7F02" w:rsidRPr="00944C86" w14:paraId="0312FC7D" w14:textId="77777777" w:rsidTr="007C69AE">
        <w:trPr>
          <w:trHeight w:val="258"/>
        </w:trPr>
        <w:tc>
          <w:tcPr>
            <w:tcW w:w="5528" w:type="dxa"/>
          </w:tcPr>
          <w:p w14:paraId="0312FC79" w14:textId="05C72F0B" w:rsidR="006E7F02" w:rsidRPr="00944C86" w:rsidRDefault="006E7F02" w:rsidP="006E7F02">
            <w:pPr>
              <w:spacing w:line="276" w:lineRule="auto"/>
              <w:ind w:hanging="108"/>
              <w:rPr>
                <w:rFonts w:asciiTheme="minorHAnsi" w:hAnsiTheme="minorHAnsi" w:cstheme="minorHAnsi"/>
                <w:sz w:val="20"/>
                <w:szCs w:val="20"/>
              </w:rPr>
            </w:pPr>
            <w:r w:rsidRPr="00944C86">
              <w:rPr>
                <w:rFonts w:asciiTheme="minorHAnsi" w:hAnsiTheme="minorHAnsi" w:cstheme="minorHAnsi"/>
                <w:sz w:val="20"/>
                <w:szCs w:val="20"/>
              </w:rPr>
              <w:t>Cash at bank available on demand</w:t>
            </w:r>
          </w:p>
        </w:tc>
        <w:tc>
          <w:tcPr>
            <w:tcW w:w="1984" w:type="dxa"/>
          </w:tcPr>
          <w:p w14:paraId="0312FC7A" w14:textId="323EF925" w:rsidR="006E7F02" w:rsidRPr="00944C86" w:rsidRDefault="00567E04" w:rsidP="006E7F02">
            <w:pPr>
              <w:spacing w:line="276" w:lineRule="auto"/>
              <w:jc w:val="right"/>
              <w:rPr>
                <w:rFonts w:asciiTheme="minorHAnsi" w:hAnsiTheme="minorHAnsi" w:cstheme="minorHAnsi"/>
                <w:sz w:val="20"/>
                <w:szCs w:val="20"/>
              </w:rPr>
            </w:pPr>
            <w:r>
              <w:rPr>
                <w:rFonts w:asciiTheme="minorHAnsi" w:hAnsiTheme="minorHAnsi" w:cstheme="minorHAnsi"/>
                <w:sz w:val="20"/>
                <w:szCs w:val="20"/>
              </w:rPr>
              <w:t>5</w:t>
            </w:r>
          </w:p>
        </w:tc>
        <w:tc>
          <w:tcPr>
            <w:tcW w:w="2127" w:type="dxa"/>
          </w:tcPr>
          <w:p w14:paraId="0312FC7C" w14:textId="7435CF92" w:rsidR="006E7F02" w:rsidRPr="00944C86" w:rsidRDefault="006E3101" w:rsidP="006E7F02">
            <w:pPr>
              <w:spacing w:line="276" w:lineRule="auto"/>
              <w:jc w:val="right"/>
              <w:rPr>
                <w:rFonts w:asciiTheme="minorHAnsi" w:hAnsiTheme="minorHAnsi" w:cstheme="minorHAnsi"/>
                <w:sz w:val="20"/>
                <w:szCs w:val="20"/>
              </w:rPr>
            </w:pPr>
            <w:r>
              <w:rPr>
                <w:rFonts w:asciiTheme="minorHAnsi" w:hAnsiTheme="minorHAnsi" w:cstheme="minorHAnsi"/>
                <w:sz w:val="20"/>
                <w:szCs w:val="20"/>
              </w:rPr>
              <w:t>50,929</w:t>
            </w:r>
          </w:p>
        </w:tc>
      </w:tr>
      <w:tr w:rsidR="006E7F02" w:rsidRPr="00944C86" w14:paraId="0312FC82" w14:textId="77777777" w:rsidTr="007C69AE">
        <w:trPr>
          <w:trHeight w:val="64"/>
        </w:trPr>
        <w:tc>
          <w:tcPr>
            <w:tcW w:w="5528" w:type="dxa"/>
          </w:tcPr>
          <w:p w14:paraId="0312FC7E" w14:textId="1E73738C" w:rsidR="006E7F02" w:rsidRPr="00944C86" w:rsidRDefault="006E7F02" w:rsidP="006E7F02">
            <w:pPr>
              <w:spacing w:line="276" w:lineRule="auto"/>
              <w:ind w:hanging="108"/>
              <w:rPr>
                <w:rFonts w:asciiTheme="minorHAnsi" w:hAnsiTheme="minorHAnsi" w:cstheme="minorHAnsi"/>
                <w:sz w:val="20"/>
                <w:szCs w:val="20"/>
              </w:rPr>
            </w:pPr>
            <w:r w:rsidRPr="00944C86">
              <w:rPr>
                <w:rFonts w:asciiTheme="minorHAnsi" w:hAnsiTheme="minorHAnsi" w:cstheme="minorHAnsi"/>
                <w:sz w:val="20"/>
                <w:szCs w:val="20"/>
              </w:rPr>
              <w:t xml:space="preserve">Bank overdraft </w:t>
            </w:r>
          </w:p>
        </w:tc>
        <w:tc>
          <w:tcPr>
            <w:tcW w:w="1984" w:type="dxa"/>
            <w:tcBorders>
              <w:bottom w:val="single" w:sz="4" w:space="0" w:color="auto"/>
            </w:tcBorders>
          </w:tcPr>
          <w:p w14:paraId="0312FC7F" w14:textId="0E772BF2" w:rsidR="006E7F02" w:rsidRPr="00944C86" w:rsidRDefault="00DB36A3" w:rsidP="006E7F02">
            <w:pPr>
              <w:spacing w:line="276" w:lineRule="auto"/>
              <w:jc w:val="right"/>
              <w:rPr>
                <w:rFonts w:asciiTheme="minorHAnsi" w:hAnsiTheme="minorHAnsi" w:cstheme="minorHAnsi"/>
                <w:sz w:val="20"/>
                <w:szCs w:val="20"/>
              </w:rPr>
            </w:pPr>
            <w:r w:rsidRPr="00944C86">
              <w:rPr>
                <w:rFonts w:asciiTheme="minorHAnsi" w:hAnsiTheme="minorHAnsi" w:cstheme="minorHAnsi"/>
                <w:sz w:val="20"/>
                <w:szCs w:val="20"/>
              </w:rPr>
              <w:t>-</w:t>
            </w:r>
          </w:p>
        </w:tc>
        <w:tc>
          <w:tcPr>
            <w:tcW w:w="2127" w:type="dxa"/>
            <w:tcBorders>
              <w:bottom w:val="single" w:sz="4" w:space="0" w:color="auto"/>
            </w:tcBorders>
          </w:tcPr>
          <w:p w14:paraId="0312FC81" w14:textId="0CDD8F46" w:rsidR="006E7F02" w:rsidRPr="00944C86" w:rsidRDefault="006E7F02" w:rsidP="006E7F02">
            <w:pPr>
              <w:spacing w:line="276" w:lineRule="auto"/>
              <w:jc w:val="right"/>
              <w:rPr>
                <w:rFonts w:asciiTheme="minorHAnsi" w:hAnsiTheme="minorHAnsi" w:cstheme="minorHAnsi"/>
                <w:sz w:val="20"/>
                <w:szCs w:val="20"/>
              </w:rPr>
            </w:pPr>
            <w:r w:rsidRPr="00944C86">
              <w:rPr>
                <w:rFonts w:asciiTheme="minorHAnsi" w:hAnsiTheme="minorHAnsi" w:cstheme="minorHAnsi"/>
                <w:sz w:val="20"/>
                <w:szCs w:val="20"/>
              </w:rPr>
              <w:t>-</w:t>
            </w:r>
          </w:p>
        </w:tc>
      </w:tr>
      <w:tr w:rsidR="007C69AE" w:rsidRPr="00786C36" w14:paraId="4967D13B" w14:textId="77777777" w:rsidTr="007C69AE">
        <w:trPr>
          <w:trHeight w:val="64"/>
        </w:trPr>
        <w:tc>
          <w:tcPr>
            <w:tcW w:w="5528" w:type="dxa"/>
            <w:tcBorders>
              <w:right w:val="single" w:sz="4" w:space="0" w:color="auto"/>
            </w:tcBorders>
          </w:tcPr>
          <w:p w14:paraId="20B66D50" w14:textId="6EA0D954" w:rsidR="007C69AE" w:rsidRPr="00944C86" w:rsidRDefault="007C69AE" w:rsidP="000D6FDC">
            <w:pPr>
              <w:spacing w:line="276" w:lineRule="auto"/>
              <w:ind w:hanging="108"/>
              <w:rPr>
                <w:rFonts w:asciiTheme="minorHAnsi" w:hAnsiTheme="minorHAnsi" w:cstheme="minorHAnsi"/>
                <w:sz w:val="20"/>
                <w:szCs w:val="20"/>
              </w:rPr>
            </w:pPr>
            <w:r w:rsidRPr="00944C86">
              <w:rPr>
                <w:rFonts w:asciiTheme="minorHAnsi" w:hAnsiTheme="minorHAnsi" w:cstheme="minorHAnsi"/>
                <w:sz w:val="20"/>
                <w:szCs w:val="20"/>
              </w:rPr>
              <w:t>Total cash and cash equivalents</w:t>
            </w:r>
          </w:p>
        </w:tc>
        <w:tc>
          <w:tcPr>
            <w:tcW w:w="1984" w:type="dxa"/>
            <w:tcBorders>
              <w:top w:val="single" w:sz="4" w:space="0" w:color="auto"/>
              <w:left w:val="single" w:sz="4" w:space="0" w:color="auto"/>
              <w:bottom w:val="single" w:sz="4" w:space="0" w:color="auto"/>
            </w:tcBorders>
          </w:tcPr>
          <w:p w14:paraId="118C5D79" w14:textId="3FB0EAB1" w:rsidR="007C69AE" w:rsidRPr="00944C86" w:rsidRDefault="00567E04" w:rsidP="000D6FDC">
            <w:pPr>
              <w:spacing w:line="276" w:lineRule="auto"/>
              <w:jc w:val="right"/>
              <w:rPr>
                <w:rFonts w:asciiTheme="minorHAnsi" w:hAnsiTheme="minorHAnsi" w:cstheme="minorHAnsi"/>
                <w:sz w:val="20"/>
                <w:szCs w:val="20"/>
              </w:rPr>
            </w:pPr>
            <w:r>
              <w:rPr>
                <w:rFonts w:asciiTheme="minorHAnsi" w:hAnsiTheme="minorHAnsi" w:cstheme="minorHAnsi"/>
                <w:sz w:val="20"/>
                <w:szCs w:val="20"/>
              </w:rPr>
              <w:t>5</w:t>
            </w:r>
          </w:p>
        </w:tc>
        <w:tc>
          <w:tcPr>
            <w:tcW w:w="2127" w:type="dxa"/>
            <w:tcBorders>
              <w:top w:val="single" w:sz="4" w:space="0" w:color="auto"/>
              <w:bottom w:val="single" w:sz="4" w:space="0" w:color="auto"/>
              <w:right w:val="single" w:sz="4" w:space="0" w:color="auto"/>
            </w:tcBorders>
          </w:tcPr>
          <w:p w14:paraId="54653324" w14:textId="05F143E6" w:rsidR="007C69AE" w:rsidRPr="00944C86" w:rsidRDefault="006E3101" w:rsidP="00D74665">
            <w:pPr>
              <w:spacing w:line="276" w:lineRule="auto"/>
              <w:jc w:val="right"/>
              <w:rPr>
                <w:rFonts w:asciiTheme="minorHAnsi" w:hAnsiTheme="minorHAnsi" w:cstheme="minorHAnsi"/>
                <w:sz w:val="20"/>
                <w:szCs w:val="20"/>
              </w:rPr>
            </w:pPr>
            <w:r>
              <w:rPr>
                <w:rFonts w:asciiTheme="minorHAnsi" w:hAnsiTheme="minorHAnsi" w:cstheme="minorHAnsi"/>
                <w:sz w:val="20"/>
                <w:szCs w:val="20"/>
              </w:rPr>
              <w:t>50,929</w:t>
            </w:r>
          </w:p>
        </w:tc>
      </w:tr>
    </w:tbl>
    <w:p w14:paraId="2E7AE332" w14:textId="2B6B6EBE" w:rsidR="00802CA5" w:rsidRPr="00944C86" w:rsidRDefault="00802CA5" w:rsidP="00802CA5">
      <w:pPr>
        <w:tabs>
          <w:tab w:val="left" w:pos="4508"/>
        </w:tabs>
        <w:spacing w:before="120" w:line="276" w:lineRule="auto"/>
        <w:ind w:firstLine="567"/>
        <w:jc w:val="both"/>
        <w:rPr>
          <w:rFonts w:asciiTheme="minorHAnsi" w:hAnsiTheme="minorHAnsi" w:cstheme="minorHAnsi"/>
          <w:b/>
          <w:sz w:val="20"/>
          <w:szCs w:val="20"/>
        </w:rPr>
      </w:pPr>
      <w:r w:rsidRPr="00944C86">
        <w:rPr>
          <w:rFonts w:asciiTheme="minorHAnsi" w:hAnsiTheme="minorHAnsi" w:cstheme="minorHAnsi"/>
          <w:b/>
          <w:sz w:val="20"/>
          <w:szCs w:val="20"/>
        </w:rPr>
        <w:t>Company</w:t>
      </w:r>
    </w:p>
    <w:tbl>
      <w:tblPr>
        <w:tblW w:w="9639" w:type="dxa"/>
        <w:tblInd w:w="534" w:type="dxa"/>
        <w:tblLook w:val="00A0" w:firstRow="1" w:lastRow="0" w:firstColumn="1" w:lastColumn="0" w:noHBand="0" w:noVBand="0"/>
      </w:tblPr>
      <w:tblGrid>
        <w:gridCol w:w="5528"/>
        <w:gridCol w:w="1984"/>
        <w:gridCol w:w="2127"/>
      </w:tblGrid>
      <w:tr w:rsidR="00802CA5" w:rsidRPr="00944C86" w14:paraId="006A3A64" w14:textId="77777777" w:rsidTr="00B34D78">
        <w:tc>
          <w:tcPr>
            <w:tcW w:w="5528" w:type="dxa"/>
          </w:tcPr>
          <w:p w14:paraId="3B6AB7A0" w14:textId="77777777" w:rsidR="00802CA5" w:rsidRPr="00944C86" w:rsidRDefault="00802CA5" w:rsidP="00B34D78">
            <w:pPr>
              <w:spacing w:line="276" w:lineRule="auto"/>
              <w:jc w:val="right"/>
              <w:rPr>
                <w:rFonts w:asciiTheme="minorHAnsi" w:hAnsiTheme="minorHAnsi" w:cstheme="minorHAnsi"/>
                <w:b/>
                <w:sz w:val="20"/>
                <w:szCs w:val="20"/>
              </w:rPr>
            </w:pPr>
          </w:p>
        </w:tc>
        <w:tc>
          <w:tcPr>
            <w:tcW w:w="1984" w:type="dxa"/>
          </w:tcPr>
          <w:p w14:paraId="08135363" w14:textId="77777777" w:rsidR="00802CA5" w:rsidRPr="00944C86" w:rsidRDefault="00802CA5" w:rsidP="00B34D78">
            <w:pPr>
              <w:spacing w:line="276" w:lineRule="auto"/>
              <w:ind w:hanging="108"/>
              <w:jc w:val="right"/>
              <w:rPr>
                <w:rFonts w:asciiTheme="minorHAnsi" w:hAnsiTheme="minorHAnsi" w:cstheme="minorHAnsi"/>
                <w:b/>
                <w:sz w:val="20"/>
                <w:szCs w:val="20"/>
              </w:rPr>
            </w:pPr>
            <w:r w:rsidRPr="00944C86">
              <w:rPr>
                <w:rFonts w:asciiTheme="minorHAnsi" w:hAnsiTheme="minorHAnsi" w:cstheme="minorHAnsi"/>
                <w:b/>
                <w:sz w:val="20"/>
                <w:szCs w:val="20"/>
              </w:rPr>
              <w:t xml:space="preserve">30 June </w:t>
            </w:r>
          </w:p>
          <w:p w14:paraId="6872C3C5" w14:textId="40CAC657" w:rsidR="00802CA5" w:rsidRPr="00944C86" w:rsidRDefault="00802CA5" w:rsidP="00B34D78">
            <w:pPr>
              <w:spacing w:line="276" w:lineRule="auto"/>
              <w:ind w:hanging="108"/>
              <w:jc w:val="right"/>
              <w:rPr>
                <w:rFonts w:asciiTheme="minorHAnsi" w:hAnsiTheme="minorHAnsi" w:cstheme="minorHAnsi"/>
                <w:b/>
                <w:sz w:val="20"/>
                <w:szCs w:val="20"/>
              </w:rPr>
            </w:pPr>
            <w:r w:rsidRPr="00944C86">
              <w:rPr>
                <w:rFonts w:asciiTheme="minorHAnsi" w:hAnsiTheme="minorHAnsi" w:cstheme="minorHAnsi"/>
                <w:b/>
                <w:sz w:val="20"/>
                <w:szCs w:val="20"/>
              </w:rPr>
              <w:t>20</w:t>
            </w:r>
            <w:r w:rsidR="00B36861" w:rsidRPr="00944C86">
              <w:rPr>
                <w:rFonts w:asciiTheme="minorHAnsi" w:hAnsiTheme="minorHAnsi" w:cstheme="minorHAnsi"/>
                <w:b/>
                <w:sz w:val="20"/>
                <w:szCs w:val="20"/>
              </w:rPr>
              <w:t>2</w:t>
            </w:r>
            <w:r w:rsidR="006E3101">
              <w:rPr>
                <w:rFonts w:asciiTheme="minorHAnsi" w:hAnsiTheme="minorHAnsi" w:cstheme="minorHAnsi"/>
                <w:b/>
                <w:sz w:val="20"/>
                <w:szCs w:val="20"/>
              </w:rPr>
              <w:t>2</w:t>
            </w:r>
            <w:r w:rsidRPr="00944C86">
              <w:rPr>
                <w:rFonts w:asciiTheme="minorHAnsi" w:hAnsiTheme="minorHAnsi" w:cstheme="minorHAnsi"/>
                <w:b/>
                <w:sz w:val="20"/>
                <w:szCs w:val="20"/>
              </w:rPr>
              <w:br/>
              <w:t>£</w:t>
            </w:r>
          </w:p>
        </w:tc>
        <w:tc>
          <w:tcPr>
            <w:tcW w:w="2127" w:type="dxa"/>
          </w:tcPr>
          <w:p w14:paraId="15CD4F5C" w14:textId="15593998" w:rsidR="00802CA5" w:rsidRPr="00944C86" w:rsidRDefault="00802CA5" w:rsidP="00B34D78">
            <w:pPr>
              <w:spacing w:line="276" w:lineRule="auto"/>
              <w:jc w:val="right"/>
              <w:rPr>
                <w:rFonts w:asciiTheme="minorHAnsi" w:hAnsiTheme="minorHAnsi" w:cstheme="minorHAnsi"/>
                <w:b/>
                <w:sz w:val="20"/>
                <w:szCs w:val="20"/>
              </w:rPr>
            </w:pPr>
            <w:r w:rsidRPr="00944C86">
              <w:rPr>
                <w:rFonts w:asciiTheme="minorHAnsi" w:hAnsiTheme="minorHAnsi" w:cstheme="minorHAnsi"/>
                <w:b/>
                <w:sz w:val="20"/>
                <w:szCs w:val="20"/>
              </w:rPr>
              <w:t>3</w:t>
            </w:r>
            <w:r w:rsidR="00B36861" w:rsidRPr="00944C86">
              <w:rPr>
                <w:rFonts w:asciiTheme="minorHAnsi" w:hAnsiTheme="minorHAnsi" w:cstheme="minorHAnsi"/>
                <w:b/>
                <w:sz w:val="20"/>
                <w:szCs w:val="20"/>
              </w:rPr>
              <w:t>0 June</w:t>
            </w:r>
            <w:r w:rsidRPr="00944C86">
              <w:rPr>
                <w:rFonts w:asciiTheme="minorHAnsi" w:hAnsiTheme="minorHAnsi" w:cstheme="minorHAnsi"/>
                <w:b/>
                <w:sz w:val="20"/>
                <w:szCs w:val="20"/>
              </w:rPr>
              <w:br/>
              <w:t>20</w:t>
            </w:r>
            <w:r w:rsidR="006E7F02" w:rsidRPr="00944C86">
              <w:rPr>
                <w:rFonts w:asciiTheme="minorHAnsi" w:hAnsiTheme="minorHAnsi" w:cstheme="minorHAnsi"/>
                <w:b/>
                <w:sz w:val="20"/>
                <w:szCs w:val="20"/>
              </w:rPr>
              <w:t>2</w:t>
            </w:r>
            <w:r w:rsidR="006E3101">
              <w:rPr>
                <w:rFonts w:asciiTheme="minorHAnsi" w:hAnsiTheme="minorHAnsi" w:cstheme="minorHAnsi"/>
                <w:b/>
                <w:sz w:val="20"/>
                <w:szCs w:val="20"/>
              </w:rPr>
              <w:t>1</w:t>
            </w:r>
            <w:r w:rsidRPr="00944C86">
              <w:rPr>
                <w:rFonts w:asciiTheme="minorHAnsi" w:hAnsiTheme="minorHAnsi" w:cstheme="minorHAnsi"/>
                <w:b/>
                <w:sz w:val="20"/>
                <w:szCs w:val="20"/>
              </w:rPr>
              <w:br/>
              <w:t>£</w:t>
            </w:r>
          </w:p>
        </w:tc>
      </w:tr>
      <w:tr w:rsidR="00802CA5" w:rsidRPr="00944C86" w14:paraId="51B9C94B" w14:textId="77777777" w:rsidTr="00B34D78">
        <w:trPr>
          <w:trHeight w:val="258"/>
        </w:trPr>
        <w:tc>
          <w:tcPr>
            <w:tcW w:w="5528" w:type="dxa"/>
          </w:tcPr>
          <w:p w14:paraId="064ECA20" w14:textId="77777777" w:rsidR="00802CA5" w:rsidRPr="00944C86" w:rsidRDefault="00802CA5" w:rsidP="00B34D78">
            <w:pPr>
              <w:spacing w:line="276" w:lineRule="auto"/>
              <w:ind w:hanging="108"/>
              <w:rPr>
                <w:rFonts w:asciiTheme="minorHAnsi" w:hAnsiTheme="minorHAnsi" w:cstheme="minorHAnsi"/>
                <w:sz w:val="20"/>
                <w:szCs w:val="20"/>
              </w:rPr>
            </w:pPr>
            <w:r w:rsidRPr="00944C86">
              <w:rPr>
                <w:rFonts w:asciiTheme="minorHAnsi" w:hAnsiTheme="minorHAnsi" w:cstheme="minorHAnsi"/>
                <w:sz w:val="20"/>
                <w:szCs w:val="20"/>
              </w:rPr>
              <w:t>Cash at bank available on demand</w:t>
            </w:r>
          </w:p>
        </w:tc>
        <w:tc>
          <w:tcPr>
            <w:tcW w:w="1984" w:type="dxa"/>
          </w:tcPr>
          <w:p w14:paraId="17ACDF28" w14:textId="071B7BCE" w:rsidR="00802CA5" w:rsidRPr="00944C86" w:rsidRDefault="00676BF7" w:rsidP="00B34D78">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2127" w:type="dxa"/>
          </w:tcPr>
          <w:p w14:paraId="5DF9C2FA" w14:textId="11A1AA75" w:rsidR="00802CA5" w:rsidRPr="00944C86" w:rsidRDefault="00322D4F" w:rsidP="00B34D78">
            <w:pPr>
              <w:spacing w:line="276" w:lineRule="auto"/>
              <w:jc w:val="right"/>
              <w:rPr>
                <w:rFonts w:asciiTheme="minorHAnsi" w:hAnsiTheme="minorHAnsi" w:cstheme="minorHAnsi"/>
                <w:sz w:val="20"/>
                <w:szCs w:val="20"/>
              </w:rPr>
            </w:pPr>
            <w:r>
              <w:rPr>
                <w:rFonts w:asciiTheme="minorHAnsi" w:hAnsiTheme="minorHAnsi" w:cstheme="minorHAnsi"/>
                <w:sz w:val="20"/>
                <w:szCs w:val="20"/>
              </w:rPr>
              <w:t>838</w:t>
            </w:r>
          </w:p>
        </w:tc>
      </w:tr>
      <w:tr w:rsidR="00802CA5" w:rsidRPr="00786C36" w14:paraId="7C3CB24B" w14:textId="77777777" w:rsidTr="00B34D78">
        <w:trPr>
          <w:trHeight w:val="64"/>
        </w:trPr>
        <w:tc>
          <w:tcPr>
            <w:tcW w:w="5528" w:type="dxa"/>
            <w:tcBorders>
              <w:right w:val="single" w:sz="4" w:space="0" w:color="auto"/>
            </w:tcBorders>
          </w:tcPr>
          <w:p w14:paraId="776CA042" w14:textId="77777777" w:rsidR="00802CA5" w:rsidRPr="00944C86" w:rsidRDefault="00802CA5" w:rsidP="003256A6">
            <w:pPr>
              <w:spacing w:line="276" w:lineRule="auto"/>
              <w:ind w:hanging="108"/>
              <w:rPr>
                <w:rFonts w:asciiTheme="minorHAnsi" w:hAnsiTheme="minorHAnsi" w:cstheme="minorHAnsi"/>
                <w:sz w:val="20"/>
                <w:szCs w:val="20"/>
              </w:rPr>
            </w:pPr>
            <w:r w:rsidRPr="00944C86">
              <w:rPr>
                <w:rFonts w:asciiTheme="minorHAnsi" w:hAnsiTheme="minorHAnsi" w:cstheme="minorHAnsi"/>
                <w:sz w:val="20"/>
                <w:szCs w:val="20"/>
              </w:rPr>
              <w:t>Total cash and cash equivalents</w:t>
            </w:r>
          </w:p>
        </w:tc>
        <w:tc>
          <w:tcPr>
            <w:tcW w:w="1984" w:type="dxa"/>
            <w:tcBorders>
              <w:top w:val="single" w:sz="4" w:space="0" w:color="auto"/>
              <w:left w:val="single" w:sz="4" w:space="0" w:color="auto"/>
              <w:bottom w:val="single" w:sz="4" w:space="0" w:color="auto"/>
            </w:tcBorders>
          </w:tcPr>
          <w:p w14:paraId="1D4D00A9" w14:textId="6036A575" w:rsidR="00802CA5" w:rsidRPr="00944C86" w:rsidRDefault="00676BF7" w:rsidP="003256A6">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2127" w:type="dxa"/>
            <w:tcBorders>
              <w:top w:val="single" w:sz="4" w:space="0" w:color="auto"/>
              <w:bottom w:val="single" w:sz="4" w:space="0" w:color="auto"/>
              <w:right w:val="single" w:sz="4" w:space="0" w:color="auto"/>
            </w:tcBorders>
          </w:tcPr>
          <w:p w14:paraId="2E1F278A" w14:textId="5B8B2FEA" w:rsidR="00802CA5" w:rsidRPr="00944C86" w:rsidRDefault="00322D4F" w:rsidP="003256A6">
            <w:pPr>
              <w:spacing w:line="276" w:lineRule="auto"/>
              <w:jc w:val="right"/>
              <w:rPr>
                <w:rFonts w:asciiTheme="minorHAnsi" w:hAnsiTheme="minorHAnsi" w:cstheme="minorHAnsi"/>
                <w:sz w:val="20"/>
                <w:szCs w:val="20"/>
              </w:rPr>
            </w:pPr>
            <w:r>
              <w:rPr>
                <w:rFonts w:asciiTheme="minorHAnsi" w:hAnsiTheme="minorHAnsi" w:cstheme="minorHAnsi"/>
                <w:sz w:val="20"/>
                <w:szCs w:val="20"/>
              </w:rPr>
              <w:t>838</w:t>
            </w:r>
          </w:p>
        </w:tc>
      </w:tr>
    </w:tbl>
    <w:p w14:paraId="48422943" w14:textId="5F3C73DF" w:rsidR="003256A6" w:rsidRDefault="003256A6" w:rsidP="003256A6">
      <w:pPr>
        <w:pStyle w:val="ListParagraph"/>
        <w:keepNext/>
        <w:spacing w:line="276" w:lineRule="auto"/>
        <w:ind w:left="567"/>
        <w:contextualSpacing w:val="0"/>
        <w:jc w:val="both"/>
        <w:rPr>
          <w:rFonts w:asciiTheme="minorHAnsi" w:hAnsiTheme="minorHAnsi" w:cstheme="minorHAnsi"/>
          <w:b/>
          <w:sz w:val="20"/>
          <w:szCs w:val="20"/>
          <w:highlight w:val="yellow"/>
        </w:rPr>
      </w:pPr>
    </w:p>
    <w:p w14:paraId="745F4CB1" w14:textId="7F3EC7AC" w:rsidR="003256A6" w:rsidRDefault="003256A6" w:rsidP="003256A6">
      <w:pPr>
        <w:pStyle w:val="ListParagraph"/>
        <w:widowControl w:val="0"/>
        <w:spacing w:line="276" w:lineRule="auto"/>
        <w:ind w:left="567"/>
        <w:contextualSpacing w:val="0"/>
        <w:jc w:val="both"/>
        <w:rPr>
          <w:rFonts w:asciiTheme="minorHAnsi" w:hAnsiTheme="minorHAnsi" w:cstheme="minorHAnsi"/>
          <w:b/>
          <w:sz w:val="20"/>
          <w:szCs w:val="20"/>
          <w:highlight w:val="yellow"/>
        </w:rPr>
      </w:pPr>
    </w:p>
    <w:p w14:paraId="267F17FC" w14:textId="74C7D3D1" w:rsidR="003256A6" w:rsidRDefault="003256A6" w:rsidP="003256A6">
      <w:pPr>
        <w:pStyle w:val="ListParagraph"/>
        <w:widowControl w:val="0"/>
        <w:spacing w:line="276" w:lineRule="auto"/>
        <w:ind w:left="567"/>
        <w:contextualSpacing w:val="0"/>
        <w:jc w:val="both"/>
        <w:rPr>
          <w:rFonts w:asciiTheme="minorHAnsi" w:hAnsiTheme="minorHAnsi" w:cstheme="minorHAnsi"/>
          <w:b/>
          <w:sz w:val="20"/>
          <w:szCs w:val="20"/>
          <w:highlight w:val="yellow"/>
        </w:rPr>
      </w:pPr>
    </w:p>
    <w:p w14:paraId="3115FEC0" w14:textId="33DACF1D" w:rsidR="003256A6" w:rsidRDefault="003256A6" w:rsidP="003256A6">
      <w:pPr>
        <w:pStyle w:val="ListParagraph"/>
        <w:widowControl w:val="0"/>
        <w:spacing w:line="276" w:lineRule="auto"/>
        <w:ind w:left="567"/>
        <w:contextualSpacing w:val="0"/>
        <w:jc w:val="both"/>
        <w:rPr>
          <w:rFonts w:asciiTheme="minorHAnsi" w:hAnsiTheme="minorHAnsi" w:cstheme="minorHAnsi"/>
          <w:b/>
          <w:sz w:val="20"/>
          <w:szCs w:val="20"/>
          <w:highlight w:val="yellow"/>
        </w:rPr>
      </w:pPr>
    </w:p>
    <w:p w14:paraId="6C484A53" w14:textId="2C58343C" w:rsidR="003256A6" w:rsidRDefault="003256A6" w:rsidP="003256A6">
      <w:pPr>
        <w:pStyle w:val="ListParagraph"/>
        <w:widowControl w:val="0"/>
        <w:spacing w:line="276" w:lineRule="auto"/>
        <w:ind w:left="567"/>
        <w:contextualSpacing w:val="0"/>
        <w:jc w:val="both"/>
        <w:rPr>
          <w:rFonts w:asciiTheme="minorHAnsi" w:hAnsiTheme="minorHAnsi" w:cstheme="minorHAnsi"/>
          <w:b/>
          <w:sz w:val="20"/>
          <w:szCs w:val="20"/>
          <w:highlight w:val="yellow"/>
        </w:rPr>
      </w:pPr>
    </w:p>
    <w:p w14:paraId="4ED8B2CB" w14:textId="09E2BBBA" w:rsidR="003256A6" w:rsidRDefault="003256A6" w:rsidP="003256A6">
      <w:pPr>
        <w:pStyle w:val="ListParagraph"/>
        <w:widowControl w:val="0"/>
        <w:spacing w:line="276" w:lineRule="auto"/>
        <w:ind w:left="567"/>
        <w:contextualSpacing w:val="0"/>
        <w:jc w:val="both"/>
        <w:rPr>
          <w:rFonts w:asciiTheme="minorHAnsi" w:hAnsiTheme="minorHAnsi" w:cstheme="minorHAnsi"/>
          <w:b/>
          <w:sz w:val="20"/>
          <w:szCs w:val="20"/>
          <w:highlight w:val="yellow"/>
        </w:rPr>
      </w:pPr>
    </w:p>
    <w:p w14:paraId="5A487E60" w14:textId="07E40F54" w:rsidR="003256A6" w:rsidRDefault="003256A6" w:rsidP="003256A6">
      <w:pPr>
        <w:pStyle w:val="ListParagraph"/>
        <w:widowControl w:val="0"/>
        <w:spacing w:line="276" w:lineRule="auto"/>
        <w:ind w:left="567"/>
        <w:contextualSpacing w:val="0"/>
        <w:jc w:val="both"/>
        <w:rPr>
          <w:rFonts w:asciiTheme="minorHAnsi" w:hAnsiTheme="minorHAnsi" w:cstheme="minorHAnsi"/>
          <w:b/>
          <w:sz w:val="20"/>
          <w:szCs w:val="20"/>
          <w:highlight w:val="yellow"/>
        </w:rPr>
      </w:pPr>
    </w:p>
    <w:p w14:paraId="532CBFC3" w14:textId="77777777" w:rsidR="003256A6" w:rsidRDefault="003256A6" w:rsidP="003256A6">
      <w:pPr>
        <w:pStyle w:val="ListParagraph"/>
        <w:widowControl w:val="0"/>
        <w:spacing w:line="276" w:lineRule="auto"/>
        <w:ind w:left="567"/>
        <w:contextualSpacing w:val="0"/>
        <w:jc w:val="both"/>
        <w:rPr>
          <w:rFonts w:asciiTheme="minorHAnsi" w:hAnsiTheme="minorHAnsi" w:cstheme="minorHAnsi"/>
          <w:b/>
          <w:sz w:val="20"/>
          <w:szCs w:val="20"/>
          <w:highlight w:val="yellow"/>
        </w:rPr>
      </w:pPr>
    </w:p>
    <w:p w14:paraId="78BB6E7D" w14:textId="7FFDADD5" w:rsidR="00CA5549" w:rsidRPr="003256A6" w:rsidRDefault="003256A6" w:rsidP="003256A6">
      <w:pPr>
        <w:pStyle w:val="ListParagraph"/>
        <w:widowControl w:val="0"/>
        <w:numPr>
          <w:ilvl w:val="0"/>
          <w:numId w:val="51"/>
        </w:numPr>
        <w:ind w:left="567" w:hanging="425"/>
        <w:contextualSpacing w:val="0"/>
        <w:jc w:val="both"/>
        <w:rPr>
          <w:rFonts w:asciiTheme="minorHAnsi" w:hAnsiTheme="minorHAnsi" w:cstheme="minorHAnsi"/>
          <w:b/>
          <w:sz w:val="20"/>
        </w:rPr>
      </w:pPr>
      <w:r>
        <w:rPr>
          <w:rFonts w:asciiTheme="minorHAnsi" w:hAnsiTheme="minorHAnsi" w:cstheme="minorHAnsi"/>
          <w:b/>
          <w:sz w:val="20"/>
        </w:rPr>
        <w:lastRenderedPageBreak/>
        <w:t>Share Capital</w:t>
      </w: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1134"/>
        <w:gridCol w:w="2126"/>
        <w:gridCol w:w="1560"/>
      </w:tblGrid>
      <w:tr w:rsidR="00593686" w:rsidRPr="0059350D" w14:paraId="7CCCFFD7" w14:textId="77777777" w:rsidTr="00B27610">
        <w:tc>
          <w:tcPr>
            <w:tcW w:w="3402" w:type="dxa"/>
          </w:tcPr>
          <w:p w14:paraId="731FE530" w14:textId="77777777" w:rsidR="00BE76F7" w:rsidRPr="0059350D" w:rsidRDefault="00BE76F7" w:rsidP="003256A6">
            <w:pPr>
              <w:pStyle w:val="ListParagraph"/>
              <w:widowControl w:val="0"/>
              <w:tabs>
                <w:tab w:val="left" w:pos="709"/>
              </w:tabs>
              <w:spacing w:line="276" w:lineRule="auto"/>
              <w:ind w:left="0"/>
              <w:contextualSpacing w:val="0"/>
              <w:jc w:val="both"/>
              <w:rPr>
                <w:rFonts w:asciiTheme="minorHAnsi" w:hAnsiTheme="minorHAnsi" w:cstheme="minorHAnsi"/>
                <w:b/>
                <w:sz w:val="20"/>
                <w:szCs w:val="20"/>
              </w:rPr>
            </w:pPr>
          </w:p>
        </w:tc>
        <w:tc>
          <w:tcPr>
            <w:tcW w:w="2835" w:type="dxa"/>
            <w:gridSpan w:val="2"/>
          </w:tcPr>
          <w:p w14:paraId="29A8669D" w14:textId="2B60819D" w:rsidR="00BE76F7" w:rsidRPr="0059350D" w:rsidRDefault="00E40D30" w:rsidP="003256A6">
            <w:pPr>
              <w:pStyle w:val="ListParagraph"/>
              <w:widowControl w:val="0"/>
              <w:tabs>
                <w:tab w:val="left" w:pos="709"/>
              </w:tabs>
              <w:spacing w:line="276" w:lineRule="auto"/>
              <w:ind w:left="0"/>
              <w:contextualSpacing w:val="0"/>
              <w:jc w:val="center"/>
              <w:rPr>
                <w:rFonts w:asciiTheme="minorHAnsi" w:hAnsiTheme="minorHAnsi" w:cstheme="minorHAnsi"/>
                <w:b/>
                <w:sz w:val="20"/>
                <w:szCs w:val="20"/>
              </w:rPr>
            </w:pPr>
            <w:r>
              <w:rPr>
                <w:rFonts w:asciiTheme="minorHAnsi" w:hAnsiTheme="minorHAnsi" w:cstheme="minorHAnsi"/>
                <w:b/>
                <w:sz w:val="20"/>
                <w:szCs w:val="20"/>
              </w:rPr>
              <w:t xml:space="preserve">                   </w:t>
            </w:r>
            <w:r w:rsidR="00BE76F7" w:rsidRPr="0059350D">
              <w:rPr>
                <w:rFonts w:asciiTheme="minorHAnsi" w:hAnsiTheme="minorHAnsi" w:cstheme="minorHAnsi"/>
                <w:b/>
                <w:sz w:val="20"/>
                <w:szCs w:val="20"/>
              </w:rPr>
              <w:t>30 June 20</w:t>
            </w:r>
            <w:r w:rsidR="00B36861" w:rsidRPr="0059350D">
              <w:rPr>
                <w:rFonts w:asciiTheme="minorHAnsi" w:hAnsiTheme="minorHAnsi" w:cstheme="minorHAnsi"/>
                <w:b/>
                <w:sz w:val="20"/>
                <w:szCs w:val="20"/>
              </w:rPr>
              <w:t>2</w:t>
            </w:r>
            <w:r w:rsidR="00FA4D43">
              <w:rPr>
                <w:rFonts w:asciiTheme="minorHAnsi" w:hAnsiTheme="minorHAnsi" w:cstheme="minorHAnsi"/>
                <w:b/>
                <w:sz w:val="20"/>
                <w:szCs w:val="20"/>
              </w:rPr>
              <w:t>2</w:t>
            </w:r>
          </w:p>
        </w:tc>
        <w:tc>
          <w:tcPr>
            <w:tcW w:w="3686" w:type="dxa"/>
            <w:gridSpan w:val="2"/>
          </w:tcPr>
          <w:p w14:paraId="3C755865" w14:textId="43C5ED5A" w:rsidR="00BE76F7" w:rsidRPr="0059350D" w:rsidRDefault="00E40D30" w:rsidP="003256A6">
            <w:pPr>
              <w:pStyle w:val="ListParagraph"/>
              <w:widowControl w:val="0"/>
              <w:tabs>
                <w:tab w:val="left" w:pos="709"/>
              </w:tabs>
              <w:spacing w:line="276" w:lineRule="auto"/>
              <w:ind w:left="0"/>
              <w:contextualSpacing w:val="0"/>
              <w:jc w:val="center"/>
              <w:rPr>
                <w:rFonts w:asciiTheme="minorHAnsi" w:hAnsiTheme="minorHAnsi" w:cstheme="minorHAnsi"/>
                <w:b/>
                <w:sz w:val="20"/>
                <w:szCs w:val="20"/>
              </w:rPr>
            </w:pPr>
            <w:r>
              <w:rPr>
                <w:rFonts w:asciiTheme="minorHAnsi" w:hAnsiTheme="minorHAnsi" w:cstheme="minorHAnsi"/>
                <w:b/>
                <w:sz w:val="20"/>
                <w:szCs w:val="20"/>
              </w:rPr>
              <w:t xml:space="preserve">                         </w:t>
            </w:r>
            <w:r w:rsidR="00BE76F7" w:rsidRPr="0059350D">
              <w:rPr>
                <w:rFonts w:asciiTheme="minorHAnsi" w:hAnsiTheme="minorHAnsi" w:cstheme="minorHAnsi"/>
                <w:b/>
                <w:sz w:val="20"/>
                <w:szCs w:val="20"/>
              </w:rPr>
              <w:t>3</w:t>
            </w:r>
            <w:r w:rsidR="00B36861" w:rsidRPr="0059350D">
              <w:rPr>
                <w:rFonts w:asciiTheme="minorHAnsi" w:hAnsiTheme="minorHAnsi" w:cstheme="minorHAnsi"/>
                <w:b/>
                <w:sz w:val="20"/>
                <w:szCs w:val="20"/>
              </w:rPr>
              <w:t>0 June 20</w:t>
            </w:r>
            <w:r w:rsidR="006E7F02" w:rsidRPr="0059350D">
              <w:rPr>
                <w:rFonts w:asciiTheme="minorHAnsi" w:hAnsiTheme="minorHAnsi" w:cstheme="minorHAnsi"/>
                <w:b/>
                <w:sz w:val="20"/>
                <w:szCs w:val="20"/>
              </w:rPr>
              <w:t>2</w:t>
            </w:r>
            <w:r w:rsidR="00FA4D43">
              <w:rPr>
                <w:rFonts w:asciiTheme="minorHAnsi" w:hAnsiTheme="minorHAnsi" w:cstheme="minorHAnsi"/>
                <w:b/>
                <w:sz w:val="20"/>
                <w:szCs w:val="20"/>
              </w:rPr>
              <w:t>1</w:t>
            </w:r>
          </w:p>
        </w:tc>
      </w:tr>
      <w:tr w:rsidR="00593686" w:rsidRPr="0059350D" w14:paraId="6D0B9837" w14:textId="77777777" w:rsidTr="00B27610">
        <w:tc>
          <w:tcPr>
            <w:tcW w:w="3402" w:type="dxa"/>
          </w:tcPr>
          <w:p w14:paraId="5F7FE38C" w14:textId="77777777" w:rsidR="00BE76F7" w:rsidRPr="0059350D" w:rsidRDefault="00BE76F7" w:rsidP="00B411F6">
            <w:pPr>
              <w:pStyle w:val="ListParagraph"/>
              <w:widowControl w:val="0"/>
              <w:tabs>
                <w:tab w:val="left" w:pos="709"/>
              </w:tabs>
              <w:spacing w:line="276" w:lineRule="auto"/>
              <w:ind w:left="0"/>
              <w:contextualSpacing w:val="0"/>
              <w:jc w:val="both"/>
              <w:rPr>
                <w:rFonts w:asciiTheme="minorHAnsi" w:hAnsiTheme="minorHAnsi" w:cstheme="minorHAnsi"/>
                <w:b/>
                <w:sz w:val="20"/>
                <w:szCs w:val="20"/>
              </w:rPr>
            </w:pPr>
          </w:p>
        </w:tc>
        <w:tc>
          <w:tcPr>
            <w:tcW w:w="1701" w:type="dxa"/>
          </w:tcPr>
          <w:p w14:paraId="48496938" w14:textId="77777777" w:rsidR="00BE76F7" w:rsidRPr="0059350D" w:rsidRDefault="00BE76F7" w:rsidP="00B411F6">
            <w:pPr>
              <w:pStyle w:val="ListParagraph"/>
              <w:widowControl w:val="0"/>
              <w:tabs>
                <w:tab w:val="left" w:pos="709"/>
              </w:tabs>
              <w:spacing w:line="276" w:lineRule="auto"/>
              <w:ind w:left="0"/>
              <w:contextualSpacing w:val="0"/>
              <w:jc w:val="right"/>
              <w:rPr>
                <w:rFonts w:asciiTheme="minorHAnsi" w:hAnsiTheme="minorHAnsi" w:cstheme="minorHAnsi"/>
                <w:b/>
                <w:sz w:val="20"/>
                <w:szCs w:val="20"/>
              </w:rPr>
            </w:pPr>
            <w:r w:rsidRPr="0059350D">
              <w:rPr>
                <w:rFonts w:asciiTheme="minorHAnsi" w:hAnsiTheme="minorHAnsi" w:cstheme="minorHAnsi"/>
                <w:b/>
                <w:sz w:val="20"/>
                <w:szCs w:val="20"/>
              </w:rPr>
              <w:t>Number</w:t>
            </w:r>
          </w:p>
        </w:tc>
        <w:tc>
          <w:tcPr>
            <w:tcW w:w="1134" w:type="dxa"/>
          </w:tcPr>
          <w:p w14:paraId="435670BF" w14:textId="77777777" w:rsidR="00BE76F7" w:rsidRPr="0059350D" w:rsidRDefault="00BE76F7" w:rsidP="00B411F6">
            <w:pPr>
              <w:widowControl w:val="0"/>
              <w:spacing w:line="276" w:lineRule="auto"/>
              <w:jc w:val="right"/>
              <w:rPr>
                <w:rFonts w:asciiTheme="minorHAnsi" w:hAnsiTheme="minorHAnsi" w:cstheme="minorHAnsi"/>
                <w:b/>
                <w:sz w:val="20"/>
                <w:szCs w:val="20"/>
              </w:rPr>
            </w:pPr>
            <w:r w:rsidRPr="0059350D">
              <w:rPr>
                <w:rFonts w:asciiTheme="minorHAnsi" w:hAnsiTheme="minorHAnsi" w:cstheme="minorHAnsi"/>
                <w:b/>
                <w:sz w:val="20"/>
                <w:szCs w:val="20"/>
              </w:rPr>
              <w:t>£</w:t>
            </w:r>
          </w:p>
        </w:tc>
        <w:tc>
          <w:tcPr>
            <w:tcW w:w="2126" w:type="dxa"/>
          </w:tcPr>
          <w:p w14:paraId="66301C56" w14:textId="77777777" w:rsidR="00BE76F7" w:rsidRPr="0059350D" w:rsidRDefault="00BE76F7" w:rsidP="00B411F6">
            <w:pPr>
              <w:widowControl w:val="0"/>
              <w:spacing w:line="276" w:lineRule="auto"/>
              <w:jc w:val="right"/>
              <w:rPr>
                <w:rFonts w:asciiTheme="minorHAnsi" w:hAnsiTheme="minorHAnsi" w:cstheme="minorHAnsi"/>
                <w:b/>
                <w:sz w:val="20"/>
                <w:szCs w:val="20"/>
              </w:rPr>
            </w:pPr>
            <w:r w:rsidRPr="0059350D">
              <w:rPr>
                <w:rFonts w:asciiTheme="minorHAnsi" w:hAnsiTheme="minorHAnsi" w:cstheme="minorHAnsi"/>
                <w:b/>
                <w:sz w:val="20"/>
                <w:szCs w:val="20"/>
              </w:rPr>
              <w:t>Number</w:t>
            </w:r>
          </w:p>
        </w:tc>
        <w:tc>
          <w:tcPr>
            <w:tcW w:w="1560" w:type="dxa"/>
          </w:tcPr>
          <w:p w14:paraId="5EBBFDFC" w14:textId="77777777" w:rsidR="00BE76F7" w:rsidRPr="0059350D" w:rsidRDefault="00BE76F7" w:rsidP="00B411F6">
            <w:pPr>
              <w:widowControl w:val="0"/>
              <w:spacing w:line="276" w:lineRule="auto"/>
              <w:ind w:hanging="108"/>
              <w:jc w:val="right"/>
              <w:rPr>
                <w:rFonts w:asciiTheme="minorHAnsi" w:hAnsiTheme="minorHAnsi" w:cstheme="minorHAnsi"/>
                <w:b/>
                <w:sz w:val="20"/>
                <w:szCs w:val="20"/>
              </w:rPr>
            </w:pPr>
            <w:r w:rsidRPr="0059350D">
              <w:rPr>
                <w:rFonts w:asciiTheme="minorHAnsi" w:hAnsiTheme="minorHAnsi" w:cstheme="minorHAnsi"/>
                <w:b/>
                <w:sz w:val="20"/>
                <w:szCs w:val="20"/>
              </w:rPr>
              <w:t>£</w:t>
            </w:r>
          </w:p>
        </w:tc>
      </w:tr>
      <w:tr w:rsidR="00593686" w:rsidRPr="0059350D" w14:paraId="552F4C9E" w14:textId="77777777" w:rsidTr="00B27610">
        <w:tc>
          <w:tcPr>
            <w:tcW w:w="3402" w:type="dxa"/>
          </w:tcPr>
          <w:p w14:paraId="70DB76DB" w14:textId="77777777" w:rsidR="00BE76F7" w:rsidRPr="0059350D" w:rsidRDefault="00BE76F7" w:rsidP="00E40D30">
            <w:pPr>
              <w:pStyle w:val="ListParagraph"/>
              <w:widowControl w:val="0"/>
              <w:tabs>
                <w:tab w:val="left" w:pos="709"/>
              </w:tabs>
              <w:spacing w:line="276" w:lineRule="auto"/>
              <w:ind w:left="0" w:firstLine="37"/>
              <w:contextualSpacing w:val="0"/>
              <w:jc w:val="both"/>
              <w:rPr>
                <w:rFonts w:asciiTheme="minorHAnsi" w:hAnsiTheme="minorHAnsi" w:cstheme="minorHAnsi"/>
                <w:b/>
                <w:sz w:val="20"/>
                <w:szCs w:val="20"/>
              </w:rPr>
            </w:pPr>
            <w:r w:rsidRPr="0059350D">
              <w:rPr>
                <w:rFonts w:asciiTheme="minorHAnsi" w:hAnsiTheme="minorHAnsi" w:cstheme="minorHAnsi"/>
                <w:b/>
                <w:sz w:val="20"/>
                <w:szCs w:val="20"/>
              </w:rPr>
              <w:t>Authorised, allotted and fully paid – classified as equity</w:t>
            </w:r>
          </w:p>
        </w:tc>
        <w:tc>
          <w:tcPr>
            <w:tcW w:w="1701" w:type="dxa"/>
          </w:tcPr>
          <w:p w14:paraId="2E6B9995" w14:textId="77777777" w:rsidR="00BE76F7" w:rsidRPr="0059350D" w:rsidRDefault="00BE76F7" w:rsidP="00B411F6">
            <w:pPr>
              <w:pStyle w:val="ListParagraph"/>
              <w:widowControl w:val="0"/>
              <w:tabs>
                <w:tab w:val="left" w:pos="709"/>
              </w:tabs>
              <w:spacing w:line="276" w:lineRule="auto"/>
              <w:ind w:left="0"/>
              <w:contextualSpacing w:val="0"/>
              <w:jc w:val="both"/>
              <w:rPr>
                <w:rFonts w:asciiTheme="minorHAnsi" w:hAnsiTheme="minorHAnsi" w:cstheme="minorHAnsi"/>
                <w:sz w:val="20"/>
                <w:szCs w:val="20"/>
              </w:rPr>
            </w:pPr>
          </w:p>
        </w:tc>
        <w:tc>
          <w:tcPr>
            <w:tcW w:w="1134" w:type="dxa"/>
            <w:vAlign w:val="bottom"/>
          </w:tcPr>
          <w:p w14:paraId="70EFC3DD" w14:textId="77777777" w:rsidR="00BE76F7" w:rsidRPr="0059350D" w:rsidRDefault="00BE76F7" w:rsidP="00B411F6">
            <w:pPr>
              <w:widowControl w:val="0"/>
              <w:spacing w:line="276" w:lineRule="auto"/>
              <w:jc w:val="right"/>
              <w:rPr>
                <w:rFonts w:asciiTheme="minorHAnsi" w:hAnsiTheme="minorHAnsi" w:cstheme="minorHAnsi"/>
                <w:sz w:val="20"/>
                <w:szCs w:val="20"/>
              </w:rPr>
            </w:pPr>
          </w:p>
        </w:tc>
        <w:tc>
          <w:tcPr>
            <w:tcW w:w="2126" w:type="dxa"/>
          </w:tcPr>
          <w:p w14:paraId="3939F437" w14:textId="77777777" w:rsidR="00BE76F7" w:rsidRPr="0059350D" w:rsidRDefault="00BE76F7" w:rsidP="00593686">
            <w:pPr>
              <w:widowControl w:val="0"/>
              <w:tabs>
                <w:tab w:val="left" w:pos="1877"/>
              </w:tabs>
              <w:spacing w:line="276" w:lineRule="auto"/>
              <w:ind w:left="1871"/>
              <w:jc w:val="right"/>
              <w:rPr>
                <w:rFonts w:asciiTheme="minorHAnsi" w:hAnsiTheme="minorHAnsi" w:cstheme="minorHAnsi"/>
                <w:sz w:val="20"/>
                <w:szCs w:val="20"/>
              </w:rPr>
            </w:pPr>
          </w:p>
        </w:tc>
        <w:tc>
          <w:tcPr>
            <w:tcW w:w="1560" w:type="dxa"/>
            <w:vAlign w:val="bottom"/>
          </w:tcPr>
          <w:p w14:paraId="7F5AB06D" w14:textId="77777777" w:rsidR="00BE76F7" w:rsidRPr="0059350D" w:rsidRDefault="00BE76F7" w:rsidP="00B411F6">
            <w:pPr>
              <w:widowControl w:val="0"/>
              <w:spacing w:line="276" w:lineRule="auto"/>
              <w:jc w:val="right"/>
              <w:rPr>
                <w:rFonts w:asciiTheme="minorHAnsi" w:hAnsiTheme="minorHAnsi" w:cstheme="minorHAnsi"/>
                <w:sz w:val="20"/>
                <w:szCs w:val="20"/>
              </w:rPr>
            </w:pPr>
          </w:p>
        </w:tc>
      </w:tr>
      <w:tr w:rsidR="006E7F02" w:rsidRPr="0059350D" w14:paraId="04456075" w14:textId="77777777" w:rsidTr="00B27610">
        <w:tc>
          <w:tcPr>
            <w:tcW w:w="3402" w:type="dxa"/>
          </w:tcPr>
          <w:p w14:paraId="573F21E0" w14:textId="30F1CE86" w:rsidR="006E7F02" w:rsidRPr="0059350D" w:rsidRDefault="006E7F02" w:rsidP="006E7F02">
            <w:pPr>
              <w:pStyle w:val="ListParagraph"/>
              <w:widowControl w:val="0"/>
              <w:tabs>
                <w:tab w:val="left" w:pos="709"/>
              </w:tabs>
              <w:spacing w:line="276" w:lineRule="auto"/>
              <w:ind w:left="0"/>
              <w:contextualSpacing w:val="0"/>
              <w:jc w:val="both"/>
              <w:rPr>
                <w:rFonts w:asciiTheme="minorHAnsi" w:hAnsiTheme="minorHAnsi" w:cstheme="minorHAnsi"/>
                <w:sz w:val="20"/>
                <w:szCs w:val="20"/>
              </w:rPr>
            </w:pPr>
            <w:r w:rsidRPr="0059350D">
              <w:rPr>
                <w:rFonts w:asciiTheme="minorHAnsi" w:hAnsiTheme="minorHAnsi" w:cstheme="minorHAnsi"/>
                <w:sz w:val="20"/>
                <w:szCs w:val="20"/>
              </w:rPr>
              <w:t>Ordinary shares of £0.00001 each</w:t>
            </w:r>
          </w:p>
        </w:tc>
        <w:tc>
          <w:tcPr>
            <w:tcW w:w="1701" w:type="dxa"/>
          </w:tcPr>
          <w:p w14:paraId="2C03704F" w14:textId="4E22CA27" w:rsidR="006E7F02" w:rsidRPr="0059350D" w:rsidRDefault="005F755E" w:rsidP="006E7F02">
            <w:pPr>
              <w:pStyle w:val="ListParagraph"/>
              <w:widowControl w:val="0"/>
              <w:tabs>
                <w:tab w:val="left" w:pos="709"/>
              </w:tabs>
              <w:spacing w:line="276" w:lineRule="auto"/>
              <w:ind w:left="0"/>
              <w:contextualSpacing w:val="0"/>
              <w:jc w:val="right"/>
              <w:rPr>
                <w:rFonts w:asciiTheme="minorHAnsi" w:hAnsiTheme="minorHAnsi" w:cstheme="minorHAnsi"/>
                <w:sz w:val="20"/>
                <w:szCs w:val="20"/>
              </w:rPr>
            </w:pPr>
            <w:r>
              <w:rPr>
                <w:rFonts w:asciiTheme="minorHAnsi" w:hAnsiTheme="minorHAnsi" w:cstheme="minorHAnsi"/>
                <w:sz w:val="20"/>
                <w:szCs w:val="20"/>
              </w:rPr>
              <w:t>37,4</w:t>
            </w:r>
            <w:r w:rsidR="00567E04">
              <w:rPr>
                <w:rFonts w:asciiTheme="minorHAnsi" w:hAnsiTheme="minorHAnsi" w:cstheme="minorHAnsi"/>
                <w:sz w:val="20"/>
                <w:szCs w:val="20"/>
              </w:rPr>
              <w:t>0</w:t>
            </w:r>
            <w:r>
              <w:rPr>
                <w:rFonts w:asciiTheme="minorHAnsi" w:hAnsiTheme="minorHAnsi" w:cstheme="minorHAnsi"/>
                <w:sz w:val="20"/>
                <w:szCs w:val="20"/>
              </w:rPr>
              <w:t>5,2</w:t>
            </w:r>
            <w:r w:rsidR="00E40D30">
              <w:rPr>
                <w:rFonts w:asciiTheme="minorHAnsi" w:hAnsiTheme="minorHAnsi" w:cstheme="minorHAnsi"/>
                <w:sz w:val="20"/>
                <w:szCs w:val="20"/>
              </w:rPr>
              <w:t>48,039</w:t>
            </w:r>
          </w:p>
        </w:tc>
        <w:tc>
          <w:tcPr>
            <w:tcW w:w="1134" w:type="dxa"/>
            <w:vAlign w:val="bottom"/>
          </w:tcPr>
          <w:p w14:paraId="1AF849B0" w14:textId="52A4132D" w:rsidR="006E7F02" w:rsidRPr="0059350D" w:rsidRDefault="005F755E" w:rsidP="006E7F02">
            <w:pPr>
              <w:widowControl w:val="0"/>
              <w:spacing w:line="276" w:lineRule="auto"/>
              <w:jc w:val="right"/>
              <w:rPr>
                <w:rFonts w:asciiTheme="minorHAnsi" w:hAnsiTheme="minorHAnsi" w:cstheme="minorHAnsi"/>
                <w:sz w:val="20"/>
                <w:szCs w:val="20"/>
              </w:rPr>
            </w:pPr>
            <w:r>
              <w:rPr>
                <w:rFonts w:asciiTheme="minorHAnsi" w:hAnsiTheme="minorHAnsi" w:cstheme="minorHAnsi"/>
                <w:sz w:val="20"/>
                <w:szCs w:val="20"/>
              </w:rPr>
              <w:t>374,</w:t>
            </w:r>
            <w:r w:rsidR="00567E04">
              <w:rPr>
                <w:rFonts w:asciiTheme="minorHAnsi" w:hAnsiTheme="minorHAnsi" w:cstheme="minorHAnsi"/>
                <w:sz w:val="20"/>
                <w:szCs w:val="20"/>
              </w:rPr>
              <w:t>0</w:t>
            </w:r>
            <w:r>
              <w:rPr>
                <w:rFonts w:asciiTheme="minorHAnsi" w:hAnsiTheme="minorHAnsi" w:cstheme="minorHAnsi"/>
                <w:sz w:val="20"/>
                <w:szCs w:val="20"/>
              </w:rPr>
              <w:t>52</w:t>
            </w:r>
          </w:p>
        </w:tc>
        <w:tc>
          <w:tcPr>
            <w:tcW w:w="2126" w:type="dxa"/>
          </w:tcPr>
          <w:p w14:paraId="422FA740" w14:textId="30EA4700" w:rsidR="006E7F02" w:rsidRPr="0059350D" w:rsidRDefault="00FA4D43" w:rsidP="006E7F02">
            <w:pPr>
              <w:widowControl w:val="0"/>
              <w:spacing w:line="276" w:lineRule="auto"/>
              <w:ind w:left="318"/>
              <w:jc w:val="right"/>
              <w:rPr>
                <w:rFonts w:asciiTheme="minorHAnsi" w:hAnsiTheme="minorHAnsi" w:cstheme="minorHAnsi"/>
                <w:sz w:val="20"/>
                <w:szCs w:val="20"/>
              </w:rPr>
            </w:pPr>
            <w:r>
              <w:rPr>
                <w:rFonts w:asciiTheme="minorHAnsi" w:hAnsiTheme="minorHAnsi" w:cstheme="minorHAnsi"/>
                <w:sz w:val="20"/>
                <w:szCs w:val="20"/>
              </w:rPr>
              <w:t>37,4</w:t>
            </w:r>
            <w:r w:rsidR="00567E04">
              <w:rPr>
                <w:rFonts w:asciiTheme="minorHAnsi" w:hAnsiTheme="minorHAnsi" w:cstheme="minorHAnsi"/>
                <w:sz w:val="20"/>
                <w:szCs w:val="20"/>
              </w:rPr>
              <w:t>0</w:t>
            </w:r>
            <w:r>
              <w:rPr>
                <w:rFonts w:asciiTheme="minorHAnsi" w:hAnsiTheme="minorHAnsi" w:cstheme="minorHAnsi"/>
                <w:sz w:val="20"/>
                <w:szCs w:val="20"/>
              </w:rPr>
              <w:t>5,24</w:t>
            </w:r>
            <w:r w:rsidR="00576A6A">
              <w:rPr>
                <w:rFonts w:asciiTheme="minorHAnsi" w:hAnsiTheme="minorHAnsi" w:cstheme="minorHAnsi"/>
                <w:sz w:val="20"/>
                <w:szCs w:val="20"/>
              </w:rPr>
              <w:t>8</w:t>
            </w:r>
            <w:r>
              <w:rPr>
                <w:rFonts w:asciiTheme="minorHAnsi" w:hAnsiTheme="minorHAnsi" w:cstheme="minorHAnsi"/>
                <w:sz w:val="20"/>
                <w:szCs w:val="20"/>
              </w:rPr>
              <w:t>,0</w:t>
            </w:r>
            <w:r w:rsidR="009855F7">
              <w:rPr>
                <w:rFonts w:asciiTheme="minorHAnsi" w:hAnsiTheme="minorHAnsi" w:cstheme="minorHAnsi"/>
                <w:sz w:val="20"/>
                <w:szCs w:val="20"/>
              </w:rPr>
              <w:t>39</w:t>
            </w:r>
          </w:p>
        </w:tc>
        <w:tc>
          <w:tcPr>
            <w:tcW w:w="1560" w:type="dxa"/>
            <w:vAlign w:val="bottom"/>
          </w:tcPr>
          <w:p w14:paraId="39301293" w14:textId="43CBAC2F" w:rsidR="006E7F02" w:rsidRPr="0059350D" w:rsidRDefault="00FA4D43" w:rsidP="006E7F02">
            <w:pPr>
              <w:widowControl w:val="0"/>
              <w:spacing w:line="276" w:lineRule="auto"/>
              <w:jc w:val="right"/>
              <w:rPr>
                <w:rFonts w:asciiTheme="minorHAnsi" w:hAnsiTheme="minorHAnsi" w:cstheme="minorHAnsi"/>
                <w:sz w:val="20"/>
                <w:szCs w:val="20"/>
              </w:rPr>
            </w:pPr>
            <w:r>
              <w:rPr>
                <w:rFonts w:asciiTheme="minorHAnsi" w:hAnsiTheme="minorHAnsi" w:cstheme="minorHAnsi"/>
                <w:sz w:val="20"/>
                <w:szCs w:val="20"/>
              </w:rPr>
              <w:t>374,</w:t>
            </w:r>
            <w:r w:rsidR="00567E04">
              <w:rPr>
                <w:rFonts w:asciiTheme="minorHAnsi" w:hAnsiTheme="minorHAnsi" w:cstheme="minorHAnsi"/>
                <w:sz w:val="20"/>
                <w:szCs w:val="20"/>
              </w:rPr>
              <w:t>0</w:t>
            </w:r>
            <w:r>
              <w:rPr>
                <w:rFonts w:asciiTheme="minorHAnsi" w:hAnsiTheme="minorHAnsi" w:cstheme="minorHAnsi"/>
                <w:sz w:val="20"/>
                <w:szCs w:val="20"/>
              </w:rPr>
              <w:t>52</w:t>
            </w:r>
          </w:p>
        </w:tc>
      </w:tr>
      <w:tr w:rsidR="006E7F02" w:rsidRPr="0059350D" w14:paraId="780AEB7A" w14:textId="77777777" w:rsidTr="00B27610">
        <w:tc>
          <w:tcPr>
            <w:tcW w:w="3402" w:type="dxa"/>
          </w:tcPr>
          <w:p w14:paraId="42EB87FF" w14:textId="5F937A82" w:rsidR="006E7F02" w:rsidRPr="0059350D" w:rsidRDefault="006E7F02" w:rsidP="006E7F02">
            <w:pPr>
              <w:pStyle w:val="ListParagraph"/>
              <w:widowControl w:val="0"/>
              <w:tabs>
                <w:tab w:val="left" w:pos="709"/>
              </w:tabs>
              <w:spacing w:line="276" w:lineRule="auto"/>
              <w:ind w:left="0"/>
              <w:contextualSpacing w:val="0"/>
              <w:jc w:val="both"/>
              <w:rPr>
                <w:rFonts w:asciiTheme="minorHAnsi" w:hAnsiTheme="minorHAnsi" w:cstheme="minorHAnsi"/>
                <w:sz w:val="20"/>
                <w:szCs w:val="20"/>
              </w:rPr>
            </w:pPr>
            <w:r w:rsidRPr="0059350D">
              <w:rPr>
                <w:rFonts w:asciiTheme="minorHAnsi" w:hAnsiTheme="minorHAnsi" w:cstheme="minorHAnsi"/>
                <w:sz w:val="20"/>
                <w:szCs w:val="20"/>
              </w:rPr>
              <w:t>Deferred shares of £0.00249 each</w:t>
            </w:r>
          </w:p>
        </w:tc>
        <w:tc>
          <w:tcPr>
            <w:tcW w:w="1701" w:type="dxa"/>
            <w:tcBorders>
              <w:bottom w:val="single" w:sz="4" w:space="0" w:color="auto"/>
            </w:tcBorders>
          </w:tcPr>
          <w:p w14:paraId="60CD17A7" w14:textId="23465227" w:rsidR="006E7F02" w:rsidRPr="0059350D" w:rsidRDefault="005F755E" w:rsidP="006E7F02">
            <w:pPr>
              <w:pStyle w:val="ListParagraph"/>
              <w:widowControl w:val="0"/>
              <w:tabs>
                <w:tab w:val="left" w:pos="709"/>
              </w:tabs>
              <w:spacing w:line="276" w:lineRule="auto"/>
              <w:ind w:left="0"/>
              <w:contextualSpacing w:val="0"/>
              <w:jc w:val="right"/>
              <w:rPr>
                <w:rFonts w:asciiTheme="minorHAnsi" w:hAnsiTheme="minorHAnsi" w:cstheme="minorHAnsi"/>
                <w:sz w:val="20"/>
                <w:szCs w:val="20"/>
              </w:rPr>
            </w:pPr>
            <w:r>
              <w:rPr>
                <w:rFonts w:asciiTheme="minorHAnsi" w:hAnsiTheme="minorHAnsi" w:cstheme="minorHAnsi"/>
                <w:sz w:val="20"/>
                <w:szCs w:val="20"/>
              </w:rPr>
              <w:t>1,637,129,90</w:t>
            </w:r>
            <w:r w:rsidR="003F124B">
              <w:rPr>
                <w:rFonts w:asciiTheme="minorHAnsi" w:hAnsiTheme="minorHAnsi" w:cstheme="minorHAnsi"/>
                <w:sz w:val="20"/>
                <w:szCs w:val="20"/>
              </w:rPr>
              <w:t>5</w:t>
            </w:r>
          </w:p>
        </w:tc>
        <w:tc>
          <w:tcPr>
            <w:tcW w:w="1134" w:type="dxa"/>
            <w:tcBorders>
              <w:bottom w:val="single" w:sz="4" w:space="0" w:color="auto"/>
            </w:tcBorders>
            <w:vAlign w:val="bottom"/>
          </w:tcPr>
          <w:p w14:paraId="37114F97" w14:textId="6F3D704C" w:rsidR="006E7F02" w:rsidRPr="0059350D" w:rsidRDefault="005F755E" w:rsidP="006E7F02">
            <w:pPr>
              <w:widowControl w:val="0"/>
              <w:spacing w:line="276" w:lineRule="auto"/>
              <w:jc w:val="right"/>
              <w:rPr>
                <w:rFonts w:asciiTheme="minorHAnsi" w:hAnsiTheme="minorHAnsi" w:cstheme="minorHAnsi"/>
                <w:sz w:val="20"/>
                <w:szCs w:val="20"/>
              </w:rPr>
            </w:pPr>
            <w:r>
              <w:rPr>
                <w:rFonts w:asciiTheme="minorHAnsi" w:hAnsiTheme="minorHAnsi" w:cstheme="minorHAnsi"/>
                <w:sz w:val="20"/>
                <w:szCs w:val="20"/>
              </w:rPr>
              <w:t>4,076,454</w:t>
            </w:r>
          </w:p>
        </w:tc>
        <w:tc>
          <w:tcPr>
            <w:tcW w:w="2126" w:type="dxa"/>
            <w:tcBorders>
              <w:bottom w:val="single" w:sz="4" w:space="0" w:color="auto"/>
            </w:tcBorders>
          </w:tcPr>
          <w:p w14:paraId="2E27193E" w14:textId="5BCA59FD" w:rsidR="006E7F02" w:rsidRPr="0059350D" w:rsidRDefault="006E7F02" w:rsidP="006E7F02">
            <w:pPr>
              <w:widowControl w:val="0"/>
              <w:spacing w:line="276" w:lineRule="auto"/>
              <w:ind w:left="318"/>
              <w:jc w:val="right"/>
              <w:rPr>
                <w:rFonts w:asciiTheme="minorHAnsi" w:hAnsiTheme="minorHAnsi" w:cstheme="minorHAnsi"/>
                <w:sz w:val="20"/>
                <w:szCs w:val="20"/>
              </w:rPr>
            </w:pPr>
            <w:r w:rsidRPr="0059350D">
              <w:rPr>
                <w:rFonts w:asciiTheme="minorHAnsi" w:hAnsiTheme="minorHAnsi" w:cstheme="minorHAnsi"/>
                <w:sz w:val="20"/>
                <w:szCs w:val="20"/>
              </w:rPr>
              <w:t>1,637,129,90</w:t>
            </w:r>
            <w:r w:rsidR="003F124B">
              <w:rPr>
                <w:rFonts w:asciiTheme="minorHAnsi" w:hAnsiTheme="minorHAnsi" w:cstheme="minorHAnsi"/>
                <w:sz w:val="20"/>
                <w:szCs w:val="20"/>
              </w:rPr>
              <w:t>5</w:t>
            </w:r>
          </w:p>
        </w:tc>
        <w:tc>
          <w:tcPr>
            <w:tcW w:w="1560" w:type="dxa"/>
            <w:tcBorders>
              <w:bottom w:val="single" w:sz="4" w:space="0" w:color="auto"/>
            </w:tcBorders>
            <w:vAlign w:val="bottom"/>
          </w:tcPr>
          <w:p w14:paraId="2D001AA5" w14:textId="62561A6A" w:rsidR="006E7F02" w:rsidRPr="0059350D" w:rsidRDefault="006E7F02" w:rsidP="006E7F02">
            <w:pPr>
              <w:widowControl w:val="0"/>
              <w:spacing w:line="276" w:lineRule="auto"/>
              <w:jc w:val="right"/>
              <w:rPr>
                <w:rFonts w:asciiTheme="minorHAnsi" w:hAnsiTheme="minorHAnsi" w:cstheme="minorHAnsi"/>
                <w:sz w:val="20"/>
                <w:szCs w:val="20"/>
              </w:rPr>
            </w:pPr>
            <w:r w:rsidRPr="0059350D">
              <w:rPr>
                <w:rFonts w:asciiTheme="minorHAnsi" w:hAnsiTheme="minorHAnsi" w:cstheme="minorHAnsi"/>
                <w:sz w:val="20"/>
                <w:szCs w:val="20"/>
              </w:rPr>
              <w:t>4,076,454</w:t>
            </w:r>
          </w:p>
        </w:tc>
      </w:tr>
      <w:tr w:rsidR="00B27610" w:rsidRPr="00786C36" w14:paraId="48C07A5A" w14:textId="77777777" w:rsidTr="00B27610">
        <w:tc>
          <w:tcPr>
            <w:tcW w:w="3402" w:type="dxa"/>
            <w:tcBorders>
              <w:right w:val="single" w:sz="4" w:space="0" w:color="auto"/>
            </w:tcBorders>
          </w:tcPr>
          <w:p w14:paraId="4D9A0267" w14:textId="77777777" w:rsidR="00B27610" w:rsidRPr="0059350D" w:rsidRDefault="00B27610" w:rsidP="00B27610">
            <w:pPr>
              <w:pStyle w:val="ListParagraph"/>
              <w:widowControl w:val="0"/>
              <w:tabs>
                <w:tab w:val="left" w:pos="709"/>
              </w:tabs>
              <w:spacing w:line="276" w:lineRule="auto"/>
              <w:ind w:left="0"/>
              <w:contextualSpacing w:val="0"/>
              <w:jc w:val="both"/>
              <w:rPr>
                <w:rFonts w:asciiTheme="minorHAnsi" w:hAnsiTheme="minorHAnsi" w:cstheme="minorHAnsi"/>
                <w:b/>
                <w:sz w:val="20"/>
                <w:szCs w:val="20"/>
              </w:rPr>
            </w:pPr>
            <w:r w:rsidRPr="0059350D">
              <w:rPr>
                <w:rFonts w:asciiTheme="minorHAnsi" w:hAnsiTheme="minorHAnsi" w:cstheme="minorHAnsi"/>
                <w:b/>
                <w:sz w:val="20"/>
                <w:szCs w:val="20"/>
              </w:rPr>
              <w:t>Total</w:t>
            </w:r>
          </w:p>
        </w:tc>
        <w:tc>
          <w:tcPr>
            <w:tcW w:w="1701" w:type="dxa"/>
            <w:tcBorders>
              <w:top w:val="single" w:sz="4" w:space="0" w:color="auto"/>
              <w:left w:val="single" w:sz="4" w:space="0" w:color="auto"/>
              <w:bottom w:val="single" w:sz="4" w:space="0" w:color="auto"/>
            </w:tcBorders>
          </w:tcPr>
          <w:p w14:paraId="285B15B1" w14:textId="63FB9A15" w:rsidR="00B27610" w:rsidRPr="0059350D" w:rsidRDefault="00027D1D" w:rsidP="00B27610">
            <w:pPr>
              <w:pStyle w:val="ListParagraph"/>
              <w:widowControl w:val="0"/>
              <w:tabs>
                <w:tab w:val="left" w:pos="709"/>
              </w:tabs>
              <w:spacing w:line="276" w:lineRule="auto"/>
              <w:ind w:left="0"/>
              <w:contextualSpacing w:val="0"/>
              <w:jc w:val="right"/>
              <w:rPr>
                <w:rFonts w:asciiTheme="minorHAnsi" w:hAnsiTheme="minorHAnsi" w:cstheme="minorHAnsi"/>
                <w:b/>
                <w:sz w:val="20"/>
                <w:szCs w:val="20"/>
              </w:rPr>
            </w:pPr>
            <w:r w:rsidRPr="0059350D">
              <w:rPr>
                <w:rFonts w:asciiTheme="minorHAnsi" w:hAnsiTheme="minorHAnsi" w:cstheme="minorHAnsi"/>
                <w:b/>
                <w:sz w:val="20"/>
                <w:szCs w:val="20"/>
              </w:rPr>
              <w:t>39</w:t>
            </w:r>
            <w:r w:rsidR="006724CD" w:rsidRPr="0059350D">
              <w:rPr>
                <w:rFonts w:asciiTheme="minorHAnsi" w:hAnsiTheme="minorHAnsi" w:cstheme="minorHAnsi"/>
                <w:b/>
                <w:sz w:val="20"/>
                <w:szCs w:val="20"/>
              </w:rPr>
              <w:t>,</w:t>
            </w:r>
            <w:r w:rsidRPr="0059350D">
              <w:rPr>
                <w:rFonts w:asciiTheme="minorHAnsi" w:hAnsiTheme="minorHAnsi" w:cstheme="minorHAnsi"/>
                <w:b/>
                <w:sz w:val="20"/>
                <w:szCs w:val="20"/>
              </w:rPr>
              <w:t>0</w:t>
            </w:r>
            <w:r w:rsidR="00567E04">
              <w:rPr>
                <w:rFonts w:asciiTheme="minorHAnsi" w:hAnsiTheme="minorHAnsi" w:cstheme="minorHAnsi"/>
                <w:b/>
                <w:sz w:val="20"/>
                <w:szCs w:val="20"/>
              </w:rPr>
              <w:t>4</w:t>
            </w:r>
            <w:r w:rsidRPr="0059350D">
              <w:rPr>
                <w:rFonts w:asciiTheme="minorHAnsi" w:hAnsiTheme="minorHAnsi" w:cstheme="minorHAnsi"/>
                <w:b/>
                <w:sz w:val="20"/>
                <w:szCs w:val="20"/>
              </w:rPr>
              <w:t>2</w:t>
            </w:r>
            <w:r w:rsidR="006724CD" w:rsidRPr="0059350D">
              <w:rPr>
                <w:rFonts w:asciiTheme="minorHAnsi" w:hAnsiTheme="minorHAnsi" w:cstheme="minorHAnsi"/>
                <w:b/>
                <w:sz w:val="20"/>
                <w:szCs w:val="20"/>
              </w:rPr>
              <w:t>,</w:t>
            </w:r>
            <w:r w:rsidRPr="0059350D">
              <w:rPr>
                <w:rFonts w:asciiTheme="minorHAnsi" w:hAnsiTheme="minorHAnsi" w:cstheme="minorHAnsi"/>
                <w:b/>
                <w:sz w:val="20"/>
                <w:szCs w:val="20"/>
              </w:rPr>
              <w:t>37</w:t>
            </w:r>
            <w:r w:rsidR="003F124B">
              <w:rPr>
                <w:rFonts w:asciiTheme="minorHAnsi" w:hAnsiTheme="minorHAnsi" w:cstheme="minorHAnsi"/>
                <w:b/>
                <w:sz w:val="20"/>
                <w:szCs w:val="20"/>
              </w:rPr>
              <w:t>7</w:t>
            </w:r>
            <w:r w:rsidR="006724CD" w:rsidRPr="0059350D">
              <w:rPr>
                <w:rFonts w:asciiTheme="minorHAnsi" w:hAnsiTheme="minorHAnsi" w:cstheme="minorHAnsi"/>
                <w:b/>
                <w:sz w:val="20"/>
                <w:szCs w:val="20"/>
              </w:rPr>
              <w:t>,</w:t>
            </w:r>
            <w:r w:rsidRPr="0059350D">
              <w:rPr>
                <w:rFonts w:asciiTheme="minorHAnsi" w:hAnsiTheme="minorHAnsi" w:cstheme="minorHAnsi"/>
                <w:b/>
                <w:sz w:val="20"/>
                <w:szCs w:val="20"/>
              </w:rPr>
              <w:t>9</w:t>
            </w:r>
            <w:r w:rsidR="006724CD" w:rsidRPr="0059350D">
              <w:rPr>
                <w:rFonts w:asciiTheme="minorHAnsi" w:hAnsiTheme="minorHAnsi" w:cstheme="minorHAnsi"/>
                <w:b/>
                <w:sz w:val="20"/>
                <w:szCs w:val="20"/>
              </w:rPr>
              <w:t>4</w:t>
            </w:r>
            <w:r w:rsidR="003F124B">
              <w:rPr>
                <w:rFonts w:asciiTheme="minorHAnsi" w:hAnsiTheme="minorHAnsi" w:cstheme="minorHAnsi"/>
                <w:b/>
                <w:sz w:val="20"/>
                <w:szCs w:val="20"/>
              </w:rPr>
              <w:t>4</w:t>
            </w:r>
          </w:p>
        </w:tc>
        <w:tc>
          <w:tcPr>
            <w:tcW w:w="1134" w:type="dxa"/>
            <w:tcBorders>
              <w:top w:val="single" w:sz="4" w:space="0" w:color="auto"/>
              <w:bottom w:val="single" w:sz="4" w:space="0" w:color="auto"/>
            </w:tcBorders>
          </w:tcPr>
          <w:p w14:paraId="495BECD6" w14:textId="0A6893F3" w:rsidR="00B27610" w:rsidRPr="0059350D" w:rsidRDefault="00B01F9B" w:rsidP="00B27610">
            <w:pPr>
              <w:widowControl w:val="0"/>
              <w:spacing w:line="276" w:lineRule="auto"/>
              <w:jc w:val="right"/>
              <w:rPr>
                <w:rFonts w:asciiTheme="minorHAnsi" w:hAnsiTheme="minorHAnsi" w:cstheme="minorHAnsi"/>
                <w:b/>
                <w:sz w:val="20"/>
                <w:szCs w:val="20"/>
              </w:rPr>
            </w:pPr>
            <w:r w:rsidRPr="0059350D">
              <w:rPr>
                <w:rFonts w:asciiTheme="minorHAnsi" w:hAnsiTheme="minorHAnsi" w:cstheme="minorHAnsi"/>
                <w:b/>
                <w:sz w:val="20"/>
                <w:szCs w:val="20"/>
              </w:rPr>
              <w:t>4,450,</w:t>
            </w:r>
            <w:r w:rsidR="00567E04">
              <w:rPr>
                <w:rFonts w:asciiTheme="minorHAnsi" w:hAnsiTheme="minorHAnsi" w:cstheme="minorHAnsi"/>
                <w:b/>
                <w:sz w:val="20"/>
                <w:szCs w:val="20"/>
              </w:rPr>
              <w:t>5</w:t>
            </w:r>
            <w:r w:rsidRPr="0059350D">
              <w:rPr>
                <w:rFonts w:asciiTheme="minorHAnsi" w:hAnsiTheme="minorHAnsi" w:cstheme="minorHAnsi"/>
                <w:b/>
                <w:sz w:val="20"/>
                <w:szCs w:val="20"/>
              </w:rPr>
              <w:t>0</w:t>
            </w:r>
            <w:r w:rsidR="00027D1D" w:rsidRPr="0059350D">
              <w:rPr>
                <w:rFonts w:asciiTheme="minorHAnsi" w:hAnsiTheme="minorHAnsi" w:cstheme="minorHAnsi"/>
                <w:b/>
                <w:sz w:val="20"/>
                <w:szCs w:val="20"/>
              </w:rPr>
              <w:t>6</w:t>
            </w:r>
          </w:p>
        </w:tc>
        <w:tc>
          <w:tcPr>
            <w:tcW w:w="2126" w:type="dxa"/>
            <w:tcBorders>
              <w:top w:val="single" w:sz="4" w:space="0" w:color="auto"/>
              <w:bottom w:val="single" w:sz="4" w:space="0" w:color="auto"/>
            </w:tcBorders>
          </w:tcPr>
          <w:p w14:paraId="669996CC" w14:textId="4652FBA8" w:rsidR="00B27610" w:rsidRPr="0059350D" w:rsidRDefault="00FA4D43" w:rsidP="00B27610">
            <w:pPr>
              <w:widowControl w:val="0"/>
              <w:tabs>
                <w:tab w:val="left" w:pos="318"/>
              </w:tabs>
              <w:spacing w:line="276" w:lineRule="auto"/>
              <w:ind w:left="318"/>
              <w:jc w:val="right"/>
              <w:rPr>
                <w:rFonts w:asciiTheme="minorHAnsi" w:hAnsiTheme="minorHAnsi" w:cstheme="minorHAnsi"/>
                <w:sz w:val="20"/>
                <w:szCs w:val="20"/>
              </w:rPr>
            </w:pPr>
            <w:r>
              <w:rPr>
                <w:rFonts w:asciiTheme="minorHAnsi" w:hAnsiTheme="minorHAnsi" w:cstheme="minorHAnsi"/>
                <w:b/>
                <w:sz w:val="20"/>
                <w:szCs w:val="20"/>
              </w:rPr>
              <w:t>39,0</w:t>
            </w:r>
            <w:r w:rsidR="00567E04">
              <w:rPr>
                <w:rFonts w:asciiTheme="minorHAnsi" w:hAnsiTheme="minorHAnsi" w:cstheme="minorHAnsi"/>
                <w:b/>
                <w:sz w:val="20"/>
                <w:szCs w:val="20"/>
              </w:rPr>
              <w:t>4</w:t>
            </w:r>
            <w:r>
              <w:rPr>
                <w:rFonts w:asciiTheme="minorHAnsi" w:hAnsiTheme="minorHAnsi" w:cstheme="minorHAnsi"/>
                <w:b/>
                <w:sz w:val="20"/>
                <w:szCs w:val="20"/>
              </w:rPr>
              <w:t>2,37</w:t>
            </w:r>
            <w:r w:rsidR="009855F7">
              <w:rPr>
                <w:rFonts w:asciiTheme="minorHAnsi" w:hAnsiTheme="minorHAnsi" w:cstheme="minorHAnsi"/>
                <w:b/>
                <w:sz w:val="20"/>
                <w:szCs w:val="20"/>
              </w:rPr>
              <w:t>7</w:t>
            </w:r>
            <w:r>
              <w:rPr>
                <w:rFonts w:asciiTheme="minorHAnsi" w:hAnsiTheme="minorHAnsi" w:cstheme="minorHAnsi"/>
                <w:b/>
                <w:sz w:val="20"/>
                <w:szCs w:val="20"/>
              </w:rPr>
              <w:t>,9</w:t>
            </w:r>
            <w:r w:rsidR="009855F7">
              <w:rPr>
                <w:rFonts w:asciiTheme="minorHAnsi" w:hAnsiTheme="minorHAnsi" w:cstheme="minorHAnsi"/>
                <w:b/>
                <w:sz w:val="20"/>
                <w:szCs w:val="20"/>
              </w:rPr>
              <w:t>4</w:t>
            </w:r>
            <w:r w:rsidR="003F124B">
              <w:rPr>
                <w:rFonts w:asciiTheme="minorHAnsi" w:hAnsiTheme="minorHAnsi" w:cstheme="minorHAnsi"/>
                <w:b/>
                <w:sz w:val="20"/>
                <w:szCs w:val="20"/>
              </w:rPr>
              <w:t>4</w:t>
            </w:r>
          </w:p>
        </w:tc>
        <w:tc>
          <w:tcPr>
            <w:tcW w:w="1560" w:type="dxa"/>
            <w:tcBorders>
              <w:top w:val="single" w:sz="4" w:space="0" w:color="auto"/>
              <w:bottom w:val="single" w:sz="4" w:space="0" w:color="auto"/>
              <w:right w:val="single" w:sz="4" w:space="0" w:color="auto"/>
            </w:tcBorders>
          </w:tcPr>
          <w:p w14:paraId="2D3AEDC5" w14:textId="0EE88F10" w:rsidR="00B27610" w:rsidRPr="0059350D" w:rsidRDefault="00B27610" w:rsidP="00B27610">
            <w:pPr>
              <w:widowControl w:val="0"/>
              <w:spacing w:line="276" w:lineRule="auto"/>
              <w:jc w:val="right"/>
              <w:rPr>
                <w:rFonts w:asciiTheme="minorHAnsi" w:hAnsiTheme="minorHAnsi" w:cstheme="minorHAnsi"/>
                <w:sz w:val="20"/>
                <w:szCs w:val="20"/>
              </w:rPr>
            </w:pPr>
            <w:r w:rsidRPr="0059350D">
              <w:rPr>
                <w:rFonts w:asciiTheme="minorHAnsi" w:hAnsiTheme="minorHAnsi" w:cstheme="minorHAnsi"/>
                <w:b/>
                <w:sz w:val="20"/>
                <w:szCs w:val="20"/>
              </w:rPr>
              <w:t>4,</w:t>
            </w:r>
            <w:r w:rsidR="00FA4D43">
              <w:rPr>
                <w:rFonts w:asciiTheme="minorHAnsi" w:hAnsiTheme="minorHAnsi" w:cstheme="minorHAnsi"/>
                <w:b/>
                <w:sz w:val="20"/>
                <w:szCs w:val="20"/>
              </w:rPr>
              <w:t>450,</w:t>
            </w:r>
            <w:r w:rsidR="00567E04">
              <w:rPr>
                <w:rFonts w:asciiTheme="minorHAnsi" w:hAnsiTheme="minorHAnsi" w:cstheme="minorHAnsi"/>
                <w:b/>
                <w:sz w:val="20"/>
                <w:szCs w:val="20"/>
              </w:rPr>
              <w:t>5</w:t>
            </w:r>
            <w:r w:rsidR="00FA4D43">
              <w:rPr>
                <w:rFonts w:asciiTheme="minorHAnsi" w:hAnsiTheme="minorHAnsi" w:cstheme="minorHAnsi"/>
                <w:b/>
                <w:sz w:val="20"/>
                <w:szCs w:val="20"/>
              </w:rPr>
              <w:t>06</w:t>
            </w:r>
          </w:p>
        </w:tc>
      </w:tr>
    </w:tbl>
    <w:p w14:paraId="6818D867" w14:textId="77777777" w:rsidR="003256A6" w:rsidRDefault="003256A6" w:rsidP="00622D86">
      <w:pPr>
        <w:widowControl w:val="0"/>
        <w:spacing w:before="120" w:line="240" w:lineRule="exact"/>
        <w:ind w:firstLine="567"/>
        <w:jc w:val="both"/>
        <w:rPr>
          <w:rFonts w:asciiTheme="minorHAnsi" w:hAnsiTheme="minorHAnsi" w:cstheme="minorHAnsi"/>
          <w:sz w:val="20"/>
          <w:szCs w:val="20"/>
        </w:rPr>
      </w:pPr>
    </w:p>
    <w:p w14:paraId="04F95667" w14:textId="6FA355A0" w:rsidR="00E40D30" w:rsidRDefault="00E40D30" w:rsidP="00622D86">
      <w:pPr>
        <w:widowControl w:val="0"/>
        <w:spacing w:before="120" w:line="240" w:lineRule="exact"/>
        <w:ind w:firstLine="567"/>
        <w:jc w:val="both"/>
        <w:rPr>
          <w:rFonts w:asciiTheme="minorHAnsi" w:hAnsiTheme="minorHAnsi" w:cstheme="minorHAnsi"/>
          <w:sz w:val="20"/>
          <w:szCs w:val="20"/>
          <w:highlight w:val="yellow"/>
        </w:rPr>
      </w:pPr>
      <w:r>
        <w:rPr>
          <w:rFonts w:asciiTheme="minorHAnsi" w:hAnsiTheme="minorHAnsi" w:cstheme="minorHAnsi"/>
          <w:sz w:val="20"/>
          <w:szCs w:val="20"/>
        </w:rPr>
        <w:t>At 30 June 2021 and 30 June 2022, the company had 37,405,248,039 Ordinary shares of £0.00001 in issue.</w:t>
      </w:r>
    </w:p>
    <w:p w14:paraId="0C791656" w14:textId="1B2F69C4" w:rsidR="0053710A" w:rsidRPr="00E40D30" w:rsidRDefault="00BE76F7" w:rsidP="00622D86">
      <w:pPr>
        <w:widowControl w:val="0"/>
        <w:spacing w:before="120" w:line="240" w:lineRule="exact"/>
        <w:ind w:firstLine="567"/>
        <w:jc w:val="both"/>
        <w:rPr>
          <w:rFonts w:asciiTheme="minorHAnsi" w:hAnsiTheme="minorHAnsi" w:cstheme="minorHAnsi"/>
          <w:sz w:val="20"/>
          <w:szCs w:val="20"/>
        </w:rPr>
      </w:pPr>
      <w:r w:rsidRPr="00E40D30">
        <w:rPr>
          <w:rFonts w:asciiTheme="minorHAnsi" w:hAnsiTheme="minorHAnsi" w:cstheme="minorHAnsi"/>
          <w:sz w:val="20"/>
          <w:szCs w:val="20"/>
        </w:rPr>
        <w:t>In accordance with the Companies Act 2006, the company has no limit on its authorised share capital.</w:t>
      </w:r>
    </w:p>
    <w:p w14:paraId="32B49FC5" w14:textId="77777777" w:rsidR="0053710A" w:rsidRPr="00E40D30" w:rsidRDefault="00BE76F7" w:rsidP="00622D86">
      <w:pPr>
        <w:widowControl w:val="0"/>
        <w:spacing w:before="120" w:line="240" w:lineRule="exact"/>
        <w:ind w:firstLine="567"/>
        <w:jc w:val="both"/>
        <w:rPr>
          <w:rFonts w:asciiTheme="minorHAnsi" w:hAnsiTheme="minorHAnsi" w:cstheme="minorHAnsi"/>
          <w:sz w:val="20"/>
          <w:szCs w:val="20"/>
        </w:rPr>
      </w:pPr>
      <w:r w:rsidRPr="00E40D30">
        <w:rPr>
          <w:rFonts w:asciiTheme="minorHAnsi" w:hAnsiTheme="minorHAnsi" w:cstheme="minorHAnsi"/>
          <w:sz w:val="20"/>
          <w:szCs w:val="20"/>
        </w:rPr>
        <w:t>Pursuant to a resolution passed on 16 June 2016, the Company resolved that:</w:t>
      </w:r>
    </w:p>
    <w:p w14:paraId="0327A2AA" w14:textId="229806B6" w:rsidR="0053710A" w:rsidRPr="00E40D30" w:rsidRDefault="00BE76F7" w:rsidP="00CA468B">
      <w:pPr>
        <w:pStyle w:val="ListParagraph"/>
        <w:widowControl w:val="0"/>
        <w:numPr>
          <w:ilvl w:val="0"/>
          <w:numId w:val="22"/>
        </w:numPr>
        <w:spacing w:before="120" w:line="240" w:lineRule="exact"/>
        <w:ind w:left="1134" w:right="-721" w:hanging="425"/>
        <w:jc w:val="both"/>
        <w:rPr>
          <w:rFonts w:asciiTheme="minorHAnsi" w:hAnsiTheme="minorHAnsi" w:cstheme="minorHAnsi"/>
          <w:sz w:val="20"/>
          <w:szCs w:val="20"/>
        </w:rPr>
      </w:pPr>
      <w:r w:rsidRPr="00E40D30">
        <w:rPr>
          <w:rFonts w:asciiTheme="minorHAnsi" w:hAnsiTheme="minorHAnsi" w:cstheme="minorHAnsi"/>
          <w:sz w:val="20"/>
          <w:szCs w:val="20"/>
        </w:rPr>
        <w:t>The directors be generally authorised in accordance with the Articles to exercise all powers of the company to allot Ordinary shares, or grant rights to subscribe for, or convert any security into Ordinary shares, up to a maximum aggregate nominal value of £500,000, provided always that such authority conferred on the directors shall (unless previously renewed, varied or revoked prior to that time) expire at the conclusion of the company’s next annual general meeting or on the date falling 18 months after the date of the passing of the resolution, whichever is the sooner. The company may make an offer or agreement which would or might require Ordinary shares to be allotted pursuant to the resolution referred to in paragraph 3.6.1 of the listing prospectus before the expiry of their authority to do so, but allot the Ordinary shares pursuant to any such offer or agreement after that expiry date.</w:t>
      </w:r>
    </w:p>
    <w:p w14:paraId="4ACCA744" w14:textId="7B01F45F" w:rsidR="00BE76F7" w:rsidRPr="00E40D30" w:rsidRDefault="00BE76F7" w:rsidP="00CA468B">
      <w:pPr>
        <w:pStyle w:val="ListParagraph"/>
        <w:widowControl w:val="0"/>
        <w:numPr>
          <w:ilvl w:val="0"/>
          <w:numId w:val="22"/>
        </w:numPr>
        <w:spacing w:before="120" w:line="240" w:lineRule="exact"/>
        <w:ind w:left="1134" w:right="-721" w:hanging="425"/>
        <w:contextualSpacing w:val="0"/>
        <w:jc w:val="both"/>
        <w:rPr>
          <w:rFonts w:asciiTheme="minorHAnsi" w:hAnsiTheme="minorHAnsi" w:cstheme="minorHAnsi"/>
          <w:sz w:val="20"/>
          <w:szCs w:val="20"/>
        </w:rPr>
      </w:pPr>
      <w:r w:rsidRPr="00E40D30">
        <w:rPr>
          <w:rFonts w:asciiTheme="minorHAnsi" w:hAnsiTheme="minorHAnsi" w:cstheme="minorHAnsi"/>
          <w:sz w:val="20"/>
          <w:szCs w:val="20"/>
        </w:rPr>
        <w:t>All pre-emption rights in the Articles to be waived; (i) for the purposes of, or in connection with, the Placing, the issue of the Conversion shares and the issue of the Warrant shares; (ii) generally for such purposes as the directors may think fit (including the allotment of equity securities for cash) up to a maximum aggregate amount of £40,543.54; and (iii) for the purposes of the issue of securities offered (by way of a rights issue, open offer or otherwise) to existing holders of Ordinary share, but subject to the directors having a right to make such exclusions or other arrangements in connection with the offering as they deem necessary or expedient; (A) to deal with the equity securities representing fractional entitlements; and (B) to deal with legal or practical problems in the laws of any territory, or</w:t>
      </w:r>
      <w:r w:rsidR="00656F64" w:rsidRPr="00E40D30">
        <w:rPr>
          <w:rFonts w:asciiTheme="minorHAnsi" w:hAnsiTheme="minorHAnsi" w:cstheme="minorHAnsi"/>
          <w:sz w:val="20"/>
          <w:szCs w:val="20"/>
        </w:rPr>
        <w:t xml:space="preserve"> </w:t>
      </w:r>
      <w:r w:rsidR="00452FAB" w:rsidRPr="00E40D30">
        <w:rPr>
          <w:rFonts w:asciiTheme="minorHAnsi" w:hAnsiTheme="minorHAnsi" w:cstheme="minorHAnsi"/>
          <w:sz w:val="20"/>
          <w:szCs w:val="20"/>
        </w:rPr>
        <w:t xml:space="preserve">the requirements of any regulatory body; on the basis that the authorities conferred under the resolution referred to in paragraph 3.6.2 of the listing prospectus shall (unless previously renewed, </w:t>
      </w:r>
      <w:r w:rsidRPr="00E40D30">
        <w:rPr>
          <w:rFonts w:asciiTheme="minorHAnsi" w:hAnsiTheme="minorHAnsi" w:cstheme="minorHAnsi"/>
          <w:sz w:val="20"/>
          <w:szCs w:val="20"/>
        </w:rPr>
        <w:t>varied or revoked prior to that time) expire at the conclusion of the company’s next annual general meeting or on the date falling 18 months after the date of the passing of the resolution, whichever is the sooner. The company may make an offer or agreement which would or might require equity securities to be issued before the expiry of its power to do so, but allot the equity securities pursuant to any such offer or agreement after that expiry date.</w:t>
      </w:r>
    </w:p>
    <w:p w14:paraId="687CDA22" w14:textId="21EF4790" w:rsidR="0053710A" w:rsidRPr="00E40D30" w:rsidRDefault="0053710A" w:rsidP="00622D86">
      <w:pPr>
        <w:keepNext/>
        <w:keepLines/>
        <w:spacing w:before="120" w:line="240" w:lineRule="exact"/>
        <w:ind w:left="567"/>
        <w:jc w:val="both"/>
        <w:rPr>
          <w:rFonts w:asciiTheme="minorHAnsi" w:hAnsiTheme="minorHAnsi" w:cstheme="minorHAnsi"/>
          <w:sz w:val="20"/>
          <w:szCs w:val="20"/>
        </w:rPr>
      </w:pPr>
      <w:r w:rsidRPr="00E40D30">
        <w:rPr>
          <w:rFonts w:asciiTheme="minorHAnsi" w:hAnsiTheme="minorHAnsi" w:cstheme="minorHAnsi"/>
          <w:sz w:val="20"/>
          <w:szCs w:val="20"/>
        </w:rPr>
        <w:t>The holders of Ordinary shares have full voting, dividend and capital distribution rights. The Ordinary shares do not confer any rights of redemption.</w:t>
      </w:r>
    </w:p>
    <w:p w14:paraId="18C93367" w14:textId="77777777" w:rsidR="0053710A" w:rsidRPr="00E40D30" w:rsidRDefault="0053710A" w:rsidP="00622D86">
      <w:pPr>
        <w:keepNext/>
        <w:keepLines/>
        <w:spacing w:before="120" w:line="240" w:lineRule="exact"/>
        <w:ind w:left="567"/>
        <w:jc w:val="both"/>
        <w:rPr>
          <w:rFonts w:asciiTheme="minorHAnsi" w:hAnsiTheme="minorHAnsi" w:cstheme="minorHAnsi"/>
          <w:sz w:val="20"/>
          <w:szCs w:val="20"/>
        </w:rPr>
      </w:pPr>
      <w:r w:rsidRPr="00E40D30">
        <w:rPr>
          <w:rFonts w:asciiTheme="minorHAnsi" w:hAnsiTheme="minorHAnsi" w:cstheme="minorHAnsi"/>
          <w:sz w:val="20"/>
          <w:szCs w:val="20"/>
        </w:rPr>
        <w:t>On or following the occurrence of a change of control the receipts from the acquirer shall be applied to the holders of the Ordinary shares pro rata to their respective holdings.</w:t>
      </w:r>
    </w:p>
    <w:p w14:paraId="79C5C337" w14:textId="541501EF" w:rsidR="0053710A" w:rsidRPr="00E40D30" w:rsidRDefault="0053710A" w:rsidP="00622D86">
      <w:pPr>
        <w:keepNext/>
        <w:keepLines/>
        <w:spacing w:before="120" w:line="240" w:lineRule="exact"/>
        <w:ind w:left="567"/>
        <w:jc w:val="both"/>
        <w:rPr>
          <w:rFonts w:asciiTheme="minorHAnsi" w:hAnsiTheme="minorHAnsi" w:cstheme="minorHAnsi"/>
          <w:sz w:val="20"/>
          <w:szCs w:val="20"/>
        </w:rPr>
      </w:pPr>
      <w:r w:rsidRPr="00E40D30">
        <w:rPr>
          <w:rFonts w:asciiTheme="minorHAnsi" w:hAnsiTheme="minorHAnsi" w:cstheme="minorHAnsi"/>
          <w:sz w:val="20"/>
          <w:szCs w:val="20"/>
        </w:rPr>
        <w:t>Ordinary shares</w:t>
      </w:r>
      <w:r w:rsidR="000E0417" w:rsidRPr="00E40D30">
        <w:rPr>
          <w:rFonts w:asciiTheme="minorHAnsi" w:hAnsiTheme="minorHAnsi" w:cstheme="minorHAnsi"/>
          <w:sz w:val="20"/>
          <w:szCs w:val="20"/>
        </w:rPr>
        <w:t xml:space="preserve"> and deferred shares</w:t>
      </w:r>
      <w:r w:rsidRPr="00E40D30">
        <w:rPr>
          <w:rFonts w:asciiTheme="minorHAnsi" w:hAnsiTheme="minorHAnsi" w:cstheme="minorHAnsi"/>
          <w:sz w:val="20"/>
          <w:szCs w:val="20"/>
        </w:rPr>
        <w:t xml:space="preserve"> are recorded as equity.</w:t>
      </w:r>
    </w:p>
    <w:p w14:paraId="1F55D58B" w14:textId="77777777" w:rsidR="00CA5549" w:rsidRPr="00786C36" w:rsidRDefault="00CA5549" w:rsidP="00CA5549">
      <w:pPr>
        <w:ind w:left="567"/>
        <w:jc w:val="both"/>
        <w:rPr>
          <w:rFonts w:asciiTheme="minorHAnsi" w:hAnsiTheme="minorHAnsi" w:cstheme="minorHAnsi"/>
          <w:b/>
          <w:sz w:val="20"/>
          <w:highlight w:val="yellow"/>
        </w:rPr>
      </w:pPr>
    </w:p>
    <w:p w14:paraId="16D1A36C" w14:textId="7AECD13E" w:rsidR="00BE76F7" w:rsidRPr="00CA468B" w:rsidRDefault="00BE76F7" w:rsidP="003256A6">
      <w:pPr>
        <w:pStyle w:val="ListParagraph"/>
        <w:widowControl w:val="0"/>
        <w:numPr>
          <w:ilvl w:val="0"/>
          <w:numId w:val="51"/>
        </w:numPr>
        <w:spacing w:before="120" w:line="276" w:lineRule="auto"/>
        <w:ind w:left="567" w:hanging="425"/>
        <w:jc w:val="both"/>
        <w:rPr>
          <w:rFonts w:asciiTheme="minorHAnsi" w:hAnsiTheme="minorHAnsi" w:cstheme="minorHAnsi"/>
          <w:b/>
          <w:sz w:val="20"/>
          <w:szCs w:val="20"/>
        </w:rPr>
      </w:pPr>
      <w:r w:rsidRPr="00CA468B">
        <w:rPr>
          <w:rFonts w:asciiTheme="minorHAnsi" w:hAnsiTheme="minorHAnsi" w:cstheme="minorHAnsi"/>
          <w:b/>
          <w:sz w:val="20"/>
          <w:szCs w:val="20"/>
        </w:rPr>
        <w:t>Reserves</w:t>
      </w:r>
    </w:p>
    <w:p w14:paraId="0DD9CD7F" w14:textId="77777777" w:rsidR="00BE76F7" w:rsidRPr="0059350D" w:rsidRDefault="00BE76F7" w:rsidP="00BE76F7">
      <w:pPr>
        <w:pStyle w:val="ListParagraph"/>
        <w:keepNext/>
        <w:ind w:left="567"/>
        <w:contextualSpacing w:val="0"/>
        <w:jc w:val="both"/>
        <w:rPr>
          <w:rFonts w:asciiTheme="minorHAnsi" w:hAnsiTheme="minorHAnsi" w:cstheme="minorHAnsi"/>
          <w:sz w:val="20"/>
          <w:szCs w:val="20"/>
        </w:rPr>
      </w:pPr>
      <w:r w:rsidRPr="0059350D">
        <w:rPr>
          <w:rFonts w:asciiTheme="minorHAnsi" w:hAnsiTheme="minorHAnsi" w:cstheme="minorHAnsi"/>
          <w:sz w:val="20"/>
          <w:szCs w:val="20"/>
        </w:rPr>
        <w:t>The following describes the nature and purpose of each reserve within equity:</w:t>
      </w:r>
    </w:p>
    <w:p w14:paraId="77AD344F" w14:textId="77777777" w:rsidR="00BE76F7" w:rsidRPr="0059350D" w:rsidRDefault="00BE76F7" w:rsidP="00BE76F7">
      <w:pPr>
        <w:pStyle w:val="ListParagraph"/>
        <w:keepNext/>
        <w:ind w:left="567"/>
        <w:contextualSpacing w:val="0"/>
        <w:jc w:val="both"/>
        <w:rPr>
          <w:rFonts w:asciiTheme="minorHAnsi" w:hAnsiTheme="minorHAnsi" w:cstheme="minorHAnsi"/>
          <w:sz w:val="20"/>
          <w:szCs w:val="20"/>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35"/>
      </w:tblGrid>
      <w:tr w:rsidR="00BE76F7" w:rsidRPr="0059350D" w14:paraId="29E56999" w14:textId="77777777" w:rsidTr="00B411F6">
        <w:tc>
          <w:tcPr>
            <w:tcW w:w="4525" w:type="dxa"/>
          </w:tcPr>
          <w:p w14:paraId="4ABCBD39" w14:textId="77777777" w:rsidR="00BE76F7" w:rsidRPr="0059350D" w:rsidRDefault="00BE76F7" w:rsidP="00953E25">
            <w:pPr>
              <w:pStyle w:val="ListParagraph"/>
              <w:keepNext/>
              <w:ind w:left="0"/>
              <w:contextualSpacing w:val="0"/>
              <w:rPr>
                <w:rFonts w:asciiTheme="minorHAnsi" w:hAnsiTheme="minorHAnsi" w:cstheme="minorHAnsi"/>
                <w:b/>
                <w:sz w:val="20"/>
                <w:szCs w:val="20"/>
              </w:rPr>
            </w:pPr>
            <w:r w:rsidRPr="0059350D">
              <w:rPr>
                <w:rFonts w:asciiTheme="minorHAnsi" w:hAnsiTheme="minorHAnsi" w:cstheme="minorHAnsi"/>
                <w:b/>
                <w:sz w:val="20"/>
                <w:szCs w:val="20"/>
              </w:rPr>
              <w:t>Reserve</w:t>
            </w:r>
          </w:p>
        </w:tc>
        <w:tc>
          <w:tcPr>
            <w:tcW w:w="4535" w:type="dxa"/>
          </w:tcPr>
          <w:p w14:paraId="45B41DBB" w14:textId="77777777" w:rsidR="00BE76F7" w:rsidRPr="0059350D" w:rsidRDefault="00BE76F7" w:rsidP="00B411F6">
            <w:pPr>
              <w:pStyle w:val="ListParagraph"/>
              <w:keepNext/>
              <w:ind w:left="0"/>
              <w:contextualSpacing w:val="0"/>
              <w:jc w:val="right"/>
              <w:rPr>
                <w:rFonts w:asciiTheme="minorHAnsi" w:hAnsiTheme="minorHAnsi" w:cstheme="minorHAnsi"/>
                <w:b/>
                <w:sz w:val="20"/>
                <w:szCs w:val="20"/>
              </w:rPr>
            </w:pPr>
            <w:r w:rsidRPr="0059350D">
              <w:rPr>
                <w:rFonts w:asciiTheme="minorHAnsi" w:hAnsiTheme="minorHAnsi" w:cstheme="minorHAnsi"/>
                <w:b/>
                <w:sz w:val="20"/>
                <w:szCs w:val="20"/>
              </w:rPr>
              <w:t>Description and purpose</w:t>
            </w:r>
          </w:p>
        </w:tc>
      </w:tr>
      <w:tr w:rsidR="00BE76F7" w:rsidRPr="0059350D" w14:paraId="28FC69B3" w14:textId="77777777" w:rsidTr="00B411F6">
        <w:tc>
          <w:tcPr>
            <w:tcW w:w="4525" w:type="dxa"/>
          </w:tcPr>
          <w:p w14:paraId="6110E42D" w14:textId="77777777" w:rsidR="00BE76F7" w:rsidRPr="0059350D" w:rsidRDefault="00BE76F7" w:rsidP="00953E25">
            <w:pPr>
              <w:pStyle w:val="ListParagraph"/>
              <w:keepNext/>
              <w:ind w:left="0"/>
              <w:contextualSpacing w:val="0"/>
              <w:rPr>
                <w:rFonts w:asciiTheme="minorHAnsi" w:hAnsiTheme="minorHAnsi" w:cstheme="minorHAnsi"/>
                <w:sz w:val="20"/>
                <w:szCs w:val="20"/>
              </w:rPr>
            </w:pPr>
            <w:r w:rsidRPr="0059350D">
              <w:rPr>
                <w:rFonts w:asciiTheme="minorHAnsi" w:hAnsiTheme="minorHAnsi" w:cstheme="minorHAnsi"/>
                <w:sz w:val="20"/>
                <w:szCs w:val="20"/>
              </w:rPr>
              <w:t>Share premium</w:t>
            </w:r>
          </w:p>
        </w:tc>
        <w:tc>
          <w:tcPr>
            <w:tcW w:w="4535" w:type="dxa"/>
          </w:tcPr>
          <w:p w14:paraId="600E8B21" w14:textId="77777777" w:rsidR="00BE76F7" w:rsidRPr="0059350D" w:rsidRDefault="00BE76F7" w:rsidP="00B411F6">
            <w:pPr>
              <w:pStyle w:val="ListParagraph"/>
              <w:keepNext/>
              <w:ind w:left="0"/>
              <w:contextualSpacing w:val="0"/>
              <w:jc w:val="right"/>
              <w:rPr>
                <w:rFonts w:asciiTheme="minorHAnsi" w:hAnsiTheme="minorHAnsi" w:cstheme="minorHAnsi"/>
                <w:sz w:val="20"/>
                <w:szCs w:val="20"/>
              </w:rPr>
            </w:pPr>
            <w:r w:rsidRPr="0059350D">
              <w:rPr>
                <w:rFonts w:asciiTheme="minorHAnsi" w:hAnsiTheme="minorHAnsi" w:cstheme="minorHAnsi"/>
                <w:sz w:val="20"/>
                <w:szCs w:val="20"/>
              </w:rPr>
              <w:t>Amount subscribed for share capital in excess of nominal value</w:t>
            </w:r>
          </w:p>
        </w:tc>
      </w:tr>
      <w:tr w:rsidR="00BE76F7" w:rsidRPr="00786C36" w14:paraId="291D655B" w14:textId="77777777" w:rsidTr="00B411F6">
        <w:tc>
          <w:tcPr>
            <w:tcW w:w="4525" w:type="dxa"/>
          </w:tcPr>
          <w:p w14:paraId="766FC367" w14:textId="77777777" w:rsidR="00BE76F7" w:rsidRPr="0059350D" w:rsidRDefault="00BE76F7" w:rsidP="00953E25">
            <w:pPr>
              <w:pStyle w:val="ListParagraph"/>
              <w:keepNext/>
              <w:ind w:left="0"/>
              <w:contextualSpacing w:val="0"/>
              <w:rPr>
                <w:rFonts w:asciiTheme="minorHAnsi" w:hAnsiTheme="minorHAnsi" w:cstheme="minorHAnsi"/>
                <w:sz w:val="20"/>
                <w:szCs w:val="20"/>
              </w:rPr>
            </w:pPr>
            <w:r w:rsidRPr="0059350D">
              <w:rPr>
                <w:rFonts w:asciiTheme="minorHAnsi" w:hAnsiTheme="minorHAnsi" w:cstheme="minorHAnsi"/>
                <w:sz w:val="20"/>
                <w:szCs w:val="20"/>
              </w:rPr>
              <w:t>Retained deficit</w:t>
            </w:r>
          </w:p>
        </w:tc>
        <w:tc>
          <w:tcPr>
            <w:tcW w:w="4535" w:type="dxa"/>
          </w:tcPr>
          <w:p w14:paraId="38A83C48" w14:textId="666F91C2" w:rsidR="006D0EAD" w:rsidRPr="0059350D" w:rsidRDefault="00BE76F7" w:rsidP="006D0EAD">
            <w:pPr>
              <w:pStyle w:val="ListParagraph"/>
              <w:keepNext/>
              <w:ind w:left="0"/>
              <w:contextualSpacing w:val="0"/>
              <w:jc w:val="right"/>
              <w:rPr>
                <w:rFonts w:asciiTheme="minorHAnsi" w:hAnsiTheme="minorHAnsi" w:cstheme="minorHAnsi"/>
                <w:sz w:val="20"/>
                <w:szCs w:val="20"/>
              </w:rPr>
            </w:pPr>
            <w:r w:rsidRPr="0059350D">
              <w:rPr>
                <w:rFonts w:asciiTheme="minorHAnsi" w:hAnsiTheme="minorHAnsi" w:cstheme="minorHAnsi"/>
                <w:sz w:val="20"/>
                <w:szCs w:val="20"/>
              </w:rPr>
              <w:t>All other net gains and losses and transactions with owners (e.g. dividends) not recognised elsewhere</w:t>
            </w:r>
          </w:p>
        </w:tc>
      </w:tr>
    </w:tbl>
    <w:p w14:paraId="2D800469" w14:textId="77777777" w:rsidR="006D0EAD" w:rsidRDefault="00656F64" w:rsidP="006D0EAD">
      <w:pPr>
        <w:pStyle w:val="ListParagraph"/>
        <w:widowControl w:val="0"/>
        <w:spacing w:before="120" w:line="276" w:lineRule="auto"/>
        <w:ind w:left="360"/>
        <w:contextualSpacing w:val="0"/>
        <w:jc w:val="both"/>
        <w:rPr>
          <w:rFonts w:asciiTheme="minorHAnsi" w:hAnsiTheme="minorHAnsi" w:cstheme="minorHAnsi"/>
          <w:b/>
          <w:sz w:val="20"/>
          <w:szCs w:val="20"/>
        </w:rPr>
      </w:pPr>
      <w:r>
        <w:rPr>
          <w:rFonts w:asciiTheme="minorHAnsi" w:hAnsiTheme="minorHAnsi" w:cstheme="minorHAnsi"/>
          <w:b/>
          <w:sz w:val="20"/>
          <w:szCs w:val="20"/>
        </w:rPr>
        <w:t xml:space="preserve">     </w:t>
      </w:r>
    </w:p>
    <w:p w14:paraId="0312FC94" w14:textId="61379C9C" w:rsidR="007B4AEE" w:rsidRPr="00F9082F" w:rsidRDefault="007B4AEE" w:rsidP="003256A6">
      <w:pPr>
        <w:pStyle w:val="ListParagraph"/>
        <w:widowControl w:val="0"/>
        <w:numPr>
          <w:ilvl w:val="0"/>
          <w:numId w:val="51"/>
        </w:numPr>
        <w:spacing w:before="120" w:line="276" w:lineRule="auto"/>
        <w:ind w:left="567" w:hanging="425"/>
        <w:contextualSpacing w:val="0"/>
        <w:jc w:val="both"/>
        <w:rPr>
          <w:rFonts w:asciiTheme="minorHAnsi" w:hAnsiTheme="minorHAnsi" w:cstheme="minorHAnsi"/>
          <w:b/>
          <w:sz w:val="20"/>
          <w:szCs w:val="20"/>
        </w:rPr>
      </w:pPr>
      <w:r w:rsidRPr="00F9082F">
        <w:rPr>
          <w:rFonts w:asciiTheme="minorHAnsi" w:hAnsiTheme="minorHAnsi" w:cstheme="minorHAnsi"/>
          <w:b/>
          <w:sz w:val="20"/>
          <w:szCs w:val="20"/>
        </w:rPr>
        <w:lastRenderedPageBreak/>
        <w:t>Trade and other payables</w:t>
      </w:r>
    </w:p>
    <w:p w14:paraId="0312FC95" w14:textId="2F5FB4A4" w:rsidR="007B4AEE" w:rsidRPr="00F9082F" w:rsidRDefault="007C69AE" w:rsidP="004C3DB2">
      <w:pPr>
        <w:pStyle w:val="ListParagraph"/>
        <w:keepNext/>
        <w:tabs>
          <w:tab w:val="left" w:pos="4508"/>
        </w:tabs>
        <w:spacing w:before="120" w:line="276" w:lineRule="auto"/>
        <w:ind w:left="567"/>
        <w:contextualSpacing w:val="0"/>
        <w:jc w:val="both"/>
        <w:rPr>
          <w:rFonts w:asciiTheme="minorHAnsi" w:hAnsiTheme="minorHAnsi" w:cstheme="minorHAnsi"/>
          <w:sz w:val="20"/>
          <w:szCs w:val="20"/>
        </w:rPr>
      </w:pPr>
      <w:r w:rsidRPr="00F9082F">
        <w:rPr>
          <w:rFonts w:asciiTheme="minorHAnsi" w:hAnsiTheme="minorHAnsi" w:cstheme="minorHAnsi"/>
          <w:b/>
          <w:sz w:val="20"/>
          <w:szCs w:val="20"/>
        </w:rPr>
        <w:t>Group</w:t>
      </w:r>
    </w:p>
    <w:tbl>
      <w:tblPr>
        <w:tblW w:w="9606" w:type="dxa"/>
        <w:tblInd w:w="567" w:type="dxa"/>
        <w:tblLook w:val="00A0" w:firstRow="1" w:lastRow="0" w:firstColumn="1" w:lastColumn="0" w:noHBand="0" w:noVBand="0"/>
      </w:tblPr>
      <w:tblGrid>
        <w:gridCol w:w="5103"/>
        <w:gridCol w:w="284"/>
        <w:gridCol w:w="2092"/>
        <w:gridCol w:w="2127"/>
      </w:tblGrid>
      <w:tr w:rsidR="007C69AE" w:rsidRPr="00F9082F" w14:paraId="0312FC9B" w14:textId="77777777" w:rsidTr="007C69AE">
        <w:trPr>
          <w:trHeight w:val="892"/>
          <w:tblHeader/>
        </w:trPr>
        <w:tc>
          <w:tcPr>
            <w:tcW w:w="5103" w:type="dxa"/>
          </w:tcPr>
          <w:p w14:paraId="0312FC96" w14:textId="77777777" w:rsidR="007C69AE" w:rsidRPr="00F9082F" w:rsidRDefault="007C69AE" w:rsidP="000D6FDC">
            <w:pPr>
              <w:spacing w:line="276" w:lineRule="auto"/>
              <w:jc w:val="both"/>
              <w:rPr>
                <w:rFonts w:asciiTheme="minorHAnsi" w:hAnsiTheme="minorHAnsi" w:cstheme="minorHAnsi"/>
                <w:sz w:val="20"/>
                <w:szCs w:val="20"/>
              </w:rPr>
            </w:pPr>
          </w:p>
        </w:tc>
        <w:tc>
          <w:tcPr>
            <w:tcW w:w="284" w:type="dxa"/>
          </w:tcPr>
          <w:p w14:paraId="0312FC97" w14:textId="77777777" w:rsidR="007C69AE" w:rsidRPr="00F9082F" w:rsidRDefault="007C69AE" w:rsidP="000D6FDC">
            <w:pPr>
              <w:spacing w:line="276" w:lineRule="auto"/>
              <w:jc w:val="right"/>
              <w:rPr>
                <w:rFonts w:asciiTheme="minorHAnsi" w:hAnsiTheme="minorHAnsi" w:cstheme="minorHAnsi"/>
                <w:sz w:val="20"/>
                <w:szCs w:val="20"/>
              </w:rPr>
            </w:pPr>
          </w:p>
        </w:tc>
        <w:tc>
          <w:tcPr>
            <w:tcW w:w="2092" w:type="dxa"/>
          </w:tcPr>
          <w:p w14:paraId="0312FC98" w14:textId="77323ECA" w:rsidR="007C69AE" w:rsidRPr="00F9082F" w:rsidRDefault="007C69AE" w:rsidP="004C3DB2">
            <w:pPr>
              <w:spacing w:line="276" w:lineRule="auto"/>
              <w:jc w:val="right"/>
              <w:rPr>
                <w:rFonts w:asciiTheme="minorHAnsi" w:hAnsiTheme="minorHAnsi" w:cstheme="minorHAnsi"/>
                <w:b/>
                <w:sz w:val="20"/>
                <w:szCs w:val="20"/>
              </w:rPr>
            </w:pPr>
            <w:r w:rsidRPr="00F9082F">
              <w:rPr>
                <w:rFonts w:asciiTheme="minorHAnsi" w:hAnsiTheme="minorHAnsi" w:cstheme="minorHAnsi"/>
                <w:b/>
                <w:sz w:val="20"/>
                <w:szCs w:val="20"/>
              </w:rPr>
              <w:t>30 June</w:t>
            </w:r>
            <w:r w:rsidRPr="00F9082F">
              <w:rPr>
                <w:rFonts w:asciiTheme="minorHAnsi" w:hAnsiTheme="minorHAnsi" w:cstheme="minorHAnsi"/>
                <w:b/>
                <w:sz w:val="20"/>
                <w:szCs w:val="20"/>
              </w:rPr>
              <w:br/>
              <w:t>20</w:t>
            </w:r>
            <w:r w:rsidR="007449B6" w:rsidRPr="00F9082F">
              <w:rPr>
                <w:rFonts w:asciiTheme="minorHAnsi" w:hAnsiTheme="minorHAnsi" w:cstheme="minorHAnsi"/>
                <w:b/>
                <w:sz w:val="20"/>
                <w:szCs w:val="20"/>
              </w:rPr>
              <w:t>2</w:t>
            </w:r>
            <w:r w:rsidR="00FA4D43">
              <w:rPr>
                <w:rFonts w:asciiTheme="minorHAnsi" w:hAnsiTheme="minorHAnsi" w:cstheme="minorHAnsi"/>
                <w:b/>
                <w:sz w:val="20"/>
                <w:szCs w:val="20"/>
              </w:rPr>
              <w:t>2</w:t>
            </w:r>
            <w:r w:rsidRPr="00F9082F">
              <w:rPr>
                <w:rFonts w:asciiTheme="minorHAnsi" w:hAnsiTheme="minorHAnsi" w:cstheme="minorHAnsi"/>
                <w:b/>
                <w:sz w:val="20"/>
                <w:szCs w:val="20"/>
              </w:rPr>
              <w:br/>
              <w:t>£</w:t>
            </w:r>
          </w:p>
        </w:tc>
        <w:tc>
          <w:tcPr>
            <w:tcW w:w="2127" w:type="dxa"/>
          </w:tcPr>
          <w:p w14:paraId="0312FC9A" w14:textId="5740A094" w:rsidR="007C69AE" w:rsidRPr="00F9082F" w:rsidRDefault="007C69AE" w:rsidP="004C3DB2">
            <w:pPr>
              <w:spacing w:line="276" w:lineRule="auto"/>
              <w:jc w:val="right"/>
              <w:rPr>
                <w:rFonts w:asciiTheme="minorHAnsi" w:hAnsiTheme="minorHAnsi" w:cstheme="minorHAnsi"/>
                <w:b/>
                <w:sz w:val="20"/>
                <w:szCs w:val="20"/>
              </w:rPr>
            </w:pPr>
            <w:r w:rsidRPr="00F9082F">
              <w:rPr>
                <w:rFonts w:asciiTheme="minorHAnsi" w:hAnsiTheme="minorHAnsi" w:cstheme="minorHAnsi"/>
                <w:b/>
                <w:sz w:val="20"/>
                <w:szCs w:val="20"/>
              </w:rPr>
              <w:t>3</w:t>
            </w:r>
            <w:r w:rsidR="007449B6" w:rsidRPr="00F9082F">
              <w:rPr>
                <w:rFonts w:asciiTheme="minorHAnsi" w:hAnsiTheme="minorHAnsi" w:cstheme="minorHAnsi"/>
                <w:b/>
                <w:sz w:val="20"/>
                <w:szCs w:val="20"/>
              </w:rPr>
              <w:t>0</w:t>
            </w:r>
            <w:r w:rsidRPr="00F9082F">
              <w:rPr>
                <w:rFonts w:asciiTheme="minorHAnsi" w:hAnsiTheme="minorHAnsi" w:cstheme="minorHAnsi"/>
                <w:b/>
                <w:sz w:val="20"/>
                <w:szCs w:val="20"/>
              </w:rPr>
              <w:t xml:space="preserve"> </w:t>
            </w:r>
            <w:r w:rsidR="007449B6" w:rsidRPr="00F9082F">
              <w:rPr>
                <w:rFonts w:asciiTheme="minorHAnsi" w:hAnsiTheme="minorHAnsi" w:cstheme="minorHAnsi"/>
                <w:b/>
                <w:sz w:val="20"/>
                <w:szCs w:val="20"/>
              </w:rPr>
              <w:t>June</w:t>
            </w:r>
            <w:r w:rsidRPr="00F9082F">
              <w:rPr>
                <w:rFonts w:asciiTheme="minorHAnsi" w:hAnsiTheme="minorHAnsi" w:cstheme="minorHAnsi"/>
                <w:b/>
                <w:sz w:val="20"/>
                <w:szCs w:val="20"/>
              </w:rPr>
              <w:br/>
              <w:t>20</w:t>
            </w:r>
            <w:r w:rsidR="00B27610" w:rsidRPr="00F9082F">
              <w:rPr>
                <w:rFonts w:asciiTheme="minorHAnsi" w:hAnsiTheme="minorHAnsi" w:cstheme="minorHAnsi"/>
                <w:b/>
                <w:sz w:val="20"/>
                <w:szCs w:val="20"/>
              </w:rPr>
              <w:t>2</w:t>
            </w:r>
            <w:r w:rsidR="00FA4D43">
              <w:rPr>
                <w:rFonts w:asciiTheme="minorHAnsi" w:hAnsiTheme="minorHAnsi" w:cstheme="minorHAnsi"/>
                <w:b/>
                <w:sz w:val="20"/>
                <w:szCs w:val="20"/>
              </w:rPr>
              <w:t>1</w:t>
            </w:r>
            <w:r w:rsidRPr="00F9082F">
              <w:rPr>
                <w:rFonts w:asciiTheme="minorHAnsi" w:hAnsiTheme="minorHAnsi" w:cstheme="minorHAnsi"/>
                <w:b/>
                <w:sz w:val="20"/>
                <w:szCs w:val="20"/>
              </w:rPr>
              <w:br/>
              <w:t>£</w:t>
            </w:r>
          </w:p>
        </w:tc>
      </w:tr>
      <w:tr w:rsidR="00B27610" w:rsidRPr="00F9082F" w14:paraId="0312FCA1" w14:textId="77777777" w:rsidTr="007C69AE">
        <w:trPr>
          <w:trHeight w:val="303"/>
        </w:trPr>
        <w:tc>
          <w:tcPr>
            <w:tcW w:w="5103" w:type="dxa"/>
          </w:tcPr>
          <w:p w14:paraId="0312FC9C" w14:textId="05A1CE6D" w:rsidR="00B27610" w:rsidRPr="00F9082F" w:rsidRDefault="00B27610" w:rsidP="00B27610">
            <w:pPr>
              <w:spacing w:line="276" w:lineRule="auto"/>
              <w:ind w:hanging="108"/>
              <w:rPr>
                <w:rFonts w:asciiTheme="minorHAnsi" w:hAnsiTheme="minorHAnsi" w:cstheme="minorHAnsi"/>
                <w:sz w:val="20"/>
                <w:szCs w:val="20"/>
              </w:rPr>
            </w:pPr>
            <w:r w:rsidRPr="00F9082F">
              <w:rPr>
                <w:rFonts w:asciiTheme="minorHAnsi" w:hAnsiTheme="minorHAnsi" w:cstheme="minorHAnsi"/>
                <w:sz w:val="20"/>
                <w:szCs w:val="20"/>
              </w:rPr>
              <w:t xml:space="preserve">Trade payables </w:t>
            </w:r>
          </w:p>
        </w:tc>
        <w:tc>
          <w:tcPr>
            <w:tcW w:w="284" w:type="dxa"/>
          </w:tcPr>
          <w:p w14:paraId="0312FC9D" w14:textId="77777777" w:rsidR="00B27610" w:rsidRPr="00F9082F" w:rsidRDefault="00B27610" w:rsidP="00B27610">
            <w:pPr>
              <w:spacing w:line="276" w:lineRule="auto"/>
              <w:jc w:val="right"/>
              <w:rPr>
                <w:rFonts w:asciiTheme="minorHAnsi" w:hAnsiTheme="minorHAnsi" w:cstheme="minorHAnsi"/>
                <w:sz w:val="20"/>
                <w:szCs w:val="20"/>
              </w:rPr>
            </w:pPr>
          </w:p>
        </w:tc>
        <w:tc>
          <w:tcPr>
            <w:tcW w:w="2092" w:type="dxa"/>
            <w:shd w:val="clear" w:color="auto" w:fill="auto"/>
          </w:tcPr>
          <w:p w14:paraId="0312FC9E" w14:textId="0ED1D2BB" w:rsidR="00B27610" w:rsidRPr="00F9082F" w:rsidRDefault="005F755E"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8</w:t>
            </w:r>
            <w:r w:rsidR="009432E0">
              <w:rPr>
                <w:rFonts w:asciiTheme="minorHAnsi" w:hAnsiTheme="minorHAnsi" w:cstheme="minorHAnsi"/>
                <w:sz w:val="20"/>
                <w:szCs w:val="20"/>
              </w:rPr>
              <w:t>09,844</w:t>
            </w:r>
          </w:p>
        </w:tc>
        <w:tc>
          <w:tcPr>
            <w:tcW w:w="2127" w:type="dxa"/>
          </w:tcPr>
          <w:p w14:paraId="0312FCA0" w14:textId="0BD7F6E2" w:rsidR="00B27610" w:rsidRPr="00F9082F" w:rsidRDefault="00FA4D4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82</w:t>
            </w:r>
            <w:r w:rsidR="0006558D">
              <w:rPr>
                <w:rFonts w:asciiTheme="minorHAnsi" w:hAnsiTheme="minorHAnsi" w:cstheme="minorHAnsi"/>
                <w:sz w:val="20"/>
                <w:szCs w:val="20"/>
              </w:rPr>
              <w:t>1</w:t>
            </w:r>
            <w:r>
              <w:rPr>
                <w:rFonts w:asciiTheme="minorHAnsi" w:hAnsiTheme="minorHAnsi" w:cstheme="minorHAnsi"/>
                <w:sz w:val="20"/>
                <w:szCs w:val="20"/>
              </w:rPr>
              <w:t>,</w:t>
            </w:r>
            <w:r w:rsidR="00D4078B">
              <w:rPr>
                <w:rFonts w:asciiTheme="minorHAnsi" w:hAnsiTheme="minorHAnsi" w:cstheme="minorHAnsi"/>
                <w:sz w:val="20"/>
                <w:szCs w:val="20"/>
              </w:rPr>
              <w:t>249</w:t>
            </w:r>
          </w:p>
        </w:tc>
      </w:tr>
      <w:tr w:rsidR="00B27610" w:rsidRPr="00F9082F" w14:paraId="64EBF85F" w14:textId="77777777" w:rsidTr="007C69AE">
        <w:trPr>
          <w:trHeight w:val="303"/>
        </w:trPr>
        <w:tc>
          <w:tcPr>
            <w:tcW w:w="5103" w:type="dxa"/>
          </w:tcPr>
          <w:p w14:paraId="53649D88" w14:textId="672A0249" w:rsidR="00B27610" w:rsidRPr="00F9082F" w:rsidRDefault="00B27610" w:rsidP="00B27610">
            <w:pPr>
              <w:spacing w:line="276" w:lineRule="auto"/>
              <w:ind w:hanging="108"/>
              <w:rPr>
                <w:rFonts w:asciiTheme="minorHAnsi" w:hAnsiTheme="minorHAnsi" w:cstheme="minorHAnsi"/>
                <w:sz w:val="20"/>
                <w:szCs w:val="20"/>
              </w:rPr>
            </w:pPr>
            <w:r w:rsidRPr="00F9082F">
              <w:rPr>
                <w:rFonts w:asciiTheme="minorHAnsi" w:hAnsiTheme="minorHAnsi" w:cstheme="minorHAnsi"/>
                <w:sz w:val="20"/>
                <w:szCs w:val="20"/>
              </w:rPr>
              <w:t xml:space="preserve">Other payables </w:t>
            </w:r>
          </w:p>
        </w:tc>
        <w:tc>
          <w:tcPr>
            <w:tcW w:w="284" w:type="dxa"/>
          </w:tcPr>
          <w:p w14:paraId="55FC4B97" w14:textId="77777777" w:rsidR="00B27610" w:rsidRPr="00F9082F" w:rsidRDefault="00B27610" w:rsidP="00B27610">
            <w:pPr>
              <w:spacing w:line="276" w:lineRule="auto"/>
              <w:jc w:val="right"/>
              <w:rPr>
                <w:rFonts w:asciiTheme="minorHAnsi" w:hAnsiTheme="minorHAnsi" w:cstheme="minorHAnsi"/>
                <w:sz w:val="20"/>
                <w:szCs w:val="20"/>
              </w:rPr>
            </w:pPr>
          </w:p>
        </w:tc>
        <w:tc>
          <w:tcPr>
            <w:tcW w:w="2092" w:type="dxa"/>
            <w:shd w:val="clear" w:color="auto" w:fill="auto"/>
          </w:tcPr>
          <w:p w14:paraId="4AECB845" w14:textId="69D9C5AB" w:rsidR="00B27610" w:rsidRPr="00F9082F" w:rsidRDefault="005F755E"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5,</w:t>
            </w:r>
            <w:r w:rsidR="009432E0">
              <w:rPr>
                <w:rFonts w:asciiTheme="minorHAnsi" w:hAnsiTheme="minorHAnsi" w:cstheme="minorHAnsi"/>
                <w:sz w:val="20"/>
                <w:szCs w:val="20"/>
              </w:rPr>
              <w:t>574,562</w:t>
            </w:r>
          </w:p>
        </w:tc>
        <w:tc>
          <w:tcPr>
            <w:tcW w:w="2127" w:type="dxa"/>
          </w:tcPr>
          <w:p w14:paraId="455EE7B6" w14:textId="3C3D0A7D" w:rsidR="00B27610" w:rsidRPr="00F9082F" w:rsidRDefault="00FA4D4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4,660,251</w:t>
            </w:r>
          </w:p>
        </w:tc>
      </w:tr>
      <w:tr w:rsidR="00B27610" w:rsidRPr="00F9082F" w14:paraId="0D71B35F" w14:textId="77777777" w:rsidTr="007C69AE">
        <w:trPr>
          <w:trHeight w:val="287"/>
        </w:trPr>
        <w:tc>
          <w:tcPr>
            <w:tcW w:w="5103" w:type="dxa"/>
          </w:tcPr>
          <w:p w14:paraId="0B839DE4" w14:textId="03572E57" w:rsidR="00B27610" w:rsidRPr="00F9082F" w:rsidRDefault="00B27610" w:rsidP="00B27610">
            <w:pPr>
              <w:spacing w:line="276" w:lineRule="auto"/>
              <w:ind w:hanging="108"/>
              <w:rPr>
                <w:rFonts w:asciiTheme="minorHAnsi" w:hAnsiTheme="minorHAnsi" w:cstheme="minorHAnsi"/>
                <w:sz w:val="20"/>
                <w:szCs w:val="20"/>
              </w:rPr>
            </w:pPr>
            <w:r w:rsidRPr="00F9082F">
              <w:rPr>
                <w:rFonts w:asciiTheme="minorHAnsi" w:hAnsiTheme="minorHAnsi" w:cstheme="minorHAnsi"/>
                <w:sz w:val="20"/>
                <w:szCs w:val="20"/>
              </w:rPr>
              <w:t>Accruals</w:t>
            </w:r>
          </w:p>
        </w:tc>
        <w:tc>
          <w:tcPr>
            <w:tcW w:w="284" w:type="dxa"/>
          </w:tcPr>
          <w:p w14:paraId="534CE880" w14:textId="77777777" w:rsidR="00B27610" w:rsidRPr="00F9082F" w:rsidRDefault="00B27610" w:rsidP="00B27610">
            <w:pPr>
              <w:spacing w:line="276" w:lineRule="auto"/>
              <w:jc w:val="right"/>
              <w:rPr>
                <w:rFonts w:asciiTheme="minorHAnsi" w:hAnsiTheme="minorHAnsi" w:cstheme="minorHAnsi"/>
                <w:sz w:val="20"/>
                <w:szCs w:val="20"/>
              </w:rPr>
            </w:pPr>
          </w:p>
        </w:tc>
        <w:tc>
          <w:tcPr>
            <w:tcW w:w="2092" w:type="dxa"/>
            <w:shd w:val="clear" w:color="auto" w:fill="auto"/>
          </w:tcPr>
          <w:p w14:paraId="48806AF0" w14:textId="364AAD95" w:rsidR="00B27610" w:rsidRPr="00F9082F" w:rsidRDefault="005F755E" w:rsidP="00B27610">
            <w:pPr>
              <w:tabs>
                <w:tab w:val="left" w:pos="1178"/>
              </w:tabs>
              <w:spacing w:line="276" w:lineRule="auto"/>
              <w:jc w:val="right"/>
              <w:rPr>
                <w:rFonts w:asciiTheme="minorHAnsi" w:hAnsiTheme="minorHAnsi" w:cstheme="minorHAnsi"/>
                <w:sz w:val="20"/>
                <w:szCs w:val="20"/>
              </w:rPr>
            </w:pPr>
            <w:r>
              <w:rPr>
                <w:rFonts w:asciiTheme="minorHAnsi" w:hAnsiTheme="minorHAnsi" w:cstheme="minorHAnsi"/>
                <w:sz w:val="20"/>
                <w:szCs w:val="20"/>
              </w:rPr>
              <w:t>1</w:t>
            </w:r>
            <w:r w:rsidR="009432E0">
              <w:rPr>
                <w:rFonts w:asciiTheme="minorHAnsi" w:hAnsiTheme="minorHAnsi" w:cstheme="minorHAnsi"/>
                <w:sz w:val="20"/>
                <w:szCs w:val="20"/>
              </w:rPr>
              <w:t>39,12</w:t>
            </w:r>
            <w:r w:rsidR="00CA468B">
              <w:rPr>
                <w:rFonts w:asciiTheme="minorHAnsi" w:hAnsiTheme="minorHAnsi" w:cstheme="minorHAnsi"/>
                <w:sz w:val="20"/>
                <w:szCs w:val="20"/>
              </w:rPr>
              <w:t>0</w:t>
            </w:r>
          </w:p>
        </w:tc>
        <w:tc>
          <w:tcPr>
            <w:tcW w:w="2127" w:type="dxa"/>
          </w:tcPr>
          <w:p w14:paraId="01935D5F" w14:textId="206072A5" w:rsidR="00B27610" w:rsidRPr="00F9082F" w:rsidRDefault="00FA4D4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95,621</w:t>
            </w:r>
          </w:p>
        </w:tc>
      </w:tr>
      <w:tr w:rsidR="00B27610" w:rsidRPr="00F9082F" w14:paraId="0312FCA7" w14:textId="77777777" w:rsidTr="007C69AE">
        <w:trPr>
          <w:trHeight w:val="287"/>
        </w:trPr>
        <w:tc>
          <w:tcPr>
            <w:tcW w:w="5103" w:type="dxa"/>
          </w:tcPr>
          <w:p w14:paraId="0312FCA2" w14:textId="590B7402" w:rsidR="00B27610" w:rsidRPr="00F9082F" w:rsidRDefault="00B27610" w:rsidP="00B27610">
            <w:pPr>
              <w:spacing w:line="276" w:lineRule="auto"/>
              <w:ind w:hanging="108"/>
              <w:rPr>
                <w:rFonts w:asciiTheme="minorHAnsi" w:hAnsiTheme="minorHAnsi" w:cstheme="minorHAnsi"/>
                <w:sz w:val="20"/>
                <w:szCs w:val="20"/>
              </w:rPr>
            </w:pPr>
            <w:r w:rsidRPr="00F9082F">
              <w:rPr>
                <w:rFonts w:asciiTheme="minorHAnsi" w:hAnsiTheme="minorHAnsi" w:cstheme="minorHAnsi"/>
                <w:sz w:val="20"/>
                <w:szCs w:val="20"/>
              </w:rPr>
              <w:t>Tax and social security</w:t>
            </w:r>
          </w:p>
        </w:tc>
        <w:tc>
          <w:tcPr>
            <w:tcW w:w="284" w:type="dxa"/>
          </w:tcPr>
          <w:p w14:paraId="0312FCA3" w14:textId="77777777" w:rsidR="00B27610" w:rsidRPr="00F9082F" w:rsidRDefault="00B27610" w:rsidP="00B27610">
            <w:pPr>
              <w:spacing w:line="276" w:lineRule="auto"/>
              <w:jc w:val="right"/>
              <w:rPr>
                <w:rFonts w:asciiTheme="minorHAnsi" w:hAnsiTheme="minorHAnsi" w:cstheme="minorHAnsi"/>
                <w:sz w:val="20"/>
                <w:szCs w:val="20"/>
              </w:rPr>
            </w:pPr>
          </w:p>
        </w:tc>
        <w:tc>
          <w:tcPr>
            <w:tcW w:w="2092" w:type="dxa"/>
            <w:shd w:val="clear" w:color="auto" w:fill="auto"/>
          </w:tcPr>
          <w:p w14:paraId="0312FCA4" w14:textId="0B078663" w:rsidR="00B27610" w:rsidRPr="00F9082F" w:rsidRDefault="009432E0" w:rsidP="00B27610">
            <w:pPr>
              <w:tabs>
                <w:tab w:val="left" w:pos="1178"/>
              </w:tabs>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c>
          <w:tcPr>
            <w:tcW w:w="2127" w:type="dxa"/>
          </w:tcPr>
          <w:p w14:paraId="0312FCA6" w14:textId="2D264267" w:rsidR="00B27610" w:rsidRPr="00F9082F" w:rsidRDefault="00FA4D4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304,34</w:t>
            </w:r>
            <w:r w:rsidR="00D4078B">
              <w:rPr>
                <w:rFonts w:asciiTheme="minorHAnsi" w:hAnsiTheme="minorHAnsi" w:cstheme="minorHAnsi"/>
                <w:sz w:val="20"/>
                <w:szCs w:val="20"/>
              </w:rPr>
              <w:t>8</w:t>
            </w:r>
          </w:p>
        </w:tc>
      </w:tr>
      <w:tr w:rsidR="007C69AE" w:rsidRPr="00F9082F" w14:paraId="0312FCAD" w14:textId="77777777" w:rsidTr="007C69AE">
        <w:trPr>
          <w:trHeight w:val="303"/>
        </w:trPr>
        <w:tc>
          <w:tcPr>
            <w:tcW w:w="5103" w:type="dxa"/>
          </w:tcPr>
          <w:p w14:paraId="0312FCA8" w14:textId="7C6ACE2D" w:rsidR="007C69AE" w:rsidRPr="00F9082F" w:rsidRDefault="007C69AE" w:rsidP="007C69AE">
            <w:pPr>
              <w:spacing w:line="276" w:lineRule="auto"/>
              <w:ind w:hanging="108"/>
              <w:rPr>
                <w:rFonts w:asciiTheme="minorHAnsi" w:hAnsiTheme="minorHAnsi" w:cstheme="minorHAnsi"/>
                <w:sz w:val="20"/>
                <w:szCs w:val="20"/>
              </w:rPr>
            </w:pPr>
            <w:r w:rsidRPr="00F9082F">
              <w:rPr>
                <w:rFonts w:asciiTheme="minorHAnsi" w:hAnsiTheme="minorHAnsi" w:cstheme="minorHAnsi"/>
                <w:sz w:val="20"/>
                <w:szCs w:val="20"/>
              </w:rPr>
              <w:t>Total</w:t>
            </w:r>
          </w:p>
        </w:tc>
        <w:tc>
          <w:tcPr>
            <w:tcW w:w="284" w:type="dxa"/>
            <w:tcBorders>
              <w:right w:val="single" w:sz="4" w:space="0" w:color="auto"/>
            </w:tcBorders>
          </w:tcPr>
          <w:p w14:paraId="0312FCA9" w14:textId="77777777" w:rsidR="007C69AE" w:rsidRPr="00F9082F" w:rsidRDefault="007C69AE" w:rsidP="000D6FDC">
            <w:pPr>
              <w:spacing w:line="276" w:lineRule="auto"/>
              <w:jc w:val="right"/>
              <w:rPr>
                <w:rFonts w:asciiTheme="minorHAnsi" w:hAnsiTheme="minorHAnsi" w:cstheme="minorHAnsi"/>
                <w:sz w:val="20"/>
                <w:szCs w:val="20"/>
              </w:rPr>
            </w:pPr>
          </w:p>
        </w:tc>
        <w:tc>
          <w:tcPr>
            <w:tcW w:w="2092" w:type="dxa"/>
            <w:tcBorders>
              <w:top w:val="single" w:sz="4" w:space="0" w:color="auto"/>
              <w:left w:val="single" w:sz="4" w:space="0" w:color="auto"/>
              <w:bottom w:val="single" w:sz="4" w:space="0" w:color="auto"/>
            </w:tcBorders>
            <w:shd w:val="clear" w:color="auto" w:fill="auto"/>
          </w:tcPr>
          <w:p w14:paraId="0312FCAA" w14:textId="04EE0AAD" w:rsidR="007C69AE" w:rsidRPr="00F9082F" w:rsidRDefault="005F755E" w:rsidP="000D6FDC">
            <w:pPr>
              <w:spacing w:line="276" w:lineRule="auto"/>
              <w:jc w:val="right"/>
              <w:rPr>
                <w:rFonts w:asciiTheme="minorHAnsi" w:hAnsiTheme="minorHAnsi" w:cstheme="minorHAnsi"/>
                <w:sz w:val="20"/>
                <w:szCs w:val="20"/>
              </w:rPr>
            </w:pPr>
            <w:r>
              <w:rPr>
                <w:rFonts w:asciiTheme="minorHAnsi" w:hAnsiTheme="minorHAnsi" w:cstheme="minorHAnsi"/>
                <w:sz w:val="20"/>
                <w:szCs w:val="20"/>
              </w:rPr>
              <w:t>6,</w:t>
            </w:r>
            <w:r w:rsidR="000168F3">
              <w:rPr>
                <w:rFonts w:asciiTheme="minorHAnsi" w:hAnsiTheme="minorHAnsi" w:cstheme="minorHAnsi"/>
                <w:sz w:val="20"/>
                <w:szCs w:val="20"/>
              </w:rPr>
              <w:t>523</w:t>
            </w:r>
            <w:r>
              <w:rPr>
                <w:rFonts w:asciiTheme="minorHAnsi" w:hAnsiTheme="minorHAnsi" w:cstheme="minorHAnsi"/>
                <w:sz w:val="20"/>
                <w:szCs w:val="20"/>
              </w:rPr>
              <w:t>,</w:t>
            </w:r>
            <w:r w:rsidR="000168F3">
              <w:rPr>
                <w:rFonts w:asciiTheme="minorHAnsi" w:hAnsiTheme="minorHAnsi" w:cstheme="minorHAnsi"/>
                <w:sz w:val="20"/>
                <w:szCs w:val="20"/>
              </w:rPr>
              <w:t>52</w:t>
            </w:r>
            <w:r w:rsidR="00CA468B">
              <w:rPr>
                <w:rFonts w:asciiTheme="minorHAnsi" w:hAnsiTheme="minorHAnsi" w:cstheme="minorHAnsi"/>
                <w:sz w:val="20"/>
                <w:szCs w:val="20"/>
              </w:rPr>
              <w:t>6</w:t>
            </w:r>
          </w:p>
        </w:tc>
        <w:tc>
          <w:tcPr>
            <w:tcW w:w="2127" w:type="dxa"/>
            <w:tcBorders>
              <w:top w:val="single" w:sz="4" w:space="0" w:color="auto"/>
              <w:bottom w:val="single" w:sz="4" w:space="0" w:color="auto"/>
              <w:right w:val="single" w:sz="4" w:space="0" w:color="auto"/>
            </w:tcBorders>
          </w:tcPr>
          <w:p w14:paraId="0312FCAC" w14:textId="0E74C8D4" w:rsidR="007C69AE" w:rsidRPr="00F9082F" w:rsidRDefault="00FA4D43" w:rsidP="000D6FDC">
            <w:pPr>
              <w:spacing w:line="276" w:lineRule="auto"/>
              <w:jc w:val="right"/>
              <w:rPr>
                <w:rFonts w:asciiTheme="minorHAnsi" w:hAnsiTheme="minorHAnsi" w:cstheme="minorHAnsi"/>
                <w:sz w:val="20"/>
                <w:szCs w:val="20"/>
              </w:rPr>
            </w:pPr>
            <w:r>
              <w:rPr>
                <w:rFonts w:asciiTheme="minorHAnsi" w:hAnsiTheme="minorHAnsi" w:cstheme="minorHAnsi"/>
                <w:sz w:val="20"/>
                <w:szCs w:val="20"/>
              </w:rPr>
              <w:t>5,</w:t>
            </w:r>
            <w:r w:rsidR="009E51C6">
              <w:rPr>
                <w:rFonts w:asciiTheme="minorHAnsi" w:hAnsiTheme="minorHAnsi" w:cstheme="minorHAnsi"/>
                <w:sz w:val="20"/>
                <w:szCs w:val="20"/>
              </w:rPr>
              <w:t>88</w:t>
            </w:r>
            <w:r w:rsidR="0006558D">
              <w:rPr>
                <w:rFonts w:asciiTheme="minorHAnsi" w:hAnsiTheme="minorHAnsi" w:cstheme="minorHAnsi"/>
                <w:sz w:val="20"/>
                <w:szCs w:val="20"/>
              </w:rPr>
              <w:t>1</w:t>
            </w:r>
            <w:r w:rsidR="009E51C6">
              <w:rPr>
                <w:rFonts w:asciiTheme="minorHAnsi" w:hAnsiTheme="minorHAnsi" w:cstheme="minorHAnsi"/>
                <w:sz w:val="20"/>
                <w:szCs w:val="20"/>
              </w:rPr>
              <w:t>,</w:t>
            </w:r>
            <w:r w:rsidR="00D4078B">
              <w:rPr>
                <w:rFonts w:asciiTheme="minorHAnsi" w:hAnsiTheme="minorHAnsi" w:cstheme="minorHAnsi"/>
                <w:sz w:val="20"/>
                <w:szCs w:val="20"/>
              </w:rPr>
              <w:t>469</w:t>
            </w:r>
          </w:p>
        </w:tc>
      </w:tr>
    </w:tbl>
    <w:p w14:paraId="40C09AE7" w14:textId="6CF7C3EA" w:rsidR="007C69AE" w:rsidRPr="00F9082F" w:rsidRDefault="007C69AE" w:rsidP="007C69AE">
      <w:pPr>
        <w:pStyle w:val="ListParagraph"/>
        <w:keepNext/>
        <w:spacing w:before="240" w:line="276" w:lineRule="auto"/>
        <w:ind w:left="567"/>
        <w:contextualSpacing w:val="0"/>
        <w:jc w:val="both"/>
        <w:rPr>
          <w:rFonts w:asciiTheme="minorHAnsi" w:hAnsiTheme="minorHAnsi" w:cstheme="minorHAnsi"/>
          <w:sz w:val="20"/>
          <w:szCs w:val="20"/>
        </w:rPr>
      </w:pPr>
      <w:r w:rsidRPr="00F9082F">
        <w:rPr>
          <w:rFonts w:asciiTheme="minorHAnsi" w:hAnsiTheme="minorHAnsi" w:cstheme="minorHAnsi"/>
          <w:sz w:val="20"/>
          <w:szCs w:val="20"/>
        </w:rPr>
        <w:t>Book values approximate to fair values at 30 June 20</w:t>
      </w:r>
      <w:r w:rsidR="006175B1" w:rsidRPr="00F9082F">
        <w:rPr>
          <w:rFonts w:asciiTheme="minorHAnsi" w:hAnsiTheme="minorHAnsi" w:cstheme="minorHAnsi"/>
          <w:sz w:val="20"/>
          <w:szCs w:val="20"/>
        </w:rPr>
        <w:t>2</w:t>
      </w:r>
      <w:r w:rsidR="00FA4D43">
        <w:rPr>
          <w:rFonts w:asciiTheme="minorHAnsi" w:hAnsiTheme="minorHAnsi" w:cstheme="minorHAnsi"/>
          <w:sz w:val="20"/>
          <w:szCs w:val="20"/>
        </w:rPr>
        <w:t>2</w:t>
      </w:r>
      <w:r w:rsidRPr="00F9082F">
        <w:rPr>
          <w:rFonts w:asciiTheme="minorHAnsi" w:hAnsiTheme="minorHAnsi" w:cstheme="minorHAnsi"/>
          <w:sz w:val="20"/>
          <w:szCs w:val="20"/>
        </w:rPr>
        <w:t xml:space="preserve"> and 3</w:t>
      </w:r>
      <w:r w:rsidR="006175B1" w:rsidRPr="00F9082F">
        <w:rPr>
          <w:rFonts w:asciiTheme="minorHAnsi" w:hAnsiTheme="minorHAnsi" w:cstheme="minorHAnsi"/>
          <w:sz w:val="20"/>
          <w:szCs w:val="20"/>
        </w:rPr>
        <w:t>0 June 20</w:t>
      </w:r>
      <w:r w:rsidR="00FA4D43">
        <w:rPr>
          <w:rFonts w:asciiTheme="minorHAnsi" w:hAnsiTheme="minorHAnsi" w:cstheme="minorHAnsi"/>
          <w:sz w:val="20"/>
          <w:szCs w:val="20"/>
        </w:rPr>
        <w:t>21</w:t>
      </w:r>
      <w:r w:rsidRPr="00F9082F">
        <w:rPr>
          <w:rFonts w:asciiTheme="minorHAnsi" w:hAnsiTheme="minorHAnsi" w:cstheme="minorHAnsi"/>
          <w:sz w:val="20"/>
          <w:szCs w:val="20"/>
        </w:rPr>
        <w:t>.</w:t>
      </w:r>
    </w:p>
    <w:p w14:paraId="0BF4D2FB" w14:textId="63791EC7" w:rsidR="007C69AE" w:rsidRPr="004429BA" w:rsidRDefault="007C69AE" w:rsidP="007C69AE">
      <w:pPr>
        <w:pStyle w:val="ListParagraph"/>
        <w:keepNext/>
        <w:tabs>
          <w:tab w:val="left" w:pos="4508"/>
        </w:tabs>
        <w:spacing w:before="120" w:line="276" w:lineRule="auto"/>
        <w:ind w:left="567"/>
        <w:contextualSpacing w:val="0"/>
        <w:jc w:val="both"/>
        <w:rPr>
          <w:rFonts w:asciiTheme="minorHAnsi" w:hAnsiTheme="minorHAnsi" w:cstheme="minorHAnsi"/>
          <w:sz w:val="20"/>
          <w:szCs w:val="20"/>
        </w:rPr>
      </w:pPr>
      <w:r w:rsidRPr="004429BA">
        <w:rPr>
          <w:rFonts w:asciiTheme="minorHAnsi" w:hAnsiTheme="minorHAnsi" w:cstheme="minorHAnsi"/>
          <w:b/>
          <w:sz w:val="20"/>
          <w:szCs w:val="20"/>
        </w:rPr>
        <w:t>Company</w:t>
      </w:r>
    </w:p>
    <w:tbl>
      <w:tblPr>
        <w:tblW w:w="9606" w:type="dxa"/>
        <w:tblInd w:w="567" w:type="dxa"/>
        <w:tblLook w:val="00A0" w:firstRow="1" w:lastRow="0" w:firstColumn="1" w:lastColumn="0" w:noHBand="0" w:noVBand="0"/>
      </w:tblPr>
      <w:tblGrid>
        <w:gridCol w:w="5103"/>
        <w:gridCol w:w="284"/>
        <w:gridCol w:w="2092"/>
        <w:gridCol w:w="2127"/>
      </w:tblGrid>
      <w:tr w:rsidR="007C69AE" w:rsidRPr="004429BA" w14:paraId="55AA65DD" w14:textId="77777777" w:rsidTr="00DD18A8">
        <w:trPr>
          <w:trHeight w:val="892"/>
          <w:tblHeader/>
        </w:trPr>
        <w:tc>
          <w:tcPr>
            <w:tcW w:w="5103" w:type="dxa"/>
          </w:tcPr>
          <w:p w14:paraId="4A4EAA52" w14:textId="77777777" w:rsidR="007C69AE" w:rsidRPr="004429BA" w:rsidRDefault="007C69AE" w:rsidP="00DD18A8">
            <w:pPr>
              <w:spacing w:line="276" w:lineRule="auto"/>
              <w:jc w:val="both"/>
              <w:rPr>
                <w:rFonts w:asciiTheme="minorHAnsi" w:hAnsiTheme="minorHAnsi" w:cstheme="minorHAnsi"/>
                <w:sz w:val="20"/>
                <w:szCs w:val="20"/>
              </w:rPr>
            </w:pPr>
          </w:p>
        </w:tc>
        <w:tc>
          <w:tcPr>
            <w:tcW w:w="284" w:type="dxa"/>
          </w:tcPr>
          <w:p w14:paraId="46E8DC0A" w14:textId="77777777" w:rsidR="007C69AE" w:rsidRPr="004429BA" w:rsidRDefault="007C69AE" w:rsidP="00DD18A8">
            <w:pPr>
              <w:spacing w:line="276" w:lineRule="auto"/>
              <w:jc w:val="right"/>
              <w:rPr>
                <w:rFonts w:asciiTheme="minorHAnsi" w:hAnsiTheme="minorHAnsi" w:cstheme="minorHAnsi"/>
                <w:sz w:val="20"/>
                <w:szCs w:val="20"/>
              </w:rPr>
            </w:pPr>
          </w:p>
        </w:tc>
        <w:tc>
          <w:tcPr>
            <w:tcW w:w="2092" w:type="dxa"/>
          </w:tcPr>
          <w:p w14:paraId="6E4E33B6" w14:textId="42933C62" w:rsidR="007C69AE" w:rsidRPr="004429BA" w:rsidRDefault="007C69AE" w:rsidP="00DD18A8">
            <w:pPr>
              <w:spacing w:line="276" w:lineRule="auto"/>
              <w:jc w:val="right"/>
              <w:rPr>
                <w:rFonts w:asciiTheme="minorHAnsi" w:hAnsiTheme="minorHAnsi" w:cstheme="minorHAnsi"/>
                <w:b/>
                <w:sz w:val="20"/>
                <w:szCs w:val="20"/>
              </w:rPr>
            </w:pPr>
            <w:r w:rsidRPr="004429BA">
              <w:rPr>
                <w:rFonts w:asciiTheme="minorHAnsi" w:hAnsiTheme="minorHAnsi" w:cstheme="minorHAnsi"/>
                <w:b/>
                <w:sz w:val="20"/>
                <w:szCs w:val="20"/>
              </w:rPr>
              <w:t>30 June</w:t>
            </w:r>
            <w:r w:rsidRPr="004429BA">
              <w:rPr>
                <w:rFonts w:asciiTheme="minorHAnsi" w:hAnsiTheme="minorHAnsi" w:cstheme="minorHAnsi"/>
                <w:b/>
                <w:sz w:val="20"/>
                <w:szCs w:val="20"/>
              </w:rPr>
              <w:br/>
              <w:t>20</w:t>
            </w:r>
            <w:r w:rsidR="006175B1" w:rsidRPr="004429BA">
              <w:rPr>
                <w:rFonts w:asciiTheme="minorHAnsi" w:hAnsiTheme="minorHAnsi" w:cstheme="minorHAnsi"/>
                <w:b/>
                <w:sz w:val="20"/>
                <w:szCs w:val="20"/>
              </w:rPr>
              <w:t>2</w:t>
            </w:r>
            <w:r w:rsidR="00FA4D43">
              <w:rPr>
                <w:rFonts w:asciiTheme="minorHAnsi" w:hAnsiTheme="minorHAnsi" w:cstheme="minorHAnsi"/>
                <w:b/>
                <w:sz w:val="20"/>
                <w:szCs w:val="20"/>
              </w:rPr>
              <w:t>2</w:t>
            </w:r>
            <w:r w:rsidRPr="004429BA">
              <w:rPr>
                <w:rFonts w:asciiTheme="minorHAnsi" w:hAnsiTheme="minorHAnsi" w:cstheme="minorHAnsi"/>
                <w:b/>
                <w:sz w:val="20"/>
                <w:szCs w:val="20"/>
              </w:rPr>
              <w:br/>
              <w:t>£</w:t>
            </w:r>
          </w:p>
        </w:tc>
        <w:tc>
          <w:tcPr>
            <w:tcW w:w="2127" w:type="dxa"/>
          </w:tcPr>
          <w:p w14:paraId="4922C347" w14:textId="711B43F4" w:rsidR="007C69AE" w:rsidRPr="004429BA" w:rsidRDefault="007C69AE" w:rsidP="00DD18A8">
            <w:pPr>
              <w:spacing w:line="276" w:lineRule="auto"/>
              <w:jc w:val="right"/>
              <w:rPr>
                <w:rFonts w:asciiTheme="minorHAnsi" w:hAnsiTheme="minorHAnsi" w:cstheme="minorHAnsi"/>
                <w:b/>
                <w:sz w:val="20"/>
                <w:szCs w:val="20"/>
              </w:rPr>
            </w:pPr>
            <w:r w:rsidRPr="004429BA">
              <w:rPr>
                <w:rFonts w:asciiTheme="minorHAnsi" w:hAnsiTheme="minorHAnsi" w:cstheme="minorHAnsi"/>
                <w:b/>
                <w:sz w:val="20"/>
                <w:szCs w:val="20"/>
              </w:rPr>
              <w:t>3</w:t>
            </w:r>
            <w:r w:rsidR="006175B1" w:rsidRPr="004429BA">
              <w:rPr>
                <w:rFonts w:asciiTheme="minorHAnsi" w:hAnsiTheme="minorHAnsi" w:cstheme="minorHAnsi"/>
                <w:b/>
                <w:sz w:val="20"/>
                <w:szCs w:val="20"/>
              </w:rPr>
              <w:t>0 June</w:t>
            </w:r>
            <w:r w:rsidRPr="004429BA">
              <w:rPr>
                <w:rFonts w:asciiTheme="minorHAnsi" w:hAnsiTheme="minorHAnsi" w:cstheme="minorHAnsi"/>
                <w:b/>
                <w:sz w:val="20"/>
                <w:szCs w:val="20"/>
              </w:rPr>
              <w:br/>
              <w:t>20</w:t>
            </w:r>
            <w:r w:rsidR="00FA4D43">
              <w:rPr>
                <w:rFonts w:asciiTheme="minorHAnsi" w:hAnsiTheme="minorHAnsi" w:cstheme="minorHAnsi"/>
                <w:b/>
                <w:sz w:val="20"/>
                <w:szCs w:val="20"/>
              </w:rPr>
              <w:t>21</w:t>
            </w:r>
            <w:r w:rsidRPr="004429BA">
              <w:rPr>
                <w:rFonts w:asciiTheme="minorHAnsi" w:hAnsiTheme="minorHAnsi" w:cstheme="minorHAnsi"/>
                <w:b/>
                <w:sz w:val="20"/>
                <w:szCs w:val="20"/>
              </w:rPr>
              <w:br/>
              <w:t>£</w:t>
            </w:r>
          </w:p>
        </w:tc>
      </w:tr>
      <w:tr w:rsidR="00B27610" w:rsidRPr="004429BA" w14:paraId="762F6376" w14:textId="77777777" w:rsidTr="00DD18A8">
        <w:trPr>
          <w:trHeight w:val="303"/>
        </w:trPr>
        <w:tc>
          <w:tcPr>
            <w:tcW w:w="5103" w:type="dxa"/>
          </w:tcPr>
          <w:p w14:paraId="0512BEC8" w14:textId="77777777" w:rsidR="00B27610" w:rsidRPr="004429BA" w:rsidRDefault="00B27610" w:rsidP="00B27610">
            <w:pPr>
              <w:spacing w:line="276" w:lineRule="auto"/>
              <w:ind w:hanging="108"/>
              <w:rPr>
                <w:rFonts w:asciiTheme="minorHAnsi" w:hAnsiTheme="minorHAnsi" w:cstheme="minorHAnsi"/>
                <w:sz w:val="20"/>
                <w:szCs w:val="20"/>
              </w:rPr>
            </w:pPr>
            <w:r w:rsidRPr="004429BA">
              <w:rPr>
                <w:rFonts w:asciiTheme="minorHAnsi" w:hAnsiTheme="minorHAnsi" w:cstheme="minorHAnsi"/>
                <w:sz w:val="20"/>
                <w:szCs w:val="20"/>
              </w:rPr>
              <w:t xml:space="preserve">Trade payables </w:t>
            </w:r>
          </w:p>
        </w:tc>
        <w:tc>
          <w:tcPr>
            <w:tcW w:w="284" w:type="dxa"/>
          </w:tcPr>
          <w:p w14:paraId="3B2DBCEC" w14:textId="77777777" w:rsidR="00B27610" w:rsidRPr="004429BA" w:rsidRDefault="00B27610" w:rsidP="00B27610">
            <w:pPr>
              <w:spacing w:line="276" w:lineRule="auto"/>
              <w:jc w:val="right"/>
              <w:rPr>
                <w:rFonts w:asciiTheme="minorHAnsi" w:hAnsiTheme="minorHAnsi" w:cstheme="minorHAnsi"/>
                <w:sz w:val="20"/>
                <w:szCs w:val="20"/>
              </w:rPr>
            </w:pPr>
          </w:p>
        </w:tc>
        <w:tc>
          <w:tcPr>
            <w:tcW w:w="2092" w:type="dxa"/>
            <w:shd w:val="clear" w:color="auto" w:fill="auto"/>
          </w:tcPr>
          <w:p w14:paraId="64B58166" w14:textId="694EB440" w:rsidR="00B27610" w:rsidRPr="004429BA" w:rsidRDefault="000168F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809,3</w:t>
            </w:r>
            <w:r w:rsidR="00CA468B">
              <w:rPr>
                <w:rFonts w:asciiTheme="minorHAnsi" w:hAnsiTheme="minorHAnsi" w:cstheme="minorHAnsi"/>
                <w:sz w:val="20"/>
                <w:szCs w:val="20"/>
              </w:rPr>
              <w:t>80</w:t>
            </w:r>
          </w:p>
        </w:tc>
        <w:tc>
          <w:tcPr>
            <w:tcW w:w="2127" w:type="dxa"/>
          </w:tcPr>
          <w:p w14:paraId="223213D4" w14:textId="350B7270" w:rsidR="00B27610" w:rsidRPr="004429BA" w:rsidRDefault="00FA4D4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77</w:t>
            </w:r>
            <w:r w:rsidR="0006558D">
              <w:rPr>
                <w:rFonts w:asciiTheme="minorHAnsi" w:hAnsiTheme="minorHAnsi" w:cstheme="minorHAnsi"/>
                <w:sz w:val="20"/>
                <w:szCs w:val="20"/>
              </w:rPr>
              <w:t>5</w:t>
            </w:r>
            <w:r>
              <w:rPr>
                <w:rFonts w:asciiTheme="minorHAnsi" w:hAnsiTheme="minorHAnsi" w:cstheme="minorHAnsi"/>
                <w:sz w:val="20"/>
                <w:szCs w:val="20"/>
              </w:rPr>
              <w:t>,3</w:t>
            </w:r>
            <w:r w:rsidR="0006558D">
              <w:rPr>
                <w:rFonts w:asciiTheme="minorHAnsi" w:hAnsiTheme="minorHAnsi" w:cstheme="minorHAnsi"/>
                <w:sz w:val="20"/>
                <w:szCs w:val="20"/>
              </w:rPr>
              <w:t>7</w:t>
            </w:r>
            <w:r>
              <w:rPr>
                <w:rFonts w:asciiTheme="minorHAnsi" w:hAnsiTheme="minorHAnsi" w:cstheme="minorHAnsi"/>
                <w:sz w:val="20"/>
                <w:szCs w:val="20"/>
              </w:rPr>
              <w:t>6</w:t>
            </w:r>
          </w:p>
        </w:tc>
      </w:tr>
      <w:tr w:rsidR="00B27610" w:rsidRPr="004429BA" w14:paraId="77740EF8" w14:textId="77777777" w:rsidTr="001640EE">
        <w:trPr>
          <w:trHeight w:val="303"/>
        </w:trPr>
        <w:tc>
          <w:tcPr>
            <w:tcW w:w="5103" w:type="dxa"/>
          </w:tcPr>
          <w:p w14:paraId="13078F98" w14:textId="18955E01" w:rsidR="00B27610" w:rsidRPr="004429BA" w:rsidRDefault="00B27610" w:rsidP="00B27610">
            <w:pPr>
              <w:spacing w:line="276" w:lineRule="auto"/>
              <w:ind w:hanging="108"/>
              <w:rPr>
                <w:rFonts w:asciiTheme="minorHAnsi" w:hAnsiTheme="minorHAnsi" w:cstheme="minorHAnsi"/>
                <w:sz w:val="20"/>
                <w:szCs w:val="20"/>
              </w:rPr>
            </w:pPr>
            <w:r w:rsidRPr="004429BA">
              <w:rPr>
                <w:rFonts w:asciiTheme="minorHAnsi" w:hAnsiTheme="minorHAnsi" w:cstheme="minorHAnsi"/>
                <w:sz w:val="20"/>
                <w:szCs w:val="20"/>
              </w:rPr>
              <w:t xml:space="preserve">Other payables </w:t>
            </w:r>
          </w:p>
        </w:tc>
        <w:tc>
          <w:tcPr>
            <w:tcW w:w="284" w:type="dxa"/>
          </w:tcPr>
          <w:p w14:paraId="241C7916" w14:textId="77777777" w:rsidR="00B27610" w:rsidRPr="004429BA" w:rsidRDefault="00B27610" w:rsidP="00B27610">
            <w:pPr>
              <w:spacing w:line="276" w:lineRule="auto"/>
              <w:jc w:val="right"/>
              <w:rPr>
                <w:rFonts w:asciiTheme="minorHAnsi" w:hAnsiTheme="minorHAnsi" w:cstheme="minorHAnsi"/>
                <w:sz w:val="20"/>
                <w:szCs w:val="20"/>
              </w:rPr>
            </w:pPr>
          </w:p>
        </w:tc>
        <w:tc>
          <w:tcPr>
            <w:tcW w:w="2092" w:type="dxa"/>
            <w:shd w:val="clear" w:color="auto" w:fill="auto"/>
          </w:tcPr>
          <w:p w14:paraId="735E03AD" w14:textId="61866D28" w:rsidR="00B27610" w:rsidRPr="004429BA" w:rsidRDefault="000168F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5,574,56</w:t>
            </w:r>
            <w:r w:rsidR="00CA468B">
              <w:rPr>
                <w:rFonts w:asciiTheme="minorHAnsi" w:hAnsiTheme="minorHAnsi" w:cstheme="minorHAnsi"/>
                <w:sz w:val="20"/>
                <w:szCs w:val="20"/>
              </w:rPr>
              <w:t>2</w:t>
            </w:r>
          </w:p>
        </w:tc>
        <w:tc>
          <w:tcPr>
            <w:tcW w:w="2127" w:type="dxa"/>
          </w:tcPr>
          <w:p w14:paraId="78BFF702" w14:textId="7A0E3C2C" w:rsidR="00B27610" w:rsidRPr="004429BA" w:rsidRDefault="00FA4D4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4,657,060</w:t>
            </w:r>
          </w:p>
        </w:tc>
      </w:tr>
      <w:tr w:rsidR="00B27610" w:rsidRPr="004429BA" w14:paraId="73D9AAB9" w14:textId="77777777" w:rsidTr="001640EE">
        <w:trPr>
          <w:trHeight w:val="287"/>
        </w:trPr>
        <w:tc>
          <w:tcPr>
            <w:tcW w:w="5103" w:type="dxa"/>
          </w:tcPr>
          <w:p w14:paraId="0B988A7F" w14:textId="2019EB04" w:rsidR="00B27610" w:rsidRPr="004429BA" w:rsidRDefault="00B27610" w:rsidP="00B27610">
            <w:pPr>
              <w:spacing w:line="276" w:lineRule="auto"/>
              <w:ind w:hanging="108"/>
              <w:rPr>
                <w:rFonts w:asciiTheme="minorHAnsi" w:hAnsiTheme="minorHAnsi" w:cstheme="minorHAnsi"/>
                <w:sz w:val="20"/>
                <w:szCs w:val="20"/>
              </w:rPr>
            </w:pPr>
            <w:r w:rsidRPr="004429BA">
              <w:rPr>
                <w:rFonts w:asciiTheme="minorHAnsi" w:hAnsiTheme="minorHAnsi" w:cstheme="minorHAnsi"/>
                <w:sz w:val="20"/>
                <w:szCs w:val="20"/>
              </w:rPr>
              <w:t>Accruals</w:t>
            </w:r>
          </w:p>
        </w:tc>
        <w:tc>
          <w:tcPr>
            <w:tcW w:w="284" w:type="dxa"/>
          </w:tcPr>
          <w:p w14:paraId="7605E4A7" w14:textId="77777777" w:rsidR="00B27610" w:rsidRPr="004429BA" w:rsidRDefault="00B27610" w:rsidP="00B27610">
            <w:pPr>
              <w:spacing w:line="276" w:lineRule="auto"/>
              <w:jc w:val="right"/>
              <w:rPr>
                <w:rFonts w:asciiTheme="minorHAnsi" w:hAnsiTheme="minorHAnsi" w:cstheme="minorHAnsi"/>
                <w:sz w:val="20"/>
                <w:szCs w:val="20"/>
              </w:rPr>
            </w:pPr>
          </w:p>
        </w:tc>
        <w:tc>
          <w:tcPr>
            <w:tcW w:w="2092" w:type="dxa"/>
            <w:shd w:val="clear" w:color="auto" w:fill="auto"/>
          </w:tcPr>
          <w:p w14:paraId="5B21D58D" w14:textId="6460B4A4" w:rsidR="00B27610" w:rsidRPr="004429BA" w:rsidRDefault="000168F3" w:rsidP="00B27610">
            <w:pPr>
              <w:tabs>
                <w:tab w:val="left" w:pos="1178"/>
              </w:tabs>
              <w:spacing w:line="276" w:lineRule="auto"/>
              <w:jc w:val="right"/>
              <w:rPr>
                <w:rFonts w:asciiTheme="minorHAnsi" w:hAnsiTheme="minorHAnsi" w:cstheme="minorHAnsi"/>
                <w:sz w:val="20"/>
                <w:szCs w:val="20"/>
              </w:rPr>
            </w:pPr>
            <w:r>
              <w:rPr>
                <w:rFonts w:asciiTheme="minorHAnsi" w:hAnsiTheme="minorHAnsi" w:cstheme="minorHAnsi"/>
                <w:sz w:val="20"/>
                <w:szCs w:val="20"/>
              </w:rPr>
              <w:t>139,12</w:t>
            </w:r>
            <w:r w:rsidR="00CA468B">
              <w:rPr>
                <w:rFonts w:asciiTheme="minorHAnsi" w:hAnsiTheme="minorHAnsi" w:cstheme="minorHAnsi"/>
                <w:sz w:val="20"/>
                <w:szCs w:val="20"/>
              </w:rPr>
              <w:t>0</w:t>
            </w:r>
          </w:p>
        </w:tc>
        <w:tc>
          <w:tcPr>
            <w:tcW w:w="2127" w:type="dxa"/>
          </w:tcPr>
          <w:p w14:paraId="3C0A57DE" w14:textId="7F08C964" w:rsidR="00B27610" w:rsidRPr="004429BA" w:rsidRDefault="00FA4D43"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89,121</w:t>
            </w:r>
          </w:p>
        </w:tc>
      </w:tr>
      <w:tr w:rsidR="00B27610" w:rsidRPr="004429BA" w14:paraId="1AD7CD1F" w14:textId="77777777" w:rsidTr="001640EE">
        <w:trPr>
          <w:trHeight w:val="287"/>
        </w:trPr>
        <w:tc>
          <w:tcPr>
            <w:tcW w:w="5103" w:type="dxa"/>
          </w:tcPr>
          <w:p w14:paraId="3A6F3B0D" w14:textId="77777777" w:rsidR="00B27610" w:rsidRPr="004429BA" w:rsidRDefault="00B27610" w:rsidP="00B27610">
            <w:pPr>
              <w:spacing w:line="276" w:lineRule="auto"/>
              <w:ind w:hanging="108"/>
              <w:rPr>
                <w:rFonts w:asciiTheme="minorHAnsi" w:hAnsiTheme="minorHAnsi" w:cstheme="minorHAnsi"/>
                <w:sz w:val="20"/>
                <w:szCs w:val="20"/>
              </w:rPr>
            </w:pPr>
            <w:r w:rsidRPr="004429BA">
              <w:rPr>
                <w:rFonts w:asciiTheme="minorHAnsi" w:hAnsiTheme="minorHAnsi" w:cstheme="minorHAnsi"/>
                <w:sz w:val="20"/>
                <w:szCs w:val="20"/>
              </w:rPr>
              <w:t>Tax and social security</w:t>
            </w:r>
          </w:p>
        </w:tc>
        <w:tc>
          <w:tcPr>
            <w:tcW w:w="284" w:type="dxa"/>
          </w:tcPr>
          <w:p w14:paraId="58393E68" w14:textId="77777777" w:rsidR="00B27610" w:rsidRPr="004429BA" w:rsidRDefault="00B27610" w:rsidP="00B27610">
            <w:pPr>
              <w:spacing w:line="276" w:lineRule="auto"/>
              <w:jc w:val="right"/>
              <w:rPr>
                <w:rFonts w:asciiTheme="minorHAnsi" w:hAnsiTheme="minorHAnsi" w:cstheme="minorHAnsi"/>
                <w:sz w:val="20"/>
                <w:szCs w:val="20"/>
              </w:rPr>
            </w:pPr>
          </w:p>
        </w:tc>
        <w:tc>
          <w:tcPr>
            <w:tcW w:w="2092" w:type="dxa"/>
            <w:tcBorders>
              <w:bottom w:val="single" w:sz="4" w:space="0" w:color="auto"/>
            </w:tcBorders>
            <w:shd w:val="clear" w:color="auto" w:fill="auto"/>
          </w:tcPr>
          <w:p w14:paraId="271C1012" w14:textId="51ABD785" w:rsidR="00B27610" w:rsidRPr="004429BA" w:rsidRDefault="004429BA" w:rsidP="00B27610">
            <w:pPr>
              <w:tabs>
                <w:tab w:val="left" w:pos="1178"/>
              </w:tabs>
              <w:spacing w:line="276" w:lineRule="auto"/>
              <w:jc w:val="right"/>
              <w:rPr>
                <w:rFonts w:asciiTheme="minorHAnsi" w:hAnsiTheme="minorHAnsi" w:cstheme="minorHAnsi"/>
                <w:sz w:val="20"/>
                <w:szCs w:val="20"/>
              </w:rPr>
            </w:pPr>
            <w:r w:rsidRPr="004429BA">
              <w:rPr>
                <w:rFonts w:asciiTheme="minorHAnsi" w:hAnsiTheme="minorHAnsi" w:cstheme="minorHAnsi"/>
                <w:sz w:val="20"/>
                <w:szCs w:val="20"/>
              </w:rPr>
              <w:t>-</w:t>
            </w:r>
          </w:p>
        </w:tc>
        <w:tc>
          <w:tcPr>
            <w:tcW w:w="2127" w:type="dxa"/>
            <w:tcBorders>
              <w:bottom w:val="single" w:sz="4" w:space="0" w:color="auto"/>
            </w:tcBorders>
          </w:tcPr>
          <w:p w14:paraId="7AA158C7" w14:textId="5B49BDBA" w:rsidR="00B27610" w:rsidRPr="004429BA" w:rsidRDefault="00B27610" w:rsidP="00B27610">
            <w:pPr>
              <w:spacing w:line="276" w:lineRule="auto"/>
              <w:jc w:val="right"/>
              <w:rPr>
                <w:rFonts w:asciiTheme="minorHAnsi" w:hAnsiTheme="minorHAnsi" w:cstheme="minorHAnsi"/>
                <w:sz w:val="20"/>
                <w:szCs w:val="20"/>
              </w:rPr>
            </w:pPr>
            <w:r w:rsidRPr="004429BA">
              <w:rPr>
                <w:rFonts w:asciiTheme="minorHAnsi" w:hAnsiTheme="minorHAnsi" w:cstheme="minorHAnsi"/>
                <w:sz w:val="20"/>
                <w:szCs w:val="20"/>
              </w:rPr>
              <w:t>-</w:t>
            </w:r>
          </w:p>
        </w:tc>
      </w:tr>
      <w:tr w:rsidR="007C69AE" w:rsidRPr="004429BA" w14:paraId="4AC9F3DA" w14:textId="77777777" w:rsidTr="007C69AE">
        <w:trPr>
          <w:trHeight w:val="303"/>
        </w:trPr>
        <w:tc>
          <w:tcPr>
            <w:tcW w:w="5103" w:type="dxa"/>
          </w:tcPr>
          <w:p w14:paraId="6C0AC9DD" w14:textId="77777777" w:rsidR="007C69AE" w:rsidRPr="004429BA" w:rsidRDefault="007C69AE" w:rsidP="00DD18A8">
            <w:pPr>
              <w:spacing w:line="276" w:lineRule="auto"/>
              <w:rPr>
                <w:rFonts w:asciiTheme="minorHAnsi" w:hAnsiTheme="minorHAnsi" w:cstheme="minorHAnsi"/>
                <w:sz w:val="20"/>
                <w:szCs w:val="20"/>
              </w:rPr>
            </w:pPr>
          </w:p>
        </w:tc>
        <w:tc>
          <w:tcPr>
            <w:tcW w:w="284" w:type="dxa"/>
            <w:tcBorders>
              <w:right w:val="single" w:sz="4" w:space="0" w:color="auto"/>
            </w:tcBorders>
          </w:tcPr>
          <w:p w14:paraId="74EF1F70" w14:textId="77777777" w:rsidR="007C69AE" w:rsidRPr="004429BA" w:rsidRDefault="007C69AE" w:rsidP="00DD18A8">
            <w:pPr>
              <w:spacing w:line="276" w:lineRule="auto"/>
              <w:jc w:val="right"/>
              <w:rPr>
                <w:rFonts w:asciiTheme="minorHAnsi" w:hAnsiTheme="minorHAnsi" w:cstheme="minorHAnsi"/>
                <w:sz w:val="20"/>
                <w:szCs w:val="20"/>
              </w:rPr>
            </w:pPr>
          </w:p>
        </w:tc>
        <w:tc>
          <w:tcPr>
            <w:tcW w:w="2092" w:type="dxa"/>
            <w:tcBorders>
              <w:top w:val="single" w:sz="4" w:space="0" w:color="auto"/>
              <w:left w:val="single" w:sz="4" w:space="0" w:color="auto"/>
              <w:bottom w:val="single" w:sz="4" w:space="0" w:color="auto"/>
            </w:tcBorders>
            <w:shd w:val="clear" w:color="auto" w:fill="auto"/>
          </w:tcPr>
          <w:p w14:paraId="14960B25" w14:textId="0C5206E2" w:rsidR="007C69AE" w:rsidRPr="004429BA" w:rsidRDefault="00A14B95" w:rsidP="00DD18A8">
            <w:pPr>
              <w:spacing w:line="276" w:lineRule="auto"/>
              <w:jc w:val="right"/>
              <w:rPr>
                <w:rFonts w:asciiTheme="minorHAnsi" w:hAnsiTheme="minorHAnsi" w:cstheme="minorHAnsi"/>
                <w:sz w:val="20"/>
                <w:szCs w:val="20"/>
              </w:rPr>
            </w:pPr>
            <w:r>
              <w:rPr>
                <w:rFonts w:asciiTheme="minorHAnsi" w:hAnsiTheme="minorHAnsi" w:cstheme="minorHAnsi"/>
                <w:sz w:val="20"/>
                <w:szCs w:val="20"/>
              </w:rPr>
              <w:t>6,</w:t>
            </w:r>
            <w:r w:rsidR="000168F3">
              <w:rPr>
                <w:rFonts w:asciiTheme="minorHAnsi" w:hAnsiTheme="minorHAnsi" w:cstheme="minorHAnsi"/>
                <w:sz w:val="20"/>
                <w:szCs w:val="20"/>
              </w:rPr>
              <w:t>523,06</w:t>
            </w:r>
            <w:r w:rsidR="00CA468B">
              <w:rPr>
                <w:rFonts w:asciiTheme="minorHAnsi" w:hAnsiTheme="minorHAnsi" w:cstheme="minorHAnsi"/>
                <w:sz w:val="20"/>
                <w:szCs w:val="20"/>
              </w:rPr>
              <w:t>2</w:t>
            </w:r>
          </w:p>
        </w:tc>
        <w:tc>
          <w:tcPr>
            <w:tcW w:w="2127" w:type="dxa"/>
            <w:tcBorders>
              <w:top w:val="single" w:sz="4" w:space="0" w:color="auto"/>
              <w:bottom w:val="single" w:sz="4" w:space="0" w:color="auto"/>
              <w:right w:val="single" w:sz="4" w:space="0" w:color="auto"/>
            </w:tcBorders>
          </w:tcPr>
          <w:p w14:paraId="5B363CDE" w14:textId="437290D5" w:rsidR="007C69AE" w:rsidRPr="004429BA" w:rsidRDefault="009E51C6" w:rsidP="00DD18A8">
            <w:pPr>
              <w:spacing w:line="276" w:lineRule="auto"/>
              <w:jc w:val="right"/>
              <w:rPr>
                <w:rFonts w:asciiTheme="minorHAnsi" w:hAnsiTheme="minorHAnsi" w:cstheme="minorHAnsi"/>
                <w:sz w:val="20"/>
                <w:szCs w:val="20"/>
              </w:rPr>
            </w:pPr>
            <w:r>
              <w:rPr>
                <w:rFonts w:asciiTheme="minorHAnsi" w:hAnsiTheme="minorHAnsi" w:cstheme="minorHAnsi"/>
                <w:sz w:val="20"/>
                <w:szCs w:val="20"/>
              </w:rPr>
              <w:t>5,52</w:t>
            </w:r>
            <w:r w:rsidR="0006558D">
              <w:rPr>
                <w:rFonts w:asciiTheme="minorHAnsi" w:hAnsiTheme="minorHAnsi" w:cstheme="minorHAnsi"/>
                <w:sz w:val="20"/>
                <w:szCs w:val="20"/>
              </w:rPr>
              <w:t>1</w:t>
            </w:r>
            <w:r>
              <w:rPr>
                <w:rFonts w:asciiTheme="minorHAnsi" w:hAnsiTheme="minorHAnsi" w:cstheme="minorHAnsi"/>
                <w:sz w:val="20"/>
                <w:szCs w:val="20"/>
              </w:rPr>
              <w:t>,</w:t>
            </w:r>
            <w:r w:rsidR="0006558D">
              <w:rPr>
                <w:rFonts w:asciiTheme="minorHAnsi" w:hAnsiTheme="minorHAnsi" w:cstheme="minorHAnsi"/>
                <w:sz w:val="20"/>
                <w:szCs w:val="20"/>
              </w:rPr>
              <w:t>55</w:t>
            </w:r>
            <w:r>
              <w:rPr>
                <w:rFonts w:asciiTheme="minorHAnsi" w:hAnsiTheme="minorHAnsi" w:cstheme="minorHAnsi"/>
                <w:sz w:val="20"/>
                <w:szCs w:val="20"/>
              </w:rPr>
              <w:t>7</w:t>
            </w:r>
          </w:p>
        </w:tc>
      </w:tr>
    </w:tbl>
    <w:p w14:paraId="4556549B" w14:textId="5690028A" w:rsidR="00034844" w:rsidRPr="004429BA" w:rsidRDefault="007C69AE" w:rsidP="00D31F2D">
      <w:pPr>
        <w:pStyle w:val="ListParagraph"/>
        <w:widowControl w:val="0"/>
        <w:spacing w:before="240" w:line="276" w:lineRule="auto"/>
        <w:ind w:left="567"/>
        <w:contextualSpacing w:val="0"/>
        <w:jc w:val="both"/>
        <w:rPr>
          <w:rFonts w:asciiTheme="minorHAnsi" w:hAnsiTheme="minorHAnsi" w:cstheme="minorHAnsi"/>
          <w:sz w:val="20"/>
          <w:szCs w:val="20"/>
        </w:rPr>
      </w:pPr>
      <w:r w:rsidRPr="004429BA">
        <w:rPr>
          <w:rFonts w:asciiTheme="minorHAnsi" w:hAnsiTheme="minorHAnsi" w:cstheme="minorHAnsi"/>
          <w:sz w:val="20"/>
          <w:szCs w:val="20"/>
        </w:rPr>
        <w:t>Book values approximate to fair values at 30 June 20</w:t>
      </w:r>
      <w:r w:rsidR="006175B1" w:rsidRPr="004429BA">
        <w:rPr>
          <w:rFonts w:asciiTheme="minorHAnsi" w:hAnsiTheme="minorHAnsi" w:cstheme="minorHAnsi"/>
          <w:sz w:val="20"/>
          <w:szCs w:val="20"/>
        </w:rPr>
        <w:t>2</w:t>
      </w:r>
      <w:r w:rsidR="00FA4D43">
        <w:rPr>
          <w:rFonts w:asciiTheme="minorHAnsi" w:hAnsiTheme="minorHAnsi" w:cstheme="minorHAnsi"/>
          <w:sz w:val="20"/>
          <w:szCs w:val="20"/>
        </w:rPr>
        <w:t>2</w:t>
      </w:r>
      <w:r w:rsidRPr="004429BA">
        <w:rPr>
          <w:rFonts w:asciiTheme="minorHAnsi" w:hAnsiTheme="minorHAnsi" w:cstheme="minorHAnsi"/>
          <w:sz w:val="20"/>
          <w:szCs w:val="20"/>
        </w:rPr>
        <w:t xml:space="preserve"> and 3</w:t>
      </w:r>
      <w:r w:rsidR="006175B1" w:rsidRPr="004429BA">
        <w:rPr>
          <w:rFonts w:asciiTheme="minorHAnsi" w:hAnsiTheme="minorHAnsi" w:cstheme="minorHAnsi"/>
          <w:sz w:val="20"/>
          <w:szCs w:val="20"/>
        </w:rPr>
        <w:t>0 June 20</w:t>
      </w:r>
      <w:r w:rsidR="00B27610" w:rsidRPr="004429BA">
        <w:rPr>
          <w:rFonts w:asciiTheme="minorHAnsi" w:hAnsiTheme="minorHAnsi" w:cstheme="minorHAnsi"/>
          <w:sz w:val="20"/>
          <w:szCs w:val="20"/>
        </w:rPr>
        <w:t>2</w:t>
      </w:r>
      <w:r w:rsidR="00FA4D43">
        <w:rPr>
          <w:rFonts w:asciiTheme="minorHAnsi" w:hAnsiTheme="minorHAnsi" w:cstheme="minorHAnsi"/>
          <w:sz w:val="20"/>
          <w:szCs w:val="20"/>
        </w:rPr>
        <w:t>1</w:t>
      </w:r>
      <w:r w:rsidRPr="004429BA">
        <w:rPr>
          <w:rFonts w:asciiTheme="minorHAnsi" w:hAnsiTheme="minorHAnsi" w:cstheme="minorHAnsi"/>
          <w:sz w:val="20"/>
          <w:szCs w:val="20"/>
        </w:rPr>
        <w:t>.</w:t>
      </w:r>
    </w:p>
    <w:p w14:paraId="0312FCCC" w14:textId="4522ED44" w:rsidR="007A2F00" w:rsidRPr="004429BA" w:rsidRDefault="007A2F00" w:rsidP="003256A6">
      <w:pPr>
        <w:pStyle w:val="ListParagraph"/>
        <w:widowControl w:val="0"/>
        <w:numPr>
          <w:ilvl w:val="0"/>
          <w:numId w:val="51"/>
        </w:numPr>
        <w:spacing w:before="120" w:line="276" w:lineRule="auto"/>
        <w:ind w:left="567" w:hanging="425"/>
        <w:contextualSpacing w:val="0"/>
        <w:jc w:val="both"/>
        <w:rPr>
          <w:rFonts w:asciiTheme="minorHAnsi" w:hAnsiTheme="minorHAnsi" w:cstheme="minorHAnsi"/>
          <w:b/>
          <w:sz w:val="20"/>
          <w:szCs w:val="20"/>
        </w:rPr>
      </w:pPr>
      <w:r w:rsidRPr="004429BA">
        <w:rPr>
          <w:rFonts w:asciiTheme="minorHAnsi" w:hAnsiTheme="minorHAnsi" w:cstheme="minorHAnsi"/>
          <w:b/>
          <w:sz w:val="20"/>
          <w:szCs w:val="20"/>
        </w:rPr>
        <w:t>Loans and borrowings</w:t>
      </w:r>
    </w:p>
    <w:p w14:paraId="0EFF0E7E" w14:textId="77777777" w:rsidR="00DF765E" w:rsidRPr="004429BA" w:rsidRDefault="00DF765E" w:rsidP="00DF765E">
      <w:pPr>
        <w:keepNext/>
        <w:tabs>
          <w:tab w:val="left" w:pos="4508"/>
        </w:tabs>
        <w:spacing w:before="120" w:line="276" w:lineRule="auto"/>
        <w:ind w:left="567"/>
        <w:jc w:val="both"/>
        <w:rPr>
          <w:rFonts w:asciiTheme="minorHAnsi" w:hAnsiTheme="minorHAnsi" w:cstheme="minorHAnsi"/>
          <w:sz w:val="20"/>
          <w:szCs w:val="20"/>
        </w:rPr>
      </w:pPr>
      <w:r w:rsidRPr="004429BA">
        <w:rPr>
          <w:rFonts w:asciiTheme="minorHAnsi" w:hAnsiTheme="minorHAnsi" w:cstheme="minorHAnsi"/>
          <w:b/>
          <w:sz w:val="20"/>
          <w:szCs w:val="20"/>
        </w:rPr>
        <w:t>Group</w:t>
      </w:r>
    </w:p>
    <w:tbl>
      <w:tblPr>
        <w:tblW w:w="9606" w:type="dxa"/>
        <w:tblInd w:w="567" w:type="dxa"/>
        <w:tblLook w:val="00A0" w:firstRow="1" w:lastRow="0" w:firstColumn="1" w:lastColumn="0" w:noHBand="0" w:noVBand="0"/>
      </w:tblPr>
      <w:tblGrid>
        <w:gridCol w:w="4798"/>
        <w:gridCol w:w="555"/>
        <w:gridCol w:w="2126"/>
        <w:gridCol w:w="2127"/>
      </w:tblGrid>
      <w:tr w:rsidR="00DF765E" w:rsidRPr="004429BA" w14:paraId="102B3C22" w14:textId="77777777" w:rsidTr="002D280B">
        <w:trPr>
          <w:trHeight w:val="813"/>
          <w:tblHeader/>
        </w:trPr>
        <w:tc>
          <w:tcPr>
            <w:tcW w:w="4798" w:type="dxa"/>
          </w:tcPr>
          <w:p w14:paraId="74AB8408" w14:textId="77777777" w:rsidR="00DF765E" w:rsidRPr="004429BA" w:rsidRDefault="00DF765E" w:rsidP="00DE18F5">
            <w:pPr>
              <w:spacing w:line="276" w:lineRule="auto"/>
              <w:ind w:hanging="105"/>
              <w:jc w:val="both"/>
              <w:rPr>
                <w:rFonts w:asciiTheme="minorHAnsi" w:hAnsiTheme="minorHAnsi" w:cstheme="minorHAnsi"/>
                <w:b/>
                <w:sz w:val="20"/>
                <w:szCs w:val="20"/>
              </w:rPr>
            </w:pPr>
          </w:p>
          <w:p w14:paraId="72F52ADA" w14:textId="77777777" w:rsidR="00DF765E" w:rsidRPr="004429BA" w:rsidRDefault="00DF765E" w:rsidP="00DE18F5">
            <w:pPr>
              <w:spacing w:line="276" w:lineRule="auto"/>
              <w:ind w:hanging="105"/>
              <w:jc w:val="both"/>
              <w:rPr>
                <w:rFonts w:asciiTheme="minorHAnsi" w:hAnsiTheme="minorHAnsi" w:cstheme="minorHAnsi"/>
                <w:b/>
                <w:sz w:val="20"/>
                <w:szCs w:val="20"/>
              </w:rPr>
            </w:pPr>
          </w:p>
          <w:p w14:paraId="4279E874" w14:textId="77777777" w:rsidR="00DF765E" w:rsidRPr="004429BA" w:rsidRDefault="00DF765E" w:rsidP="00DE18F5">
            <w:pPr>
              <w:spacing w:line="276" w:lineRule="auto"/>
              <w:ind w:hanging="105"/>
              <w:jc w:val="both"/>
              <w:rPr>
                <w:rFonts w:asciiTheme="minorHAnsi" w:hAnsiTheme="minorHAnsi" w:cstheme="minorHAnsi"/>
                <w:b/>
                <w:sz w:val="20"/>
                <w:szCs w:val="20"/>
              </w:rPr>
            </w:pPr>
            <w:r w:rsidRPr="004429BA">
              <w:rPr>
                <w:rFonts w:asciiTheme="minorHAnsi" w:hAnsiTheme="minorHAnsi" w:cstheme="minorHAnsi"/>
                <w:b/>
                <w:sz w:val="20"/>
                <w:szCs w:val="20"/>
              </w:rPr>
              <w:t>Current</w:t>
            </w:r>
          </w:p>
        </w:tc>
        <w:tc>
          <w:tcPr>
            <w:tcW w:w="555" w:type="dxa"/>
          </w:tcPr>
          <w:p w14:paraId="59D77C56" w14:textId="77777777" w:rsidR="00DF765E" w:rsidRPr="004429BA" w:rsidRDefault="00DF765E" w:rsidP="00DD18A8">
            <w:pPr>
              <w:spacing w:line="276" w:lineRule="auto"/>
              <w:jc w:val="right"/>
              <w:rPr>
                <w:rFonts w:asciiTheme="minorHAnsi" w:hAnsiTheme="minorHAnsi" w:cstheme="minorHAnsi"/>
                <w:sz w:val="20"/>
                <w:szCs w:val="20"/>
              </w:rPr>
            </w:pPr>
          </w:p>
        </w:tc>
        <w:tc>
          <w:tcPr>
            <w:tcW w:w="2126" w:type="dxa"/>
          </w:tcPr>
          <w:p w14:paraId="3AC9D30C" w14:textId="77777777" w:rsidR="00DF765E" w:rsidRPr="004429BA" w:rsidRDefault="00DF765E" w:rsidP="00DD18A8">
            <w:pPr>
              <w:spacing w:line="276" w:lineRule="auto"/>
              <w:jc w:val="right"/>
              <w:rPr>
                <w:rFonts w:asciiTheme="minorHAnsi" w:hAnsiTheme="minorHAnsi" w:cstheme="minorHAnsi"/>
                <w:b/>
                <w:sz w:val="20"/>
                <w:szCs w:val="20"/>
              </w:rPr>
            </w:pPr>
            <w:r w:rsidRPr="004429BA">
              <w:rPr>
                <w:rFonts w:asciiTheme="minorHAnsi" w:hAnsiTheme="minorHAnsi" w:cstheme="minorHAnsi"/>
                <w:b/>
                <w:sz w:val="20"/>
                <w:szCs w:val="20"/>
              </w:rPr>
              <w:t>30 June</w:t>
            </w:r>
          </w:p>
          <w:p w14:paraId="6BB24B19" w14:textId="6E680194" w:rsidR="00DF765E" w:rsidRPr="004429BA" w:rsidRDefault="00DF765E" w:rsidP="00DD18A8">
            <w:pPr>
              <w:spacing w:line="276" w:lineRule="auto"/>
              <w:jc w:val="right"/>
              <w:rPr>
                <w:rFonts w:asciiTheme="minorHAnsi" w:hAnsiTheme="minorHAnsi" w:cstheme="minorHAnsi"/>
                <w:b/>
                <w:sz w:val="20"/>
                <w:szCs w:val="20"/>
              </w:rPr>
            </w:pPr>
            <w:r w:rsidRPr="004429BA">
              <w:rPr>
                <w:rFonts w:asciiTheme="minorHAnsi" w:hAnsiTheme="minorHAnsi" w:cstheme="minorHAnsi"/>
                <w:b/>
                <w:sz w:val="20"/>
                <w:szCs w:val="20"/>
              </w:rPr>
              <w:t xml:space="preserve"> 20</w:t>
            </w:r>
            <w:r w:rsidR="002D6B80" w:rsidRPr="004429BA">
              <w:rPr>
                <w:rFonts w:asciiTheme="minorHAnsi" w:hAnsiTheme="minorHAnsi" w:cstheme="minorHAnsi"/>
                <w:b/>
                <w:sz w:val="20"/>
                <w:szCs w:val="20"/>
              </w:rPr>
              <w:t>2</w:t>
            </w:r>
            <w:r w:rsidR="009E51C6">
              <w:rPr>
                <w:rFonts w:asciiTheme="minorHAnsi" w:hAnsiTheme="minorHAnsi" w:cstheme="minorHAnsi"/>
                <w:b/>
                <w:sz w:val="20"/>
                <w:szCs w:val="20"/>
              </w:rPr>
              <w:t>2</w:t>
            </w:r>
            <w:r w:rsidRPr="004429BA">
              <w:rPr>
                <w:rFonts w:asciiTheme="minorHAnsi" w:hAnsiTheme="minorHAnsi" w:cstheme="minorHAnsi"/>
                <w:b/>
                <w:sz w:val="20"/>
                <w:szCs w:val="20"/>
              </w:rPr>
              <w:br/>
              <w:t>£</w:t>
            </w:r>
          </w:p>
        </w:tc>
        <w:tc>
          <w:tcPr>
            <w:tcW w:w="2127" w:type="dxa"/>
          </w:tcPr>
          <w:p w14:paraId="31F7F2D2" w14:textId="66386769" w:rsidR="00DF765E" w:rsidRPr="004429BA" w:rsidRDefault="00DF765E" w:rsidP="00DD18A8">
            <w:pPr>
              <w:spacing w:line="276" w:lineRule="auto"/>
              <w:jc w:val="right"/>
              <w:rPr>
                <w:rFonts w:asciiTheme="minorHAnsi" w:hAnsiTheme="minorHAnsi" w:cstheme="minorHAnsi"/>
                <w:b/>
                <w:sz w:val="20"/>
                <w:szCs w:val="20"/>
              </w:rPr>
            </w:pPr>
            <w:r w:rsidRPr="004429BA">
              <w:rPr>
                <w:rFonts w:asciiTheme="minorHAnsi" w:hAnsiTheme="minorHAnsi" w:cstheme="minorHAnsi"/>
                <w:b/>
                <w:sz w:val="20"/>
                <w:szCs w:val="20"/>
              </w:rPr>
              <w:t>3</w:t>
            </w:r>
            <w:r w:rsidR="002D6B80" w:rsidRPr="004429BA">
              <w:rPr>
                <w:rFonts w:asciiTheme="minorHAnsi" w:hAnsiTheme="minorHAnsi" w:cstheme="minorHAnsi"/>
                <w:b/>
                <w:sz w:val="20"/>
                <w:szCs w:val="20"/>
              </w:rPr>
              <w:t>0 June</w:t>
            </w:r>
            <w:r w:rsidRPr="004429BA">
              <w:rPr>
                <w:rFonts w:asciiTheme="minorHAnsi" w:hAnsiTheme="minorHAnsi" w:cstheme="minorHAnsi"/>
                <w:b/>
                <w:sz w:val="20"/>
                <w:szCs w:val="20"/>
              </w:rPr>
              <w:t xml:space="preserve"> </w:t>
            </w:r>
            <w:r w:rsidRPr="004429BA">
              <w:rPr>
                <w:rFonts w:asciiTheme="minorHAnsi" w:hAnsiTheme="minorHAnsi" w:cstheme="minorHAnsi"/>
                <w:b/>
                <w:sz w:val="20"/>
                <w:szCs w:val="20"/>
              </w:rPr>
              <w:br/>
              <w:t>20</w:t>
            </w:r>
            <w:r w:rsidR="00B27610" w:rsidRPr="004429BA">
              <w:rPr>
                <w:rFonts w:asciiTheme="minorHAnsi" w:hAnsiTheme="minorHAnsi" w:cstheme="minorHAnsi"/>
                <w:b/>
                <w:sz w:val="20"/>
                <w:szCs w:val="20"/>
              </w:rPr>
              <w:t>2</w:t>
            </w:r>
            <w:r w:rsidR="009E51C6">
              <w:rPr>
                <w:rFonts w:asciiTheme="minorHAnsi" w:hAnsiTheme="minorHAnsi" w:cstheme="minorHAnsi"/>
                <w:b/>
                <w:sz w:val="20"/>
                <w:szCs w:val="20"/>
              </w:rPr>
              <w:t>1</w:t>
            </w:r>
            <w:r w:rsidRPr="004429BA">
              <w:rPr>
                <w:rFonts w:asciiTheme="minorHAnsi" w:hAnsiTheme="minorHAnsi" w:cstheme="minorHAnsi"/>
                <w:b/>
                <w:sz w:val="20"/>
                <w:szCs w:val="20"/>
              </w:rPr>
              <w:br/>
              <w:t>£</w:t>
            </w:r>
          </w:p>
        </w:tc>
      </w:tr>
      <w:tr w:rsidR="00B27610" w:rsidRPr="004429BA" w14:paraId="4A6A3CE4" w14:textId="77777777" w:rsidTr="00DD18A8">
        <w:tc>
          <w:tcPr>
            <w:tcW w:w="4798" w:type="dxa"/>
          </w:tcPr>
          <w:p w14:paraId="6AC6C8D3" w14:textId="77777777" w:rsidR="00B27610" w:rsidRPr="004429BA" w:rsidRDefault="00B27610" w:rsidP="00DE18F5">
            <w:pPr>
              <w:spacing w:line="276" w:lineRule="auto"/>
              <w:ind w:hanging="105"/>
              <w:rPr>
                <w:rFonts w:asciiTheme="minorHAnsi" w:hAnsiTheme="minorHAnsi" w:cstheme="minorHAnsi"/>
                <w:sz w:val="20"/>
                <w:szCs w:val="20"/>
              </w:rPr>
            </w:pPr>
            <w:r w:rsidRPr="004429BA">
              <w:rPr>
                <w:rFonts w:asciiTheme="minorHAnsi" w:hAnsiTheme="minorHAnsi" w:cstheme="minorHAnsi"/>
                <w:sz w:val="20"/>
                <w:szCs w:val="20"/>
              </w:rPr>
              <w:t>Convertible loans</w:t>
            </w:r>
          </w:p>
        </w:tc>
        <w:tc>
          <w:tcPr>
            <w:tcW w:w="555" w:type="dxa"/>
          </w:tcPr>
          <w:p w14:paraId="671339F7" w14:textId="77777777" w:rsidR="00B27610" w:rsidRPr="004429BA" w:rsidRDefault="00B27610" w:rsidP="00B27610">
            <w:pPr>
              <w:spacing w:line="276" w:lineRule="auto"/>
              <w:jc w:val="right"/>
              <w:rPr>
                <w:rFonts w:asciiTheme="minorHAnsi" w:hAnsiTheme="minorHAnsi" w:cstheme="minorHAnsi"/>
                <w:sz w:val="20"/>
                <w:szCs w:val="20"/>
              </w:rPr>
            </w:pPr>
          </w:p>
        </w:tc>
        <w:tc>
          <w:tcPr>
            <w:tcW w:w="2126" w:type="dxa"/>
            <w:tcBorders>
              <w:bottom w:val="single" w:sz="4" w:space="0" w:color="auto"/>
            </w:tcBorders>
          </w:tcPr>
          <w:p w14:paraId="67A3A78C" w14:textId="1CBD4F92" w:rsidR="00B27610" w:rsidRPr="004429BA" w:rsidRDefault="00A14B95"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2,415,000</w:t>
            </w:r>
          </w:p>
        </w:tc>
        <w:tc>
          <w:tcPr>
            <w:tcW w:w="2127" w:type="dxa"/>
            <w:tcBorders>
              <w:bottom w:val="single" w:sz="4" w:space="0" w:color="auto"/>
            </w:tcBorders>
          </w:tcPr>
          <w:p w14:paraId="0C5F9881" w14:textId="1CAA37A5" w:rsidR="00B27610" w:rsidRPr="004429BA" w:rsidRDefault="009E51C6"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2,415</w:t>
            </w:r>
            <w:r w:rsidR="00B27610" w:rsidRPr="004429BA">
              <w:rPr>
                <w:rFonts w:asciiTheme="minorHAnsi" w:hAnsiTheme="minorHAnsi" w:cstheme="minorHAnsi"/>
                <w:sz w:val="20"/>
                <w:szCs w:val="20"/>
              </w:rPr>
              <w:t>,000</w:t>
            </w:r>
          </w:p>
        </w:tc>
      </w:tr>
      <w:tr w:rsidR="00DF765E" w:rsidRPr="004429BA" w14:paraId="18BB63DB" w14:textId="77777777" w:rsidTr="00DD18A8">
        <w:tc>
          <w:tcPr>
            <w:tcW w:w="4798" w:type="dxa"/>
          </w:tcPr>
          <w:p w14:paraId="68AEE139" w14:textId="77777777" w:rsidR="00DF765E" w:rsidRPr="004429BA" w:rsidRDefault="00DF765E" w:rsidP="00DE18F5">
            <w:pPr>
              <w:spacing w:line="276" w:lineRule="auto"/>
              <w:ind w:hanging="105"/>
              <w:rPr>
                <w:rFonts w:asciiTheme="minorHAnsi" w:hAnsiTheme="minorHAnsi" w:cstheme="minorHAnsi"/>
                <w:b/>
                <w:sz w:val="20"/>
                <w:szCs w:val="20"/>
              </w:rPr>
            </w:pPr>
            <w:r w:rsidRPr="004429BA">
              <w:rPr>
                <w:rFonts w:asciiTheme="minorHAnsi" w:hAnsiTheme="minorHAnsi" w:cstheme="minorHAnsi"/>
                <w:b/>
                <w:sz w:val="20"/>
                <w:szCs w:val="20"/>
              </w:rPr>
              <w:t>Total</w:t>
            </w:r>
          </w:p>
        </w:tc>
        <w:tc>
          <w:tcPr>
            <w:tcW w:w="555" w:type="dxa"/>
            <w:tcBorders>
              <w:right w:val="single" w:sz="4" w:space="0" w:color="auto"/>
            </w:tcBorders>
          </w:tcPr>
          <w:p w14:paraId="18034537" w14:textId="77777777" w:rsidR="00DF765E" w:rsidRPr="004429BA" w:rsidRDefault="00DF765E" w:rsidP="00DD18A8">
            <w:pPr>
              <w:spacing w:line="276" w:lineRule="auto"/>
              <w:jc w:val="right"/>
              <w:rPr>
                <w:rFonts w:asciiTheme="minorHAnsi" w:hAnsiTheme="minorHAnsi" w:cstheme="minorHAnsi"/>
                <w:b/>
                <w:sz w:val="20"/>
                <w:szCs w:val="20"/>
              </w:rPr>
            </w:pPr>
          </w:p>
        </w:tc>
        <w:tc>
          <w:tcPr>
            <w:tcW w:w="2126" w:type="dxa"/>
            <w:tcBorders>
              <w:top w:val="single" w:sz="4" w:space="0" w:color="auto"/>
              <w:left w:val="single" w:sz="4" w:space="0" w:color="auto"/>
              <w:bottom w:val="single" w:sz="4" w:space="0" w:color="auto"/>
            </w:tcBorders>
          </w:tcPr>
          <w:p w14:paraId="50830BF9" w14:textId="480A29F1" w:rsidR="00DF765E" w:rsidRPr="004429BA" w:rsidRDefault="00A14B95" w:rsidP="00DD18A8">
            <w:pPr>
              <w:spacing w:line="276" w:lineRule="auto"/>
              <w:jc w:val="right"/>
              <w:rPr>
                <w:rFonts w:asciiTheme="minorHAnsi" w:hAnsiTheme="minorHAnsi" w:cstheme="minorHAnsi"/>
                <w:b/>
                <w:sz w:val="20"/>
                <w:szCs w:val="20"/>
              </w:rPr>
            </w:pPr>
            <w:r>
              <w:rPr>
                <w:rFonts w:asciiTheme="minorHAnsi" w:hAnsiTheme="minorHAnsi" w:cstheme="minorHAnsi"/>
                <w:b/>
                <w:sz w:val="20"/>
                <w:szCs w:val="20"/>
              </w:rPr>
              <w:t>2,415,000</w:t>
            </w:r>
          </w:p>
        </w:tc>
        <w:tc>
          <w:tcPr>
            <w:tcW w:w="2127" w:type="dxa"/>
            <w:tcBorders>
              <w:top w:val="single" w:sz="4" w:space="0" w:color="auto"/>
              <w:bottom w:val="single" w:sz="4" w:space="0" w:color="auto"/>
              <w:right w:val="single" w:sz="4" w:space="0" w:color="auto"/>
            </w:tcBorders>
          </w:tcPr>
          <w:p w14:paraId="4E6F23C0" w14:textId="02D90014" w:rsidR="00DF765E" w:rsidRPr="004429BA" w:rsidRDefault="009E51C6" w:rsidP="00DD18A8">
            <w:pPr>
              <w:spacing w:line="276" w:lineRule="auto"/>
              <w:jc w:val="right"/>
              <w:rPr>
                <w:rFonts w:asciiTheme="minorHAnsi" w:hAnsiTheme="minorHAnsi" w:cstheme="minorHAnsi"/>
                <w:b/>
                <w:sz w:val="20"/>
                <w:szCs w:val="20"/>
              </w:rPr>
            </w:pPr>
            <w:r>
              <w:rPr>
                <w:rFonts w:asciiTheme="minorHAnsi" w:hAnsiTheme="minorHAnsi" w:cstheme="minorHAnsi"/>
                <w:b/>
                <w:sz w:val="20"/>
                <w:szCs w:val="20"/>
              </w:rPr>
              <w:t>2,415,000</w:t>
            </w:r>
          </w:p>
        </w:tc>
      </w:tr>
    </w:tbl>
    <w:p w14:paraId="2D4984AA" w14:textId="77777777" w:rsidR="00213127" w:rsidRDefault="00213127" w:rsidP="00F660F9">
      <w:pPr>
        <w:keepNext/>
        <w:tabs>
          <w:tab w:val="left" w:pos="4508"/>
        </w:tabs>
        <w:spacing w:before="120" w:line="276" w:lineRule="auto"/>
        <w:ind w:right="-579" w:firstLine="567"/>
        <w:jc w:val="both"/>
        <w:rPr>
          <w:rFonts w:asciiTheme="minorHAnsi" w:hAnsiTheme="minorHAnsi" w:cstheme="minorHAnsi"/>
          <w:sz w:val="20"/>
          <w:szCs w:val="20"/>
        </w:rPr>
      </w:pPr>
    </w:p>
    <w:p w14:paraId="0312FCCD" w14:textId="08A7ED5C" w:rsidR="007A2F00" w:rsidRPr="004429BA" w:rsidRDefault="00DF765E" w:rsidP="00F660F9">
      <w:pPr>
        <w:keepNext/>
        <w:tabs>
          <w:tab w:val="left" w:pos="4508"/>
        </w:tabs>
        <w:spacing w:before="120" w:line="276" w:lineRule="auto"/>
        <w:ind w:right="-579" w:firstLine="567"/>
        <w:jc w:val="both"/>
        <w:rPr>
          <w:rFonts w:asciiTheme="minorHAnsi" w:hAnsiTheme="minorHAnsi" w:cstheme="minorHAnsi"/>
          <w:sz w:val="20"/>
          <w:szCs w:val="20"/>
        </w:rPr>
      </w:pPr>
      <w:r w:rsidRPr="004429BA">
        <w:rPr>
          <w:rFonts w:asciiTheme="minorHAnsi" w:hAnsiTheme="minorHAnsi" w:cstheme="minorHAnsi"/>
          <w:sz w:val="20"/>
          <w:szCs w:val="20"/>
        </w:rPr>
        <w:t>Book values approximate to fair values at 30 June 20</w:t>
      </w:r>
      <w:r w:rsidR="002D6B80" w:rsidRPr="004429BA">
        <w:rPr>
          <w:rFonts w:asciiTheme="minorHAnsi" w:hAnsiTheme="minorHAnsi" w:cstheme="minorHAnsi"/>
          <w:sz w:val="20"/>
          <w:szCs w:val="20"/>
        </w:rPr>
        <w:t>2</w:t>
      </w:r>
      <w:r w:rsidR="009E51C6">
        <w:rPr>
          <w:rFonts w:asciiTheme="minorHAnsi" w:hAnsiTheme="minorHAnsi" w:cstheme="minorHAnsi"/>
          <w:sz w:val="20"/>
          <w:szCs w:val="20"/>
        </w:rPr>
        <w:t xml:space="preserve">2 </w:t>
      </w:r>
      <w:r w:rsidRPr="004429BA">
        <w:rPr>
          <w:rFonts w:asciiTheme="minorHAnsi" w:hAnsiTheme="minorHAnsi" w:cstheme="minorHAnsi"/>
          <w:sz w:val="20"/>
          <w:szCs w:val="20"/>
        </w:rPr>
        <w:t>and 3</w:t>
      </w:r>
      <w:r w:rsidR="002D6B80" w:rsidRPr="004429BA">
        <w:rPr>
          <w:rFonts w:asciiTheme="minorHAnsi" w:hAnsiTheme="minorHAnsi" w:cstheme="minorHAnsi"/>
          <w:sz w:val="20"/>
          <w:szCs w:val="20"/>
        </w:rPr>
        <w:t>0 June 20</w:t>
      </w:r>
      <w:r w:rsidR="00B27610" w:rsidRPr="004429BA">
        <w:rPr>
          <w:rFonts w:asciiTheme="minorHAnsi" w:hAnsiTheme="minorHAnsi" w:cstheme="minorHAnsi"/>
          <w:sz w:val="20"/>
          <w:szCs w:val="20"/>
        </w:rPr>
        <w:t>2</w:t>
      </w:r>
      <w:r w:rsidR="009E51C6">
        <w:rPr>
          <w:rFonts w:asciiTheme="minorHAnsi" w:hAnsiTheme="minorHAnsi" w:cstheme="minorHAnsi"/>
          <w:sz w:val="20"/>
          <w:szCs w:val="20"/>
        </w:rPr>
        <w:t>1</w:t>
      </w:r>
      <w:r w:rsidRPr="004429BA">
        <w:rPr>
          <w:rFonts w:asciiTheme="minorHAnsi" w:hAnsiTheme="minorHAnsi" w:cstheme="minorHAnsi"/>
          <w:sz w:val="20"/>
          <w:szCs w:val="20"/>
        </w:rPr>
        <w:t>.</w:t>
      </w:r>
    </w:p>
    <w:p w14:paraId="51B3D611" w14:textId="746C8CD0" w:rsidR="00DF765E" w:rsidRPr="00B67257" w:rsidRDefault="00DF765E" w:rsidP="00DF765E">
      <w:pPr>
        <w:keepNext/>
        <w:tabs>
          <w:tab w:val="left" w:pos="4508"/>
        </w:tabs>
        <w:spacing w:before="120" w:line="276" w:lineRule="auto"/>
        <w:ind w:firstLine="567"/>
        <w:jc w:val="both"/>
        <w:rPr>
          <w:rFonts w:asciiTheme="minorHAnsi" w:hAnsiTheme="minorHAnsi" w:cstheme="minorHAnsi"/>
          <w:b/>
          <w:sz w:val="20"/>
          <w:szCs w:val="20"/>
        </w:rPr>
      </w:pPr>
      <w:r w:rsidRPr="00B67257">
        <w:rPr>
          <w:rFonts w:asciiTheme="minorHAnsi" w:hAnsiTheme="minorHAnsi" w:cstheme="minorHAnsi"/>
          <w:b/>
          <w:sz w:val="20"/>
          <w:szCs w:val="20"/>
        </w:rPr>
        <w:t>Company</w:t>
      </w:r>
    </w:p>
    <w:tbl>
      <w:tblPr>
        <w:tblW w:w="9606" w:type="dxa"/>
        <w:tblInd w:w="567" w:type="dxa"/>
        <w:tblLook w:val="00A0" w:firstRow="1" w:lastRow="0" w:firstColumn="1" w:lastColumn="0" w:noHBand="0" w:noVBand="0"/>
      </w:tblPr>
      <w:tblGrid>
        <w:gridCol w:w="4798"/>
        <w:gridCol w:w="555"/>
        <w:gridCol w:w="2126"/>
        <w:gridCol w:w="2127"/>
      </w:tblGrid>
      <w:tr w:rsidR="00DF765E" w:rsidRPr="00B67257" w14:paraId="0312FCE0" w14:textId="77777777" w:rsidTr="00DF765E">
        <w:trPr>
          <w:tblHeader/>
        </w:trPr>
        <w:tc>
          <w:tcPr>
            <w:tcW w:w="4798" w:type="dxa"/>
          </w:tcPr>
          <w:p w14:paraId="40930DFB" w14:textId="77777777" w:rsidR="00DF765E" w:rsidRPr="00B67257" w:rsidRDefault="00DF765E" w:rsidP="00213127">
            <w:pPr>
              <w:spacing w:line="276" w:lineRule="auto"/>
              <w:ind w:left="-108"/>
              <w:jc w:val="both"/>
              <w:rPr>
                <w:rFonts w:asciiTheme="minorHAnsi" w:hAnsiTheme="minorHAnsi" w:cstheme="minorHAnsi"/>
                <w:b/>
                <w:sz w:val="20"/>
                <w:szCs w:val="20"/>
              </w:rPr>
            </w:pPr>
          </w:p>
          <w:p w14:paraId="734BAEA1" w14:textId="77777777" w:rsidR="00DF765E" w:rsidRPr="00B67257" w:rsidRDefault="00DF765E" w:rsidP="00213127">
            <w:pPr>
              <w:spacing w:line="276" w:lineRule="auto"/>
              <w:ind w:left="-108"/>
              <w:jc w:val="both"/>
              <w:rPr>
                <w:rFonts w:asciiTheme="minorHAnsi" w:hAnsiTheme="minorHAnsi" w:cstheme="minorHAnsi"/>
                <w:b/>
                <w:sz w:val="20"/>
                <w:szCs w:val="20"/>
              </w:rPr>
            </w:pPr>
          </w:p>
          <w:p w14:paraId="0312FCDB" w14:textId="0AFC1552" w:rsidR="00DF765E" w:rsidRPr="00B67257" w:rsidRDefault="00DF765E" w:rsidP="00213127">
            <w:pPr>
              <w:spacing w:line="276" w:lineRule="auto"/>
              <w:ind w:left="-108"/>
              <w:jc w:val="both"/>
              <w:rPr>
                <w:rFonts w:asciiTheme="minorHAnsi" w:hAnsiTheme="minorHAnsi" w:cstheme="minorHAnsi"/>
                <w:b/>
                <w:sz w:val="20"/>
                <w:szCs w:val="20"/>
              </w:rPr>
            </w:pPr>
            <w:r w:rsidRPr="00B67257">
              <w:rPr>
                <w:rFonts w:asciiTheme="minorHAnsi" w:hAnsiTheme="minorHAnsi" w:cstheme="minorHAnsi"/>
                <w:b/>
                <w:sz w:val="20"/>
                <w:szCs w:val="20"/>
              </w:rPr>
              <w:t>Current</w:t>
            </w:r>
          </w:p>
        </w:tc>
        <w:tc>
          <w:tcPr>
            <w:tcW w:w="555" w:type="dxa"/>
          </w:tcPr>
          <w:p w14:paraId="0312FCDC" w14:textId="77777777" w:rsidR="00DF765E" w:rsidRPr="00B67257" w:rsidRDefault="00DF765E" w:rsidP="004E7E96">
            <w:pPr>
              <w:spacing w:line="276" w:lineRule="auto"/>
              <w:jc w:val="right"/>
              <w:rPr>
                <w:rFonts w:asciiTheme="minorHAnsi" w:hAnsiTheme="minorHAnsi" w:cstheme="minorHAnsi"/>
                <w:sz w:val="20"/>
                <w:szCs w:val="20"/>
              </w:rPr>
            </w:pPr>
          </w:p>
        </w:tc>
        <w:tc>
          <w:tcPr>
            <w:tcW w:w="2126" w:type="dxa"/>
          </w:tcPr>
          <w:p w14:paraId="0C10A123" w14:textId="77777777" w:rsidR="00DF765E" w:rsidRPr="00B67257" w:rsidRDefault="00DF765E" w:rsidP="004E7E96">
            <w:pPr>
              <w:spacing w:line="276" w:lineRule="auto"/>
              <w:jc w:val="right"/>
              <w:rPr>
                <w:rFonts w:asciiTheme="minorHAnsi" w:hAnsiTheme="minorHAnsi" w:cstheme="minorHAnsi"/>
                <w:b/>
                <w:sz w:val="20"/>
                <w:szCs w:val="20"/>
              </w:rPr>
            </w:pPr>
            <w:r w:rsidRPr="00B67257">
              <w:rPr>
                <w:rFonts w:asciiTheme="minorHAnsi" w:hAnsiTheme="minorHAnsi" w:cstheme="minorHAnsi"/>
                <w:b/>
                <w:sz w:val="20"/>
                <w:szCs w:val="20"/>
              </w:rPr>
              <w:t>30 June</w:t>
            </w:r>
          </w:p>
          <w:p w14:paraId="0312FCDD" w14:textId="4EF94412" w:rsidR="00DF765E" w:rsidRPr="00B67257" w:rsidRDefault="00DF765E" w:rsidP="004E7E96">
            <w:pPr>
              <w:spacing w:line="276" w:lineRule="auto"/>
              <w:jc w:val="right"/>
              <w:rPr>
                <w:rFonts w:asciiTheme="minorHAnsi" w:hAnsiTheme="minorHAnsi" w:cstheme="minorHAnsi"/>
                <w:b/>
                <w:sz w:val="20"/>
                <w:szCs w:val="20"/>
              </w:rPr>
            </w:pPr>
            <w:r w:rsidRPr="00B67257">
              <w:rPr>
                <w:rFonts w:asciiTheme="minorHAnsi" w:hAnsiTheme="minorHAnsi" w:cstheme="minorHAnsi"/>
                <w:b/>
                <w:sz w:val="20"/>
                <w:szCs w:val="20"/>
              </w:rPr>
              <w:t xml:space="preserve"> 20</w:t>
            </w:r>
            <w:r w:rsidR="00010C32" w:rsidRPr="00B67257">
              <w:rPr>
                <w:rFonts w:asciiTheme="minorHAnsi" w:hAnsiTheme="minorHAnsi" w:cstheme="minorHAnsi"/>
                <w:b/>
                <w:sz w:val="20"/>
                <w:szCs w:val="20"/>
              </w:rPr>
              <w:t>2</w:t>
            </w:r>
            <w:r w:rsidR="009E51C6">
              <w:rPr>
                <w:rFonts w:asciiTheme="minorHAnsi" w:hAnsiTheme="minorHAnsi" w:cstheme="minorHAnsi"/>
                <w:b/>
                <w:sz w:val="20"/>
                <w:szCs w:val="20"/>
              </w:rPr>
              <w:t>2</w:t>
            </w:r>
            <w:r w:rsidRPr="00B67257">
              <w:rPr>
                <w:rFonts w:asciiTheme="minorHAnsi" w:hAnsiTheme="minorHAnsi" w:cstheme="minorHAnsi"/>
                <w:b/>
                <w:sz w:val="20"/>
                <w:szCs w:val="20"/>
              </w:rPr>
              <w:br/>
              <w:t>£</w:t>
            </w:r>
          </w:p>
        </w:tc>
        <w:tc>
          <w:tcPr>
            <w:tcW w:w="2127" w:type="dxa"/>
          </w:tcPr>
          <w:p w14:paraId="0312FCDF" w14:textId="02DE21A4" w:rsidR="00DF765E" w:rsidRPr="00B67257" w:rsidRDefault="00DF765E" w:rsidP="004E7E96">
            <w:pPr>
              <w:spacing w:line="276" w:lineRule="auto"/>
              <w:jc w:val="right"/>
              <w:rPr>
                <w:rFonts w:asciiTheme="minorHAnsi" w:hAnsiTheme="minorHAnsi" w:cstheme="minorHAnsi"/>
                <w:b/>
                <w:sz w:val="20"/>
                <w:szCs w:val="20"/>
              </w:rPr>
            </w:pPr>
            <w:r w:rsidRPr="00B67257">
              <w:rPr>
                <w:rFonts w:asciiTheme="minorHAnsi" w:hAnsiTheme="minorHAnsi" w:cstheme="minorHAnsi"/>
                <w:b/>
                <w:sz w:val="20"/>
                <w:szCs w:val="20"/>
              </w:rPr>
              <w:t>3</w:t>
            </w:r>
            <w:r w:rsidR="00993472" w:rsidRPr="00B67257">
              <w:rPr>
                <w:rFonts w:asciiTheme="minorHAnsi" w:hAnsiTheme="minorHAnsi" w:cstheme="minorHAnsi"/>
                <w:b/>
                <w:sz w:val="20"/>
                <w:szCs w:val="20"/>
              </w:rPr>
              <w:t>0 June</w:t>
            </w:r>
            <w:r w:rsidRPr="00B67257">
              <w:rPr>
                <w:rFonts w:asciiTheme="minorHAnsi" w:hAnsiTheme="minorHAnsi" w:cstheme="minorHAnsi"/>
                <w:b/>
                <w:sz w:val="20"/>
                <w:szCs w:val="20"/>
              </w:rPr>
              <w:br/>
              <w:t>20</w:t>
            </w:r>
            <w:r w:rsidR="00B458FF" w:rsidRPr="00B67257">
              <w:rPr>
                <w:rFonts w:asciiTheme="minorHAnsi" w:hAnsiTheme="minorHAnsi" w:cstheme="minorHAnsi"/>
                <w:b/>
                <w:sz w:val="20"/>
                <w:szCs w:val="20"/>
              </w:rPr>
              <w:t>2</w:t>
            </w:r>
            <w:r w:rsidR="009E51C6">
              <w:rPr>
                <w:rFonts w:asciiTheme="minorHAnsi" w:hAnsiTheme="minorHAnsi" w:cstheme="minorHAnsi"/>
                <w:b/>
                <w:sz w:val="20"/>
                <w:szCs w:val="20"/>
              </w:rPr>
              <w:t>1</w:t>
            </w:r>
            <w:r w:rsidRPr="00B67257">
              <w:rPr>
                <w:rFonts w:asciiTheme="minorHAnsi" w:hAnsiTheme="minorHAnsi" w:cstheme="minorHAnsi"/>
                <w:b/>
                <w:sz w:val="20"/>
                <w:szCs w:val="20"/>
              </w:rPr>
              <w:br/>
              <w:t>£</w:t>
            </w:r>
          </w:p>
        </w:tc>
      </w:tr>
      <w:tr w:rsidR="00B27610" w:rsidRPr="00B67257" w14:paraId="408A8459" w14:textId="77777777" w:rsidTr="00DF765E">
        <w:tc>
          <w:tcPr>
            <w:tcW w:w="4798" w:type="dxa"/>
          </w:tcPr>
          <w:p w14:paraId="5A83A970" w14:textId="31F40A90" w:rsidR="00B27610" w:rsidRPr="00B67257" w:rsidRDefault="00B27610" w:rsidP="00213127">
            <w:pPr>
              <w:spacing w:line="276" w:lineRule="auto"/>
              <w:ind w:left="-108"/>
              <w:rPr>
                <w:rFonts w:asciiTheme="minorHAnsi" w:hAnsiTheme="minorHAnsi" w:cstheme="minorHAnsi"/>
                <w:sz w:val="20"/>
                <w:szCs w:val="20"/>
              </w:rPr>
            </w:pPr>
            <w:r w:rsidRPr="00B67257">
              <w:rPr>
                <w:rFonts w:asciiTheme="minorHAnsi" w:hAnsiTheme="minorHAnsi" w:cstheme="minorHAnsi"/>
                <w:sz w:val="20"/>
                <w:szCs w:val="20"/>
              </w:rPr>
              <w:t>Convertible loans</w:t>
            </w:r>
          </w:p>
        </w:tc>
        <w:tc>
          <w:tcPr>
            <w:tcW w:w="555" w:type="dxa"/>
          </w:tcPr>
          <w:p w14:paraId="08081026" w14:textId="77777777" w:rsidR="00B27610" w:rsidRPr="00B67257" w:rsidRDefault="00B27610" w:rsidP="00B27610">
            <w:pPr>
              <w:spacing w:line="276" w:lineRule="auto"/>
              <w:jc w:val="right"/>
              <w:rPr>
                <w:rFonts w:asciiTheme="minorHAnsi" w:hAnsiTheme="minorHAnsi" w:cstheme="minorHAnsi"/>
                <w:sz w:val="20"/>
                <w:szCs w:val="20"/>
              </w:rPr>
            </w:pPr>
          </w:p>
        </w:tc>
        <w:tc>
          <w:tcPr>
            <w:tcW w:w="2126" w:type="dxa"/>
          </w:tcPr>
          <w:p w14:paraId="386028D8" w14:textId="732E1C5B" w:rsidR="00B27610" w:rsidRPr="00B67257" w:rsidRDefault="00A14B95"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2,415,000</w:t>
            </w:r>
          </w:p>
        </w:tc>
        <w:tc>
          <w:tcPr>
            <w:tcW w:w="2127" w:type="dxa"/>
          </w:tcPr>
          <w:p w14:paraId="47C3E08E" w14:textId="7D37F331" w:rsidR="00B27610" w:rsidRPr="00B67257" w:rsidRDefault="009E51C6" w:rsidP="00B27610">
            <w:pPr>
              <w:spacing w:line="276" w:lineRule="auto"/>
              <w:jc w:val="right"/>
              <w:rPr>
                <w:rFonts w:asciiTheme="minorHAnsi" w:hAnsiTheme="minorHAnsi" w:cstheme="minorHAnsi"/>
                <w:sz w:val="20"/>
                <w:szCs w:val="20"/>
              </w:rPr>
            </w:pPr>
            <w:r>
              <w:rPr>
                <w:rFonts w:asciiTheme="minorHAnsi" w:hAnsiTheme="minorHAnsi" w:cstheme="minorHAnsi"/>
                <w:sz w:val="20"/>
                <w:szCs w:val="20"/>
              </w:rPr>
              <w:t>2,415</w:t>
            </w:r>
            <w:r w:rsidR="00B27610" w:rsidRPr="00B67257">
              <w:rPr>
                <w:rFonts w:asciiTheme="minorHAnsi" w:hAnsiTheme="minorHAnsi" w:cstheme="minorHAnsi"/>
                <w:sz w:val="20"/>
                <w:szCs w:val="20"/>
              </w:rPr>
              <w:t>,000</w:t>
            </w:r>
          </w:p>
        </w:tc>
      </w:tr>
      <w:tr w:rsidR="00DF765E" w:rsidRPr="00786C36" w14:paraId="414BD783" w14:textId="77777777" w:rsidTr="00DF765E">
        <w:tc>
          <w:tcPr>
            <w:tcW w:w="4798" w:type="dxa"/>
          </w:tcPr>
          <w:p w14:paraId="7BF16D38" w14:textId="7AEEC6C1" w:rsidR="00DF765E" w:rsidRPr="00B67257" w:rsidRDefault="00DF765E" w:rsidP="00213127">
            <w:pPr>
              <w:widowControl w:val="0"/>
              <w:spacing w:line="276" w:lineRule="auto"/>
              <w:ind w:left="-108"/>
              <w:rPr>
                <w:rFonts w:asciiTheme="minorHAnsi" w:hAnsiTheme="minorHAnsi" w:cstheme="minorHAnsi"/>
                <w:b/>
                <w:sz w:val="20"/>
                <w:szCs w:val="20"/>
              </w:rPr>
            </w:pPr>
            <w:r w:rsidRPr="00B67257">
              <w:rPr>
                <w:rFonts w:asciiTheme="minorHAnsi" w:hAnsiTheme="minorHAnsi" w:cstheme="minorHAnsi"/>
                <w:b/>
                <w:sz w:val="20"/>
                <w:szCs w:val="20"/>
              </w:rPr>
              <w:t>Total</w:t>
            </w:r>
          </w:p>
        </w:tc>
        <w:tc>
          <w:tcPr>
            <w:tcW w:w="555" w:type="dxa"/>
            <w:tcBorders>
              <w:right w:val="single" w:sz="4" w:space="0" w:color="auto"/>
            </w:tcBorders>
          </w:tcPr>
          <w:p w14:paraId="77F7F11B" w14:textId="77777777" w:rsidR="00DF765E" w:rsidRPr="00B67257" w:rsidRDefault="00DF765E" w:rsidP="00034844">
            <w:pPr>
              <w:widowControl w:val="0"/>
              <w:spacing w:line="276" w:lineRule="auto"/>
              <w:jc w:val="right"/>
              <w:rPr>
                <w:rFonts w:asciiTheme="minorHAnsi" w:hAnsiTheme="minorHAnsi" w:cstheme="minorHAnsi"/>
                <w:b/>
                <w:sz w:val="20"/>
                <w:szCs w:val="20"/>
              </w:rPr>
            </w:pPr>
          </w:p>
        </w:tc>
        <w:tc>
          <w:tcPr>
            <w:tcW w:w="2126" w:type="dxa"/>
            <w:tcBorders>
              <w:top w:val="single" w:sz="4" w:space="0" w:color="auto"/>
              <w:left w:val="single" w:sz="4" w:space="0" w:color="auto"/>
              <w:bottom w:val="single" w:sz="4" w:space="0" w:color="auto"/>
            </w:tcBorders>
          </w:tcPr>
          <w:p w14:paraId="7DE98B12" w14:textId="30272EA9" w:rsidR="00DF765E" w:rsidRPr="00B67257" w:rsidRDefault="00A14B95" w:rsidP="00034844">
            <w:pPr>
              <w:widowControl w:val="0"/>
              <w:spacing w:line="276" w:lineRule="auto"/>
              <w:jc w:val="right"/>
              <w:rPr>
                <w:rFonts w:asciiTheme="minorHAnsi" w:hAnsiTheme="minorHAnsi" w:cstheme="minorHAnsi"/>
                <w:b/>
                <w:sz w:val="20"/>
                <w:szCs w:val="20"/>
              </w:rPr>
            </w:pPr>
            <w:r>
              <w:rPr>
                <w:rFonts w:asciiTheme="minorHAnsi" w:hAnsiTheme="minorHAnsi" w:cstheme="minorHAnsi"/>
                <w:b/>
                <w:sz w:val="20"/>
                <w:szCs w:val="20"/>
              </w:rPr>
              <w:t>2,415,000</w:t>
            </w:r>
          </w:p>
        </w:tc>
        <w:tc>
          <w:tcPr>
            <w:tcW w:w="2127" w:type="dxa"/>
            <w:tcBorders>
              <w:top w:val="single" w:sz="4" w:space="0" w:color="auto"/>
              <w:bottom w:val="single" w:sz="4" w:space="0" w:color="auto"/>
              <w:right w:val="single" w:sz="4" w:space="0" w:color="auto"/>
            </w:tcBorders>
          </w:tcPr>
          <w:p w14:paraId="038931E5" w14:textId="431685E0" w:rsidR="00DF765E" w:rsidRPr="00B67257" w:rsidRDefault="009E51C6" w:rsidP="00034844">
            <w:pPr>
              <w:widowControl w:val="0"/>
              <w:spacing w:line="276" w:lineRule="auto"/>
              <w:jc w:val="right"/>
              <w:rPr>
                <w:rFonts w:asciiTheme="minorHAnsi" w:hAnsiTheme="minorHAnsi" w:cstheme="minorHAnsi"/>
                <w:b/>
                <w:sz w:val="20"/>
                <w:szCs w:val="20"/>
              </w:rPr>
            </w:pPr>
            <w:r>
              <w:rPr>
                <w:rFonts w:asciiTheme="minorHAnsi" w:hAnsiTheme="minorHAnsi" w:cstheme="minorHAnsi"/>
                <w:b/>
                <w:sz w:val="20"/>
                <w:szCs w:val="20"/>
              </w:rPr>
              <w:t>2,415,000</w:t>
            </w:r>
          </w:p>
        </w:tc>
      </w:tr>
    </w:tbl>
    <w:p w14:paraId="5B154C69" w14:textId="5FCD868A" w:rsidR="00AE6935" w:rsidRDefault="00AE6935" w:rsidP="00656F64">
      <w:pPr>
        <w:pStyle w:val="ListParagraph"/>
        <w:spacing w:after="240"/>
        <w:ind w:left="928"/>
        <w:contextualSpacing w:val="0"/>
        <w:jc w:val="both"/>
        <w:rPr>
          <w:rFonts w:asciiTheme="minorHAnsi" w:hAnsiTheme="minorHAnsi" w:cstheme="minorHAnsi"/>
          <w:b/>
          <w:sz w:val="20"/>
          <w:highlight w:val="yellow"/>
        </w:rPr>
      </w:pPr>
    </w:p>
    <w:p w14:paraId="6AAF4E3F" w14:textId="2F69CF9B" w:rsidR="003256A6" w:rsidRDefault="003256A6" w:rsidP="00656F64">
      <w:pPr>
        <w:pStyle w:val="ListParagraph"/>
        <w:spacing w:after="240"/>
        <w:ind w:left="928"/>
        <w:contextualSpacing w:val="0"/>
        <w:jc w:val="both"/>
        <w:rPr>
          <w:rFonts w:asciiTheme="minorHAnsi" w:hAnsiTheme="minorHAnsi" w:cstheme="minorHAnsi"/>
          <w:b/>
          <w:sz w:val="20"/>
          <w:highlight w:val="yellow"/>
        </w:rPr>
      </w:pPr>
    </w:p>
    <w:p w14:paraId="094E4CEC" w14:textId="055410CF" w:rsidR="003256A6" w:rsidRDefault="003256A6" w:rsidP="00656F64">
      <w:pPr>
        <w:pStyle w:val="ListParagraph"/>
        <w:spacing w:after="240"/>
        <w:ind w:left="928"/>
        <w:contextualSpacing w:val="0"/>
        <w:jc w:val="both"/>
        <w:rPr>
          <w:rFonts w:asciiTheme="minorHAnsi" w:hAnsiTheme="minorHAnsi" w:cstheme="minorHAnsi"/>
          <w:b/>
          <w:sz w:val="20"/>
          <w:highlight w:val="yellow"/>
        </w:rPr>
      </w:pPr>
    </w:p>
    <w:p w14:paraId="05158921" w14:textId="553A1403" w:rsidR="003256A6" w:rsidRDefault="003256A6" w:rsidP="00656F64">
      <w:pPr>
        <w:pStyle w:val="ListParagraph"/>
        <w:spacing w:after="240"/>
        <w:ind w:left="928"/>
        <w:contextualSpacing w:val="0"/>
        <w:jc w:val="both"/>
        <w:rPr>
          <w:rFonts w:asciiTheme="minorHAnsi" w:hAnsiTheme="minorHAnsi" w:cstheme="minorHAnsi"/>
          <w:b/>
          <w:sz w:val="20"/>
          <w:highlight w:val="yellow"/>
        </w:rPr>
      </w:pPr>
    </w:p>
    <w:p w14:paraId="5CFBE693" w14:textId="1050E7C3" w:rsidR="002F64C7" w:rsidRPr="00B67257" w:rsidRDefault="00656F64" w:rsidP="003256A6">
      <w:pPr>
        <w:pStyle w:val="ListParagraph"/>
        <w:widowControl w:val="0"/>
        <w:numPr>
          <w:ilvl w:val="0"/>
          <w:numId w:val="51"/>
        </w:numPr>
        <w:spacing w:line="276" w:lineRule="auto"/>
        <w:ind w:left="567" w:hanging="425"/>
        <w:contextualSpacing w:val="0"/>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2F64C7" w:rsidRPr="00B67257">
        <w:rPr>
          <w:rFonts w:asciiTheme="minorHAnsi" w:hAnsiTheme="minorHAnsi" w:cstheme="minorHAnsi"/>
          <w:b/>
          <w:sz w:val="20"/>
          <w:szCs w:val="20"/>
        </w:rPr>
        <w:t>Provisions</w:t>
      </w:r>
    </w:p>
    <w:p w14:paraId="061C9C04" w14:textId="201AEF35" w:rsidR="002F64C7" w:rsidRPr="00B67257" w:rsidRDefault="002F64C7" w:rsidP="002F64C7">
      <w:pPr>
        <w:pStyle w:val="ListParagraph"/>
        <w:widowControl w:val="0"/>
        <w:spacing w:before="240" w:line="276" w:lineRule="auto"/>
        <w:ind w:left="928"/>
        <w:jc w:val="both"/>
        <w:rPr>
          <w:rFonts w:asciiTheme="minorHAnsi" w:hAnsiTheme="minorHAnsi" w:cstheme="minorHAnsi"/>
          <w:b/>
          <w:sz w:val="20"/>
          <w:szCs w:val="20"/>
        </w:rPr>
      </w:pPr>
    </w:p>
    <w:tbl>
      <w:tblPr>
        <w:tblW w:w="9606" w:type="dxa"/>
        <w:tblInd w:w="567" w:type="dxa"/>
        <w:tblLook w:val="00A0" w:firstRow="1" w:lastRow="0" w:firstColumn="1" w:lastColumn="0" w:noHBand="0" w:noVBand="0"/>
      </w:tblPr>
      <w:tblGrid>
        <w:gridCol w:w="4798"/>
        <w:gridCol w:w="555"/>
        <w:gridCol w:w="2126"/>
        <w:gridCol w:w="2127"/>
      </w:tblGrid>
      <w:tr w:rsidR="002F64C7" w:rsidRPr="00B67257" w14:paraId="5565778F" w14:textId="77777777" w:rsidTr="00BF7D57">
        <w:trPr>
          <w:tblHeader/>
        </w:trPr>
        <w:tc>
          <w:tcPr>
            <w:tcW w:w="4798" w:type="dxa"/>
          </w:tcPr>
          <w:p w14:paraId="6E9E244E" w14:textId="77777777" w:rsidR="002F64C7" w:rsidRPr="00B67257" w:rsidRDefault="002F64C7" w:rsidP="00BF7D57">
            <w:pPr>
              <w:spacing w:line="276" w:lineRule="auto"/>
              <w:jc w:val="both"/>
              <w:rPr>
                <w:rFonts w:asciiTheme="minorHAnsi" w:hAnsiTheme="minorHAnsi" w:cstheme="minorHAnsi"/>
                <w:b/>
                <w:sz w:val="20"/>
                <w:szCs w:val="20"/>
              </w:rPr>
            </w:pPr>
          </w:p>
          <w:p w14:paraId="1145D2EC" w14:textId="409CD854" w:rsidR="002F64C7" w:rsidRPr="00B67257" w:rsidRDefault="002F64C7" w:rsidP="00BF7D57">
            <w:pPr>
              <w:spacing w:line="276" w:lineRule="auto"/>
              <w:jc w:val="both"/>
              <w:rPr>
                <w:rFonts w:asciiTheme="minorHAnsi" w:hAnsiTheme="minorHAnsi" w:cstheme="minorHAnsi"/>
                <w:b/>
                <w:sz w:val="20"/>
                <w:szCs w:val="20"/>
              </w:rPr>
            </w:pPr>
          </w:p>
        </w:tc>
        <w:tc>
          <w:tcPr>
            <w:tcW w:w="555" w:type="dxa"/>
          </w:tcPr>
          <w:p w14:paraId="3EB95956" w14:textId="77777777" w:rsidR="002F64C7" w:rsidRPr="00B67257" w:rsidRDefault="002F64C7" w:rsidP="00BF7D57">
            <w:pPr>
              <w:spacing w:line="276" w:lineRule="auto"/>
              <w:jc w:val="right"/>
              <w:rPr>
                <w:rFonts w:asciiTheme="minorHAnsi" w:hAnsiTheme="minorHAnsi" w:cstheme="minorHAnsi"/>
                <w:sz w:val="20"/>
                <w:szCs w:val="20"/>
              </w:rPr>
            </w:pPr>
          </w:p>
        </w:tc>
        <w:tc>
          <w:tcPr>
            <w:tcW w:w="2126" w:type="dxa"/>
          </w:tcPr>
          <w:p w14:paraId="67A51B85" w14:textId="77777777" w:rsidR="002F64C7" w:rsidRPr="00B67257" w:rsidRDefault="002F64C7" w:rsidP="00BF7D57">
            <w:pPr>
              <w:spacing w:line="276" w:lineRule="auto"/>
              <w:jc w:val="right"/>
              <w:rPr>
                <w:rFonts w:asciiTheme="minorHAnsi" w:hAnsiTheme="minorHAnsi" w:cstheme="minorHAnsi"/>
                <w:b/>
                <w:sz w:val="20"/>
                <w:szCs w:val="20"/>
              </w:rPr>
            </w:pPr>
            <w:r w:rsidRPr="00B67257">
              <w:rPr>
                <w:rFonts w:asciiTheme="minorHAnsi" w:hAnsiTheme="minorHAnsi" w:cstheme="minorHAnsi"/>
                <w:b/>
                <w:sz w:val="20"/>
                <w:szCs w:val="20"/>
              </w:rPr>
              <w:t>30 June</w:t>
            </w:r>
          </w:p>
          <w:p w14:paraId="441DB101" w14:textId="146379C4" w:rsidR="002F64C7" w:rsidRPr="00B67257" w:rsidRDefault="002F64C7" w:rsidP="00BF7D57">
            <w:pPr>
              <w:spacing w:line="276" w:lineRule="auto"/>
              <w:jc w:val="right"/>
              <w:rPr>
                <w:rFonts w:asciiTheme="minorHAnsi" w:hAnsiTheme="minorHAnsi" w:cstheme="minorHAnsi"/>
                <w:b/>
                <w:sz w:val="20"/>
                <w:szCs w:val="20"/>
              </w:rPr>
            </w:pPr>
            <w:r w:rsidRPr="00B67257">
              <w:rPr>
                <w:rFonts w:asciiTheme="minorHAnsi" w:hAnsiTheme="minorHAnsi" w:cstheme="minorHAnsi"/>
                <w:b/>
                <w:sz w:val="20"/>
                <w:szCs w:val="20"/>
              </w:rPr>
              <w:t xml:space="preserve"> 20</w:t>
            </w:r>
            <w:r w:rsidR="00993472" w:rsidRPr="00B67257">
              <w:rPr>
                <w:rFonts w:asciiTheme="minorHAnsi" w:hAnsiTheme="minorHAnsi" w:cstheme="minorHAnsi"/>
                <w:b/>
                <w:sz w:val="20"/>
                <w:szCs w:val="20"/>
              </w:rPr>
              <w:t>2</w:t>
            </w:r>
            <w:r w:rsidR="009E51C6">
              <w:rPr>
                <w:rFonts w:asciiTheme="minorHAnsi" w:hAnsiTheme="minorHAnsi" w:cstheme="minorHAnsi"/>
                <w:b/>
                <w:sz w:val="20"/>
                <w:szCs w:val="20"/>
              </w:rPr>
              <w:t>2</w:t>
            </w:r>
            <w:r w:rsidRPr="00B67257">
              <w:rPr>
                <w:rFonts w:asciiTheme="minorHAnsi" w:hAnsiTheme="minorHAnsi" w:cstheme="minorHAnsi"/>
                <w:b/>
                <w:sz w:val="20"/>
                <w:szCs w:val="20"/>
              </w:rPr>
              <w:br/>
              <w:t>£</w:t>
            </w:r>
          </w:p>
        </w:tc>
        <w:tc>
          <w:tcPr>
            <w:tcW w:w="2127" w:type="dxa"/>
          </w:tcPr>
          <w:p w14:paraId="421C5E96" w14:textId="71930F7E" w:rsidR="002F64C7" w:rsidRPr="00B67257" w:rsidRDefault="002F64C7" w:rsidP="00BF7D57">
            <w:pPr>
              <w:spacing w:line="276" w:lineRule="auto"/>
              <w:jc w:val="right"/>
              <w:rPr>
                <w:rFonts w:asciiTheme="minorHAnsi" w:hAnsiTheme="minorHAnsi" w:cstheme="minorHAnsi"/>
                <w:b/>
                <w:sz w:val="20"/>
                <w:szCs w:val="20"/>
              </w:rPr>
            </w:pPr>
            <w:r w:rsidRPr="00B67257">
              <w:rPr>
                <w:rFonts w:asciiTheme="minorHAnsi" w:hAnsiTheme="minorHAnsi" w:cstheme="minorHAnsi"/>
                <w:b/>
                <w:sz w:val="20"/>
                <w:szCs w:val="20"/>
              </w:rPr>
              <w:t>3</w:t>
            </w:r>
            <w:r w:rsidR="00993472" w:rsidRPr="00B67257">
              <w:rPr>
                <w:rFonts w:asciiTheme="minorHAnsi" w:hAnsiTheme="minorHAnsi" w:cstheme="minorHAnsi"/>
                <w:b/>
                <w:sz w:val="20"/>
                <w:szCs w:val="20"/>
              </w:rPr>
              <w:t>0 June</w:t>
            </w:r>
            <w:r w:rsidRPr="00B67257">
              <w:rPr>
                <w:rFonts w:asciiTheme="minorHAnsi" w:hAnsiTheme="minorHAnsi" w:cstheme="minorHAnsi"/>
                <w:b/>
                <w:sz w:val="20"/>
                <w:szCs w:val="20"/>
              </w:rPr>
              <w:br/>
              <w:t>20</w:t>
            </w:r>
            <w:r w:rsidR="00B458FF" w:rsidRPr="00B67257">
              <w:rPr>
                <w:rFonts w:asciiTheme="minorHAnsi" w:hAnsiTheme="minorHAnsi" w:cstheme="minorHAnsi"/>
                <w:b/>
                <w:sz w:val="20"/>
                <w:szCs w:val="20"/>
              </w:rPr>
              <w:t>2</w:t>
            </w:r>
            <w:r w:rsidR="009E51C6">
              <w:rPr>
                <w:rFonts w:asciiTheme="minorHAnsi" w:hAnsiTheme="minorHAnsi" w:cstheme="minorHAnsi"/>
                <w:b/>
                <w:sz w:val="20"/>
                <w:szCs w:val="20"/>
              </w:rPr>
              <w:t>1</w:t>
            </w:r>
            <w:r w:rsidRPr="00B67257">
              <w:rPr>
                <w:rFonts w:asciiTheme="minorHAnsi" w:hAnsiTheme="minorHAnsi" w:cstheme="minorHAnsi"/>
                <w:b/>
                <w:sz w:val="20"/>
                <w:szCs w:val="20"/>
              </w:rPr>
              <w:br/>
              <w:t>£</w:t>
            </w:r>
          </w:p>
        </w:tc>
      </w:tr>
      <w:tr w:rsidR="00B458FF" w:rsidRPr="00B67257" w14:paraId="3622F629" w14:textId="77777777" w:rsidTr="007F18AF">
        <w:tc>
          <w:tcPr>
            <w:tcW w:w="4798" w:type="dxa"/>
          </w:tcPr>
          <w:p w14:paraId="656DCB0A" w14:textId="77777777" w:rsidR="00B458FF" w:rsidRDefault="00B458FF" w:rsidP="00B458FF">
            <w:pPr>
              <w:spacing w:line="276" w:lineRule="auto"/>
              <w:rPr>
                <w:rFonts w:asciiTheme="minorHAnsi" w:hAnsiTheme="minorHAnsi" w:cstheme="minorHAnsi"/>
                <w:sz w:val="20"/>
                <w:szCs w:val="20"/>
              </w:rPr>
            </w:pPr>
            <w:r w:rsidRPr="00B67257">
              <w:rPr>
                <w:rFonts w:asciiTheme="minorHAnsi" w:hAnsiTheme="minorHAnsi" w:cstheme="minorHAnsi"/>
                <w:sz w:val="20"/>
                <w:szCs w:val="20"/>
              </w:rPr>
              <w:t>Provisions brought forward</w:t>
            </w:r>
          </w:p>
          <w:p w14:paraId="30A88556" w14:textId="5080B431" w:rsidR="00DE18F5" w:rsidRPr="00B67257" w:rsidRDefault="00DE18F5" w:rsidP="00B458FF">
            <w:pPr>
              <w:spacing w:line="276" w:lineRule="auto"/>
              <w:rPr>
                <w:rFonts w:asciiTheme="minorHAnsi" w:hAnsiTheme="minorHAnsi" w:cstheme="minorHAnsi"/>
                <w:sz w:val="20"/>
                <w:szCs w:val="20"/>
              </w:rPr>
            </w:pPr>
            <w:r>
              <w:rPr>
                <w:rFonts w:asciiTheme="minorHAnsi" w:hAnsiTheme="minorHAnsi" w:cstheme="minorHAnsi"/>
                <w:sz w:val="20"/>
                <w:szCs w:val="20"/>
              </w:rPr>
              <w:t>Provision reversed in year</w:t>
            </w:r>
          </w:p>
        </w:tc>
        <w:tc>
          <w:tcPr>
            <w:tcW w:w="555" w:type="dxa"/>
          </w:tcPr>
          <w:p w14:paraId="4C100CA8" w14:textId="77777777" w:rsidR="00B458FF" w:rsidRPr="00B67257" w:rsidRDefault="00B458FF" w:rsidP="00B458FF">
            <w:pPr>
              <w:spacing w:line="276" w:lineRule="auto"/>
              <w:jc w:val="right"/>
              <w:rPr>
                <w:rFonts w:asciiTheme="minorHAnsi" w:hAnsiTheme="minorHAnsi" w:cstheme="minorHAnsi"/>
                <w:sz w:val="20"/>
                <w:szCs w:val="20"/>
              </w:rPr>
            </w:pPr>
          </w:p>
        </w:tc>
        <w:tc>
          <w:tcPr>
            <w:tcW w:w="2126" w:type="dxa"/>
          </w:tcPr>
          <w:p w14:paraId="75E94F4D" w14:textId="77777777" w:rsidR="00B458FF" w:rsidRDefault="00DE18F5" w:rsidP="00B458FF">
            <w:pPr>
              <w:spacing w:line="276" w:lineRule="auto"/>
              <w:jc w:val="right"/>
              <w:rPr>
                <w:rFonts w:asciiTheme="minorHAnsi" w:hAnsiTheme="minorHAnsi" w:cstheme="minorHAnsi"/>
                <w:sz w:val="20"/>
                <w:szCs w:val="20"/>
              </w:rPr>
            </w:pPr>
            <w:r>
              <w:rPr>
                <w:rFonts w:asciiTheme="minorHAnsi" w:hAnsiTheme="minorHAnsi" w:cstheme="minorHAnsi"/>
                <w:sz w:val="20"/>
                <w:szCs w:val="20"/>
              </w:rPr>
              <w:t>34,000</w:t>
            </w:r>
          </w:p>
          <w:p w14:paraId="1EC26FC3" w14:textId="02209CA2" w:rsidR="00DE18F5" w:rsidRPr="00B67257" w:rsidRDefault="00DE18F5" w:rsidP="00B458FF">
            <w:pPr>
              <w:spacing w:line="276" w:lineRule="auto"/>
              <w:jc w:val="right"/>
              <w:rPr>
                <w:rFonts w:asciiTheme="minorHAnsi" w:hAnsiTheme="minorHAnsi" w:cstheme="minorHAnsi"/>
                <w:sz w:val="20"/>
                <w:szCs w:val="20"/>
              </w:rPr>
            </w:pPr>
            <w:r>
              <w:rPr>
                <w:rFonts w:asciiTheme="minorHAnsi" w:hAnsiTheme="minorHAnsi" w:cstheme="minorHAnsi"/>
                <w:sz w:val="20"/>
                <w:szCs w:val="20"/>
              </w:rPr>
              <w:t>(34,000)</w:t>
            </w:r>
          </w:p>
        </w:tc>
        <w:tc>
          <w:tcPr>
            <w:tcW w:w="2127" w:type="dxa"/>
          </w:tcPr>
          <w:p w14:paraId="44D47710" w14:textId="77777777" w:rsidR="00B458FF" w:rsidRDefault="009E51C6" w:rsidP="00B458FF">
            <w:pPr>
              <w:spacing w:line="276" w:lineRule="auto"/>
              <w:jc w:val="right"/>
              <w:rPr>
                <w:rFonts w:asciiTheme="minorHAnsi" w:hAnsiTheme="minorHAnsi" w:cstheme="minorHAnsi"/>
                <w:sz w:val="20"/>
                <w:szCs w:val="20"/>
              </w:rPr>
            </w:pPr>
            <w:r>
              <w:rPr>
                <w:rFonts w:asciiTheme="minorHAnsi" w:hAnsiTheme="minorHAnsi" w:cstheme="minorHAnsi"/>
                <w:sz w:val="20"/>
                <w:szCs w:val="20"/>
              </w:rPr>
              <w:t>34,000</w:t>
            </w:r>
          </w:p>
          <w:p w14:paraId="24464071" w14:textId="3825AD99" w:rsidR="00DE18F5" w:rsidRPr="00B67257" w:rsidRDefault="00DE18F5" w:rsidP="00B458FF">
            <w:pPr>
              <w:spacing w:line="276" w:lineRule="auto"/>
              <w:jc w:val="right"/>
              <w:rPr>
                <w:rFonts w:asciiTheme="minorHAnsi" w:hAnsiTheme="minorHAnsi" w:cstheme="minorHAnsi"/>
                <w:sz w:val="20"/>
                <w:szCs w:val="20"/>
              </w:rPr>
            </w:pPr>
            <w:r>
              <w:rPr>
                <w:rFonts w:asciiTheme="minorHAnsi" w:hAnsiTheme="minorHAnsi" w:cstheme="minorHAnsi"/>
                <w:sz w:val="20"/>
                <w:szCs w:val="20"/>
              </w:rPr>
              <w:t>-</w:t>
            </w:r>
          </w:p>
        </w:tc>
      </w:tr>
      <w:tr w:rsidR="002F64C7" w:rsidRPr="00786C36" w14:paraId="26FC8591" w14:textId="77777777" w:rsidTr="007F18AF">
        <w:tc>
          <w:tcPr>
            <w:tcW w:w="4798" w:type="dxa"/>
          </w:tcPr>
          <w:p w14:paraId="52AD4D6B" w14:textId="54E6BB4D" w:rsidR="002F64C7" w:rsidRPr="00B67257" w:rsidRDefault="002F64C7" w:rsidP="00BF7D57">
            <w:pPr>
              <w:widowControl w:val="0"/>
              <w:spacing w:line="276" w:lineRule="auto"/>
              <w:rPr>
                <w:rFonts w:asciiTheme="minorHAnsi" w:hAnsiTheme="minorHAnsi" w:cstheme="minorHAnsi"/>
                <w:b/>
                <w:sz w:val="20"/>
                <w:szCs w:val="20"/>
              </w:rPr>
            </w:pPr>
            <w:r w:rsidRPr="00B67257">
              <w:rPr>
                <w:rFonts w:asciiTheme="minorHAnsi" w:hAnsiTheme="minorHAnsi" w:cstheme="minorHAnsi"/>
                <w:b/>
                <w:sz w:val="20"/>
                <w:szCs w:val="20"/>
              </w:rPr>
              <w:t>Provisions carried forward</w:t>
            </w:r>
          </w:p>
        </w:tc>
        <w:tc>
          <w:tcPr>
            <w:tcW w:w="555" w:type="dxa"/>
            <w:tcBorders>
              <w:right w:val="single" w:sz="4" w:space="0" w:color="auto"/>
            </w:tcBorders>
          </w:tcPr>
          <w:p w14:paraId="5D7FE167" w14:textId="77777777" w:rsidR="002F64C7" w:rsidRPr="00B67257" w:rsidRDefault="002F64C7" w:rsidP="00BF7D57">
            <w:pPr>
              <w:widowControl w:val="0"/>
              <w:spacing w:line="276" w:lineRule="auto"/>
              <w:jc w:val="right"/>
              <w:rPr>
                <w:rFonts w:asciiTheme="minorHAnsi" w:hAnsiTheme="minorHAnsi" w:cstheme="minorHAnsi"/>
                <w:b/>
                <w:sz w:val="20"/>
                <w:szCs w:val="20"/>
              </w:rPr>
            </w:pPr>
          </w:p>
        </w:tc>
        <w:tc>
          <w:tcPr>
            <w:tcW w:w="2126" w:type="dxa"/>
            <w:tcBorders>
              <w:top w:val="single" w:sz="4" w:space="0" w:color="auto"/>
              <w:left w:val="single" w:sz="4" w:space="0" w:color="auto"/>
              <w:bottom w:val="single" w:sz="4" w:space="0" w:color="auto"/>
            </w:tcBorders>
          </w:tcPr>
          <w:p w14:paraId="0DF71CF7" w14:textId="50A7B3D9" w:rsidR="002F64C7" w:rsidRPr="00B67257" w:rsidRDefault="007B62EF" w:rsidP="00BF7D57">
            <w:pPr>
              <w:widowControl w:val="0"/>
              <w:spacing w:line="276" w:lineRule="auto"/>
              <w:jc w:val="right"/>
              <w:rPr>
                <w:rFonts w:asciiTheme="minorHAnsi" w:hAnsiTheme="minorHAnsi" w:cstheme="minorHAnsi"/>
                <w:b/>
                <w:sz w:val="20"/>
                <w:szCs w:val="20"/>
              </w:rPr>
            </w:pPr>
            <w:r>
              <w:rPr>
                <w:rFonts w:asciiTheme="minorHAnsi" w:hAnsiTheme="minorHAnsi" w:cstheme="minorHAnsi"/>
                <w:b/>
                <w:sz w:val="20"/>
                <w:szCs w:val="20"/>
              </w:rPr>
              <w:t>-</w:t>
            </w:r>
          </w:p>
        </w:tc>
        <w:tc>
          <w:tcPr>
            <w:tcW w:w="2127" w:type="dxa"/>
            <w:tcBorders>
              <w:top w:val="single" w:sz="4" w:space="0" w:color="auto"/>
              <w:bottom w:val="single" w:sz="4" w:space="0" w:color="auto"/>
              <w:right w:val="single" w:sz="4" w:space="0" w:color="auto"/>
            </w:tcBorders>
          </w:tcPr>
          <w:p w14:paraId="5C1EDC76" w14:textId="190E3FA2" w:rsidR="002F64C7" w:rsidRPr="00B67257" w:rsidRDefault="00B458FF" w:rsidP="00BF7D57">
            <w:pPr>
              <w:widowControl w:val="0"/>
              <w:spacing w:line="276" w:lineRule="auto"/>
              <w:jc w:val="right"/>
              <w:rPr>
                <w:rFonts w:asciiTheme="minorHAnsi" w:hAnsiTheme="minorHAnsi" w:cstheme="minorHAnsi"/>
                <w:b/>
                <w:sz w:val="20"/>
                <w:szCs w:val="20"/>
              </w:rPr>
            </w:pPr>
            <w:r w:rsidRPr="00B67257">
              <w:rPr>
                <w:rFonts w:asciiTheme="minorHAnsi" w:hAnsiTheme="minorHAnsi" w:cstheme="minorHAnsi"/>
                <w:b/>
                <w:sz w:val="20"/>
                <w:szCs w:val="20"/>
              </w:rPr>
              <w:t>34,000</w:t>
            </w:r>
          </w:p>
        </w:tc>
      </w:tr>
    </w:tbl>
    <w:p w14:paraId="35ED0B48" w14:textId="77777777" w:rsidR="002F64C7" w:rsidRPr="0006558D" w:rsidRDefault="002F64C7" w:rsidP="0006558D">
      <w:pPr>
        <w:widowControl w:val="0"/>
        <w:spacing w:before="240" w:line="276" w:lineRule="auto"/>
        <w:jc w:val="both"/>
        <w:rPr>
          <w:rFonts w:asciiTheme="minorHAnsi" w:hAnsiTheme="minorHAnsi" w:cstheme="minorHAnsi"/>
          <w:b/>
          <w:sz w:val="20"/>
          <w:szCs w:val="20"/>
          <w:highlight w:val="yellow"/>
        </w:rPr>
      </w:pPr>
    </w:p>
    <w:p w14:paraId="0312FCE7" w14:textId="36F8E6AF" w:rsidR="005B7F66" w:rsidRPr="000D1E66" w:rsidRDefault="009F5DD8" w:rsidP="003256A6">
      <w:pPr>
        <w:pStyle w:val="ListParagraph"/>
        <w:widowControl w:val="0"/>
        <w:numPr>
          <w:ilvl w:val="0"/>
          <w:numId w:val="51"/>
        </w:numPr>
        <w:spacing w:before="120" w:line="276" w:lineRule="auto"/>
        <w:ind w:left="567" w:hanging="425"/>
        <w:contextualSpacing w:val="0"/>
        <w:jc w:val="both"/>
        <w:rPr>
          <w:rFonts w:asciiTheme="minorHAnsi" w:hAnsiTheme="minorHAnsi" w:cstheme="minorHAnsi"/>
          <w:b/>
          <w:sz w:val="20"/>
          <w:szCs w:val="20"/>
        </w:rPr>
      </w:pPr>
      <w:r w:rsidRPr="000D1E66">
        <w:rPr>
          <w:rFonts w:asciiTheme="minorHAnsi" w:hAnsiTheme="minorHAnsi" w:cstheme="minorHAnsi"/>
          <w:b/>
          <w:sz w:val="20"/>
          <w:szCs w:val="20"/>
        </w:rPr>
        <w:t>Financial Instruments – Risk Management</w:t>
      </w:r>
    </w:p>
    <w:p w14:paraId="55C25008" w14:textId="2CA382E3" w:rsidR="002B1912" w:rsidRPr="000D1E66" w:rsidRDefault="002B1912" w:rsidP="00034844">
      <w:pPr>
        <w:pStyle w:val="ListParagraph"/>
        <w:widowControl w:val="0"/>
        <w:ind w:left="567"/>
        <w:contextualSpacing w:val="0"/>
        <w:jc w:val="both"/>
        <w:rPr>
          <w:rFonts w:asciiTheme="minorHAnsi" w:hAnsiTheme="minorHAnsi" w:cstheme="minorHAnsi"/>
          <w:sz w:val="20"/>
          <w:szCs w:val="20"/>
        </w:rPr>
      </w:pPr>
      <w:r w:rsidRPr="000D1E66">
        <w:rPr>
          <w:rFonts w:asciiTheme="minorHAnsi" w:hAnsiTheme="minorHAnsi" w:cstheme="minorHAnsi"/>
          <w:sz w:val="20"/>
          <w:szCs w:val="20"/>
        </w:rPr>
        <w:t>The group is exposed through its operations to the following financial risks:</w:t>
      </w:r>
    </w:p>
    <w:p w14:paraId="17E103A0" w14:textId="77777777" w:rsidR="002B1912" w:rsidRPr="000D1E66" w:rsidRDefault="002B1912" w:rsidP="00034844">
      <w:pPr>
        <w:pStyle w:val="ListParagraph"/>
        <w:widowControl w:val="0"/>
        <w:ind w:left="567"/>
        <w:contextualSpacing w:val="0"/>
        <w:jc w:val="both"/>
        <w:rPr>
          <w:rFonts w:asciiTheme="minorHAnsi" w:hAnsiTheme="minorHAnsi" w:cstheme="minorHAnsi"/>
          <w:sz w:val="20"/>
          <w:szCs w:val="20"/>
        </w:rPr>
      </w:pPr>
    </w:p>
    <w:p w14:paraId="44C90C69" w14:textId="53076F49" w:rsidR="002B1912" w:rsidRPr="000D1E66" w:rsidRDefault="002B1912" w:rsidP="0081465D">
      <w:pPr>
        <w:pStyle w:val="ListParagraph"/>
        <w:widowControl w:val="0"/>
        <w:numPr>
          <w:ilvl w:val="0"/>
          <w:numId w:val="4"/>
        </w:numPr>
        <w:ind w:left="1281" w:hanging="357"/>
        <w:contextualSpacing w:val="0"/>
        <w:jc w:val="both"/>
        <w:rPr>
          <w:rFonts w:asciiTheme="minorHAnsi" w:hAnsiTheme="minorHAnsi" w:cstheme="minorHAnsi"/>
          <w:sz w:val="20"/>
          <w:szCs w:val="20"/>
        </w:rPr>
      </w:pPr>
      <w:r w:rsidRPr="000D1E66">
        <w:rPr>
          <w:rFonts w:asciiTheme="minorHAnsi" w:hAnsiTheme="minorHAnsi" w:cstheme="minorHAnsi"/>
          <w:sz w:val="20"/>
          <w:szCs w:val="20"/>
        </w:rPr>
        <w:t>Credit risk</w:t>
      </w:r>
    </w:p>
    <w:p w14:paraId="5F452D3E" w14:textId="299AF638" w:rsidR="002B1912" w:rsidRPr="000D1E66" w:rsidRDefault="002B1912" w:rsidP="0081465D">
      <w:pPr>
        <w:pStyle w:val="ListParagraph"/>
        <w:widowControl w:val="0"/>
        <w:numPr>
          <w:ilvl w:val="0"/>
          <w:numId w:val="4"/>
        </w:numPr>
        <w:ind w:left="1281" w:hanging="357"/>
        <w:contextualSpacing w:val="0"/>
        <w:jc w:val="both"/>
        <w:rPr>
          <w:rFonts w:asciiTheme="minorHAnsi" w:hAnsiTheme="minorHAnsi" w:cstheme="minorHAnsi"/>
          <w:sz w:val="20"/>
          <w:szCs w:val="20"/>
        </w:rPr>
      </w:pPr>
      <w:r w:rsidRPr="000D1E66">
        <w:rPr>
          <w:rFonts w:asciiTheme="minorHAnsi" w:hAnsiTheme="minorHAnsi" w:cstheme="minorHAnsi"/>
          <w:sz w:val="20"/>
          <w:szCs w:val="20"/>
        </w:rPr>
        <w:t>Market risk</w:t>
      </w:r>
    </w:p>
    <w:p w14:paraId="38E47CA4" w14:textId="59267477" w:rsidR="002B1912" w:rsidRPr="000D1E66" w:rsidRDefault="002B1912" w:rsidP="0081465D">
      <w:pPr>
        <w:pStyle w:val="ListParagraph"/>
        <w:widowControl w:val="0"/>
        <w:numPr>
          <w:ilvl w:val="0"/>
          <w:numId w:val="4"/>
        </w:numPr>
        <w:ind w:left="1281" w:hanging="357"/>
        <w:contextualSpacing w:val="0"/>
        <w:jc w:val="both"/>
        <w:rPr>
          <w:rFonts w:asciiTheme="minorHAnsi" w:hAnsiTheme="minorHAnsi" w:cstheme="minorHAnsi"/>
          <w:sz w:val="20"/>
          <w:szCs w:val="20"/>
        </w:rPr>
      </w:pPr>
      <w:r w:rsidRPr="000D1E66">
        <w:rPr>
          <w:rFonts w:asciiTheme="minorHAnsi" w:hAnsiTheme="minorHAnsi" w:cstheme="minorHAnsi"/>
          <w:sz w:val="20"/>
          <w:szCs w:val="20"/>
        </w:rPr>
        <w:t>Liquidity risk</w:t>
      </w:r>
    </w:p>
    <w:p w14:paraId="334EE4AE" w14:textId="366AA960" w:rsidR="002B1912" w:rsidRPr="000D1E66" w:rsidRDefault="002B1912" w:rsidP="00034844">
      <w:pPr>
        <w:widowControl w:val="0"/>
        <w:jc w:val="both"/>
        <w:rPr>
          <w:rFonts w:asciiTheme="minorHAnsi" w:hAnsiTheme="minorHAnsi" w:cstheme="minorHAnsi"/>
          <w:sz w:val="20"/>
          <w:szCs w:val="20"/>
        </w:rPr>
      </w:pPr>
    </w:p>
    <w:p w14:paraId="34F0A8AF" w14:textId="01CD16FD" w:rsidR="002B1912" w:rsidRPr="000D1E66" w:rsidRDefault="002B1912" w:rsidP="00034844">
      <w:pPr>
        <w:widowControl w:val="0"/>
        <w:ind w:left="567"/>
        <w:jc w:val="both"/>
        <w:rPr>
          <w:rFonts w:asciiTheme="minorHAnsi" w:hAnsiTheme="minorHAnsi" w:cstheme="minorHAnsi"/>
          <w:sz w:val="20"/>
          <w:szCs w:val="20"/>
        </w:rPr>
      </w:pPr>
      <w:r w:rsidRPr="000D1E66">
        <w:rPr>
          <w:rFonts w:asciiTheme="minorHAnsi" w:hAnsiTheme="minorHAnsi" w:cstheme="minorHAnsi"/>
          <w:sz w:val="20"/>
          <w:szCs w:val="20"/>
        </w:rPr>
        <w:t xml:space="preserve">In common with other businesses, the group is exposed to risks that arise from use of financial instruments. This note describes the group’s objectives, policies and processes for managing those risks and the </w:t>
      </w:r>
      <w:r w:rsidR="00E33D11" w:rsidRPr="000D1E66">
        <w:rPr>
          <w:rFonts w:asciiTheme="minorHAnsi" w:hAnsiTheme="minorHAnsi" w:cstheme="minorHAnsi"/>
          <w:sz w:val="20"/>
          <w:szCs w:val="20"/>
        </w:rPr>
        <w:t>methods</w:t>
      </w:r>
      <w:r w:rsidRPr="000D1E66">
        <w:rPr>
          <w:rFonts w:asciiTheme="minorHAnsi" w:hAnsiTheme="minorHAnsi" w:cstheme="minorHAnsi"/>
          <w:sz w:val="20"/>
          <w:szCs w:val="20"/>
        </w:rPr>
        <w:t xml:space="preserve"> used to measure them.</w:t>
      </w:r>
    </w:p>
    <w:p w14:paraId="2D54D828" w14:textId="2AF54CED" w:rsidR="002B1912" w:rsidRPr="000D1E66" w:rsidRDefault="002B1912" w:rsidP="00034844">
      <w:pPr>
        <w:widowControl w:val="0"/>
        <w:ind w:left="567"/>
        <w:jc w:val="both"/>
        <w:rPr>
          <w:rFonts w:asciiTheme="minorHAnsi" w:hAnsiTheme="minorHAnsi" w:cstheme="minorHAnsi"/>
          <w:sz w:val="20"/>
          <w:szCs w:val="20"/>
        </w:rPr>
      </w:pPr>
    </w:p>
    <w:p w14:paraId="1F94E423" w14:textId="17039F22" w:rsidR="002B1912" w:rsidRPr="000D1E66" w:rsidRDefault="002B1912" w:rsidP="00034844">
      <w:pPr>
        <w:widowControl w:val="0"/>
        <w:ind w:left="567"/>
        <w:jc w:val="both"/>
        <w:rPr>
          <w:rFonts w:asciiTheme="minorHAnsi" w:hAnsiTheme="minorHAnsi" w:cstheme="minorHAnsi"/>
          <w:sz w:val="20"/>
          <w:szCs w:val="20"/>
        </w:rPr>
      </w:pPr>
      <w:r w:rsidRPr="000D1E66">
        <w:rPr>
          <w:rFonts w:asciiTheme="minorHAnsi" w:hAnsiTheme="minorHAnsi" w:cstheme="minorHAnsi"/>
          <w:sz w:val="20"/>
          <w:szCs w:val="20"/>
        </w:rPr>
        <w:t>The principal financial instruments used by the group, from which the financial instrument risks arise, are as follows:</w:t>
      </w:r>
    </w:p>
    <w:p w14:paraId="00FCA336" w14:textId="770E0982" w:rsidR="002B1912" w:rsidRPr="000D1E66" w:rsidRDefault="002B1912" w:rsidP="00034844">
      <w:pPr>
        <w:widowControl w:val="0"/>
        <w:ind w:left="567"/>
        <w:jc w:val="both"/>
        <w:rPr>
          <w:rFonts w:asciiTheme="minorHAnsi" w:hAnsiTheme="minorHAnsi" w:cstheme="minorHAnsi"/>
          <w:sz w:val="20"/>
          <w:szCs w:val="20"/>
        </w:rPr>
      </w:pPr>
    </w:p>
    <w:p w14:paraId="7EFD2006" w14:textId="3A564ABC" w:rsidR="002B1912" w:rsidRPr="000D1E66" w:rsidRDefault="002B1912" w:rsidP="0081465D">
      <w:pPr>
        <w:pStyle w:val="ListParagraph"/>
        <w:widowControl w:val="0"/>
        <w:numPr>
          <w:ilvl w:val="0"/>
          <w:numId w:val="5"/>
        </w:numPr>
        <w:jc w:val="both"/>
        <w:rPr>
          <w:rFonts w:asciiTheme="minorHAnsi" w:hAnsiTheme="minorHAnsi" w:cstheme="minorHAnsi"/>
          <w:sz w:val="20"/>
          <w:szCs w:val="20"/>
        </w:rPr>
      </w:pPr>
      <w:r w:rsidRPr="000D1E66">
        <w:rPr>
          <w:rFonts w:asciiTheme="minorHAnsi" w:hAnsiTheme="minorHAnsi" w:cstheme="minorHAnsi"/>
          <w:sz w:val="20"/>
          <w:szCs w:val="20"/>
        </w:rPr>
        <w:t>Cash and cash equivalents</w:t>
      </w:r>
    </w:p>
    <w:p w14:paraId="1B7DE225" w14:textId="0F77189D" w:rsidR="002B1912" w:rsidRPr="000D1E66" w:rsidRDefault="002B1912" w:rsidP="0081465D">
      <w:pPr>
        <w:pStyle w:val="ListParagraph"/>
        <w:widowControl w:val="0"/>
        <w:numPr>
          <w:ilvl w:val="0"/>
          <w:numId w:val="5"/>
        </w:numPr>
        <w:jc w:val="both"/>
        <w:rPr>
          <w:rFonts w:asciiTheme="minorHAnsi" w:hAnsiTheme="minorHAnsi" w:cstheme="minorHAnsi"/>
          <w:sz w:val="20"/>
          <w:szCs w:val="20"/>
        </w:rPr>
      </w:pPr>
      <w:r w:rsidRPr="000D1E66">
        <w:rPr>
          <w:rFonts w:asciiTheme="minorHAnsi" w:hAnsiTheme="minorHAnsi" w:cstheme="minorHAnsi"/>
          <w:sz w:val="20"/>
          <w:szCs w:val="20"/>
        </w:rPr>
        <w:t>Trade and other payables</w:t>
      </w:r>
    </w:p>
    <w:p w14:paraId="66F7F595" w14:textId="27540EFD" w:rsidR="002B1912" w:rsidRPr="000D1E66" w:rsidRDefault="002B1912" w:rsidP="0081465D">
      <w:pPr>
        <w:pStyle w:val="ListParagraph"/>
        <w:widowControl w:val="0"/>
        <w:numPr>
          <w:ilvl w:val="0"/>
          <w:numId w:val="5"/>
        </w:numPr>
        <w:jc w:val="both"/>
        <w:rPr>
          <w:rFonts w:asciiTheme="minorHAnsi" w:hAnsiTheme="minorHAnsi" w:cstheme="minorHAnsi"/>
          <w:sz w:val="20"/>
          <w:szCs w:val="20"/>
        </w:rPr>
      </w:pPr>
      <w:r w:rsidRPr="000D1E66">
        <w:rPr>
          <w:rFonts w:asciiTheme="minorHAnsi" w:hAnsiTheme="minorHAnsi" w:cstheme="minorHAnsi"/>
          <w:sz w:val="20"/>
          <w:szCs w:val="20"/>
        </w:rPr>
        <w:t>Loans and borrowings</w:t>
      </w:r>
    </w:p>
    <w:p w14:paraId="5ECFD45A" w14:textId="51F540E0" w:rsidR="002B1912" w:rsidRPr="000D1E66" w:rsidRDefault="002B1912" w:rsidP="00034844">
      <w:pPr>
        <w:widowControl w:val="0"/>
        <w:jc w:val="both"/>
        <w:rPr>
          <w:rFonts w:asciiTheme="minorHAnsi" w:hAnsiTheme="minorHAnsi" w:cstheme="minorHAnsi"/>
          <w:sz w:val="20"/>
          <w:szCs w:val="20"/>
        </w:rPr>
      </w:pPr>
    </w:p>
    <w:p w14:paraId="48C6A7B1" w14:textId="6378671E" w:rsidR="002B1912" w:rsidRPr="000D1E66" w:rsidRDefault="002B1912" w:rsidP="00034844">
      <w:pPr>
        <w:widowControl w:val="0"/>
        <w:ind w:left="567"/>
        <w:jc w:val="both"/>
        <w:rPr>
          <w:rFonts w:asciiTheme="minorHAnsi" w:hAnsiTheme="minorHAnsi" w:cstheme="minorHAnsi"/>
          <w:sz w:val="20"/>
          <w:szCs w:val="20"/>
        </w:rPr>
      </w:pPr>
      <w:r w:rsidRPr="000D1E66">
        <w:rPr>
          <w:rFonts w:asciiTheme="minorHAnsi" w:hAnsiTheme="minorHAnsi" w:cstheme="minorHAnsi"/>
          <w:sz w:val="20"/>
          <w:szCs w:val="20"/>
        </w:rPr>
        <w:t>A summary of the financial instruments held by category is provided below:</w:t>
      </w:r>
    </w:p>
    <w:p w14:paraId="1D18CFA7" w14:textId="5BE306C5" w:rsidR="002B1912" w:rsidRPr="000D1E66" w:rsidRDefault="002B1912" w:rsidP="00034844">
      <w:pPr>
        <w:widowControl w:val="0"/>
        <w:ind w:left="567"/>
        <w:jc w:val="both"/>
        <w:rPr>
          <w:rFonts w:asciiTheme="minorHAnsi" w:hAnsiTheme="minorHAnsi" w:cstheme="minorHAnsi"/>
          <w:sz w:val="20"/>
          <w:szCs w:val="20"/>
        </w:rPr>
      </w:pPr>
    </w:p>
    <w:p w14:paraId="2F8789E3" w14:textId="7B7C33F6" w:rsidR="002B1912" w:rsidRPr="000D1E66" w:rsidRDefault="002B1912" w:rsidP="0081465D">
      <w:pPr>
        <w:pStyle w:val="ListParagraph"/>
        <w:widowControl w:val="0"/>
        <w:numPr>
          <w:ilvl w:val="0"/>
          <w:numId w:val="6"/>
        </w:numPr>
        <w:jc w:val="both"/>
        <w:rPr>
          <w:rFonts w:asciiTheme="minorHAnsi" w:hAnsiTheme="minorHAnsi" w:cstheme="minorHAnsi"/>
          <w:sz w:val="20"/>
          <w:szCs w:val="20"/>
        </w:rPr>
      </w:pPr>
      <w:r w:rsidRPr="000D1E66">
        <w:rPr>
          <w:rFonts w:asciiTheme="minorHAnsi" w:hAnsiTheme="minorHAnsi" w:cstheme="minorHAnsi"/>
          <w:sz w:val="20"/>
          <w:szCs w:val="20"/>
        </w:rPr>
        <w:t xml:space="preserve">Financial assets – </w:t>
      </w:r>
      <w:r w:rsidR="009D54F6" w:rsidRPr="000D1E66">
        <w:rPr>
          <w:rFonts w:asciiTheme="minorHAnsi" w:hAnsiTheme="minorHAnsi" w:cstheme="minorHAnsi"/>
          <w:sz w:val="20"/>
          <w:szCs w:val="20"/>
        </w:rPr>
        <w:t>amortised cost</w:t>
      </w:r>
    </w:p>
    <w:p w14:paraId="273E4559" w14:textId="13B2406F" w:rsidR="00DE18F5" w:rsidRPr="003256A6" w:rsidRDefault="002B1912" w:rsidP="003256A6">
      <w:pPr>
        <w:pStyle w:val="ListParagraph"/>
        <w:widowControl w:val="0"/>
        <w:numPr>
          <w:ilvl w:val="0"/>
          <w:numId w:val="6"/>
        </w:numPr>
        <w:jc w:val="both"/>
        <w:rPr>
          <w:b/>
        </w:rPr>
      </w:pPr>
      <w:r w:rsidRPr="000D1E66">
        <w:rPr>
          <w:rFonts w:asciiTheme="minorHAnsi" w:hAnsiTheme="minorHAnsi" w:cstheme="minorHAnsi"/>
          <w:sz w:val="20"/>
          <w:szCs w:val="20"/>
        </w:rPr>
        <w:t>Financial liabilities – amortised cost</w:t>
      </w:r>
    </w:p>
    <w:p w14:paraId="2F533C55" w14:textId="77777777" w:rsidR="00DE18F5" w:rsidRDefault="00DE18F5" w:rsidP="00034844">
      <w:pPr>
        <w:widowControl w:val="0"/>
        <w:ind w:left="567"/>
        <w:jc w:val="both"/>
        <w:rPr>
          <w:rFonts w:asciiTheme="minorHAnsi" w:hAnsiTheme="minorHAnsi" w:cstheme="minorHAnsi"/>
          <w:b/>
          <w:sz w:val="20"/>
          <w:szCs w:val="20"/>
        </w:rPr>
      </w:pPr>
    </w:p>
    <w:p w14:paraId="67ACA223" w14:textId="35C3B067" w:rsidR="002B1912" w:rsidRPr="000D1E66" w:rsidRDefault="002B1912" w:rsidP="00DE18F5">
      <w:pPr>
        <w:widowControl w:val="0"/>
        <w:ind w:firstLine="709"/>
        <w:jc w:val="both"/>
        <w:rPr>
          <w:rFonts w:asciiTheme="minorHAnsi" w:hAnsiTheme="minorHAnsi" w:cstheme="minorHAnsi"/>
          <w:b/>
          <w:sz w:val="20"/>
          <w:szCs w:val="20"/>
        </w:rPr>
      </w:pPr>
      <w:r w:rsidRPr="000D1E66">
        <w:rPr>
          <w:rFonts w:asciiTheme="minorHAnsi" w:hAnsiTheme="minorHAnsi" w:cstheme="minorHAnsi"/>
          <w:b/>
          <w:sz w:val="20"/>
          <w:szCs w:val="20"/>
        </w:rPr>
        <w:t>Group:</w:t>
      </w: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2"/>
        <w:gridCol w:w="1134"/>
        <w:gridCol w:w="1146"/>
      </w:tblGrid>
      <w:tr w:rsidR="00B70108" w:rsidRPr="000D1E66" w14:paraId="18C00534" w14:textId="77777777" w:rsidTr="00B70108">
        <w:tc>
          <w:tcPr>
            <w:tcW w:w="6792" w:type="dxa"/>
          </w:tcPr>
          <w:p w14:paraId="424C0B6F" w14:textId="77777777" w:rsidR="002B1912" w:rsidRPr="000D1E66" w:rsidRDefault="002B1912" w:rsidP="00034844">
            <w:pPr>
              <w:widowControl w:val="0"/>
              <w:jc w:val="both"/>
              <w:rPr>
                <w:rFonts w:asciiTheme="minorHAnsi" w:hAnsiTheme="minorHAnsi" w:cstheme="minorHAnsi"/>
                <w:sz w:val="20"/>
                <w:szCs w:val="20"/>
              </w:rPr>
            </w:pPr>
          </w:p>
        </w:tc>
        <w:tc>
          <w:tcPr>
            <w:tcW w:w="1134" w:type="dxa"/>
          </w:tcPr>
          <w:p w14:paraId="2DA33C8F" w14:textId="7402BBE1" w:rsidR="002B1912" w:rsidRPr="000D1E66" w:rsidRDefault="002B1912" w:rsidP="00034844">
            <w:pPr>
              <w:widowControl w:val="0"/>
              <w:jc w:val="right"/>
              <w:rPr>
                <w:rFonts w:asciiTheme="minorHAnsi" w:hAnsiTheme="minorHAnsi" w:cstheme="minorHAnsi"/>
                <w:b/>
                <w:sz w:val="20"/>
                <w:szCs w:val="20"/>
              </w:rPr>
            </w:pPr>
            <w:r w:rsidRPr="000D1E66">
              <w:rPr>
                <w:rFonts w:asciiTheme="minorHAnsi" w:hAnsiTheme="minorHAnsi" w:cstheme="minorHAnsi"/>
                <w:b/>
                <w:sz w:val="20"/>
                <w:szCs w:val="20"/>
              </w:rPr>
              <w:t>20</w:t>
            </w:r>
            <w:r w:rsidR="00B458FF" w:rsidRPr="000D1E66">
              <w:rPr>
                <w:rFonts w:asciiTheme="minorHAnsi" w:hAnsiTheme="minorHAnsi" w:cstheme="minorHAnsi"/>
                <w:b/>
                <w:sz w:val="20"/>
                <w:szCs w:val="20"/>
              </w:rPr>
              <w:t>2</w:t>
            </w:r>
            <w:r w:rsidR="00DC0608">
              <w:rPr>
                <w:rFonts w:asciiTheme="minorHAnsi" w:hAnsiTheme="minorHAnsi" w:cstheme="minorHAnsi"/>
                <w:b/>
                <w:sz w:val="20"/>
                <w:szCs w:val="20"/>
              </w:rPr>
              <w:t>2</w:t>
            </w:r>
          </w:p>
          <w:p w14:paraId="7A5F8B6B" w14:textId="6A570819" w:rsidR="002B1912" w:rsidRPr="000D1E66" w:rsidRDefault="002B1912" w:rsidP="00034844">
            <w:pPr>
              <w:widowControl w:val="0"/>
              <w:jc w:val="right"/>
              <w:rPr>
                <w:rFonts w:asciiTheme="minorHAnsi" w:hAnsiTheme="minorHAnsi" w:cstheme="minorHAnsi"/>
                <w:b/>
                <w:sz w:val="20"/>
                <w:szCs w:val="20"/>
              </w:rPr>
            </w:pPr>
            <w:r w:rsidRPr="000D1E66">
              <w:rPr>
                <w:rFonts w:asciiTheme="minorHAnsi" w:hAnsiTheme="minorHAnsi" w:cstheme="minorHAnsi"/>
                <w:b/>
                <w:sz w:val="20"/>
                <w:szCs w:val="20"/>
              </w:rPr>
              <w:t>£</w:t>
            </w:r>
          </w:p>
        </w:tc>
        <w:tc>
          <w:tcPr>
            <w:tcW w:w="1146" w:type="dxa"/>
          </w:tcPr>
          <w:p w14:paraId="0DB4FEE1" w14:textId="06B5BDB0" w:rsidR="002B1912" w:rsidRPr="000D1E66" w:rsidRDefault="002B1912" w:rsidP="00034844">
            <w:pPr>
              <w:widowControl w:val="0"/>
              <w:jc w:val="right"/>
              <w:rPr>
                <w:rFonts w:asciiTheme="minorHAnsi" w:hAnsiTheme="minorHAnsi" w:cstheme="minorHAnsi"/>
                <w:b/>
                <w:sz w:val="20"/>
                <w:szCs w:val="20"/>
              </w:rPr>
            </w:pPr>
            <w:r w:rsidRPr="000D1E66">
              <w:rPr>
                <w:rFonts w:asciiTheme="minorHAnsi" w:hAnsiTheme="minorHAnsi" w:cstheme="minorHAnsi"/>
                <w:b/>
                <w:sz w:val="20"/>
                <w:szCs w:val="20"/>
              </w:rPr>
              <w:t>20</w:t>
            </w:r>
            <w:r w:rsidR="00B458FF" w:rsidRPr="000D1E66">
              <w:rPr>
                <w:rFonts w:asciiTheme="minorHAnsi" w:hAnsiTheme="minorHAnsi" w:cstheme="minorHAnsi"/>
                <w:b/>
                <w:sz w:val="20"/>
                <w:szCs w:val="20"/>
              </w:rPr>
              <w:t>2</w:t>
            </w:r>
            <w:r w:rsidR="00DC0608">
              <w:rPr>
                <w:rFonts w:asciiTheme="minorHAnsi" w:hAnsiTheme="minorHAnsi" w:cstheme="minorHAnsi"/>
                <w:b/>
                <w:sz w:val="20"/>
                <w:szCs w:val="20"/>
              </w:rPr>
              <w:t>1</w:t>
            </w:r>
          </w:p>
          <w:p w14:paraId="3E748FDE" w14:textId="73A2C2F8" w:rsidR="002B1912" w:rsidRPr="000D1E66" w:rsidRDefault="002B1912" w:rsidP="00034844">
            <w:pPr>
              <w:widowControl w:val="0"/>
              <w:jc w:val="right"/>
              <w:rPr>
                <w:rFonts w:asciiTheme="minorHAnsi" w:hAnsiTheme="minorHAnsi" w:cstheme="minorHAnsi"/>
                <w:b/>
                <w:sz w:val="20"/>
                <w:szCs w:val="20"/>
              </w:rPr>
            </w:pPr>
            <w:r w:rsidRPr="000D1E66">
              <w:rPr>
                <w:rFonts w:asciiTheme="minorHAnsi" w:hAnsiTheme="minorHAnsi" w:cstheme="minorHAnsi"/>
                <w:b/>
                <w:sz w:val="20"/>
                <w:szCs w:val="20"/>
              </w:rPr>
              <w:t>£</w:t>
            </w:r>
          </w:p>
        </w:tc>
      </w:tr>
      <w:tr w:rsidR="00B458FF" w:rsidRPr="000D1E66" w14:paraId="0341E83D" w14:textId="77777777" w:rsidTr="00B70108">
        <w:tc>
          <w:tcPr>
            <w:tcW w:w="6792" w:type="dxa"/>
          </w:tcPr>
          <w:p w14:paraId="19944F4B" w14:textId="52292520" w:rsidR="00B458FF" w:rsidRPr="000D1E66" w:rsidRDefault="00B458FF" w:rsidP="00B458FF">
            <w:pPr>
              <w:widowControl w:val="0"/>
              <w:jc w:val="both"/>
              <w:rPr>
                <w:rFonts w:asciiTheme="minorHAnsi" w:hAnsiTheme="minorHAnsi" w:cstheme="minorHAnsi"/>
                <w:sz w:val="20"/>
                <w:szCs w:val="20"/>
              </w:rPr>
            </w:pPr>
            <w:r w:rsidRPr="000D1E66">
              <w:rPr>
                <w:rFonts w:asciiTheme="minorHAnsi" w:hAnsiTheme="minorHAnsi" w:cstheme="minorHAnsi"/>
                <w:sz w:val="20"/>
                <w:szCs w:val="20"/>
              </w:rPr>
              <w:t>Cash and cash equivalents</w:t>
            </w:r>
          </w:p>
        </w:tc>
        <w:tc>
          <w:tcPr>
            <w:tcW w:w="1134" w:type="dxa"/>
          </w:tcPr>
          <w:p w14:paraId="69B2BAF3" w14:textId="7706BC34" w:rsidR="00B458FF" w:rsidRPr="000D1E66" w:rsidRDefault="0006558D" w:rsidP="00B458FF">
            <w:pPr>
              <w:widowControl w:val="0"/>
              <w:tabs>
                <w:tab w:val="left" w:pos="1030"/>
              </w:tabs>
              <w:ind w:left="180"/>
              <w:jc w:val="right"/>
              <w:rPr>
                <w:rFonts w:asciiTheme="minorHAnsi" w:hAnsiTheme="minorHAnsi" w:cstheme="minorHAnsi"/>
                <w:sz w:val="20"/>
                <w:szCs w:val="20"/>
              </w:rPr>
            </w:pPr>
            <w:r>
              <w:rPr>
                <w:rFonts w:asciiTheme="minorHAnsi" w:hAnsiTheme="minorHAnsi" w:cstheme="minorHAnsi"/>
                <w:sz w:val="20"/>
                <w:szCs w:val="20"/>
              </w:rPr>
              <w:t>5</w:t>
            </w:r>
          </w:p>
        </w:tc>
        <w:tc>
          <w:tcPr>
            <w:tcW w:w="1146" w:type="dxa"/>
          </w:tcPr>
          <w:p w14:paraId="08BAD9CB" w14:textId="3DB0CABC" w:rsidR="00B458FF" w:rsidRPr="000D1E66" w:rsidRDefault="00DC0608" w:rsidP="00B458FF">
            <w:pPr>
              <w:widowControl w:val="0"/>
              <w:jc w:val="right"/>
              <w:rPr>
                <w:rFonts w:asciiTheme="minorHAnsi" w:hAnsiTheme="minorHAnsi" w:cstheme="minorHAnsi"/>
                <w:sz w:val="20"/>
                <w:szCs w:val="20"/>
              </w:rPr>
            </w:pPr>
            <w:r>
              <w:rPr>
                <w:rFonts w:asciiTheme="minorHAnsi" w:hAnsiTheme="minorHAnsi" w:cstheme="minorHAnsi"/>
                <w:sz w:val="20"/>
                <w:szCs w:val="20"/>
              </w:rPr>
              <w:t>50,929</w:t>
            </w:r>
          </w:p>
        </w:tc>
      </w:tr>
      <w:tr w:rsidR="00B458FF" w:rsidRPr="000D1E66" w14:paraId="2CFB7D91" w14:textId="77777777" w:rsidTr="00B70108">
        <w:tc>
          <w:tcPr>
            <w:tcW w:w="6792" w:type="dxa"/>
          </w:tcPr>
          <w:p w14:paraId="12771513" w14:textId="2F9F138E" w:rsidR="00B458FF" w:rsidRPr="000D1E66" w:rsidRDefault="00B458FF" w:rsidP="00B458FF">
            <w:pPr>
              <w:widowControl w:val="0"/>
              <w:jc w:val="both"/>
              <w:rPr>
                <w:rFonts w:asciiTheme="minorHAnsi" w:hAnsiTheme="minorHAnsi" w:cstheme="minorHAnsi"/>
                <w:sz w:val="20"/>
                <w:szCs w:val="20"/>
              </w:rPr>
            </w:pPr>
            <w:r w:rsidRPr="000D1E66">
              <w:rPr>
                <w:rFonts w:asciiTheme="minorHAnsi" w:hAnsiTheme="minorHAnsi" w:cstheme="minorHAnsi"/>
                <w:sz w:val="20"/>
                <w:szCs w:val="20"/>
              </w:rPr>
              <w:t>Trade and other receivables</w:t>
            </w:r>
          </w:p>
        </w:tc>
        <w:tc>
          <w:tcPr>
            <w:tcW w:w="1134" w:type="dxa"/>
            <w:tcBorders>
              <w:bottom w:val="single" w:sz="4" w:space="0" w:color="auto"/>
            </w:tcBorders>
          </w:tcPr>
          <w:p w14:paraId="7D70341F" w14:textId="685C6B84" w:rsidR="00B458FF" w:rsidRPr="000D1E66" w:rsidRDefault="00D22AE5" w:rsidP="00B458FF">
            <w:pPr>
              <w:widowControl w:val="0"/>
              <w:jc w:val="right"/>
              <w:rPr>
                <w:rFonts w:asciiTheme="minorHAnsi" w:hAnsiTheme="minorHAnsi" w:cstheme="minorHAnsi"/>
                <w:sz w:val="20"/>
                <w:szCs w:val="20"/>
              </w:rPr>
            </w:pPr>
            <w:r>
              <w:rPr>
                <w:rFonts w:asciiTheme="minorHAnsi" w:hAnsiTheme="minorHAnsi" w:cstheme="minorHAnsi"/>
                <w:sz w:val="20"/>
                <w:szCs w:val="20"/>
              </w:rPr>
              <w:t>-</w:t>
            </w:r>
          </w:p>
        </w:tc>
        <w:tc>
          <w:tcPr>
            <w:tcW w:w="1146" w:type="dxa"/>
            <w:tcBorders>
              <w:bottom w:val="single" w:sz="4" w:space="0" w:color="auto"/>
            </w:tcBorders>
          </w:tcPr>
          <w:p w14:paraId="548C7F46" w14:textId="08D9B421" w:rsidR="00B458FF" w:rsidRPr="000D1E66" w:rsidRDefault="00DC0608" w:rsidP="00B458FF">
            <w:pPr>
              <w:widowControl w:val="0"/>
              <w:jc w:val="right"/>
              <w:rPr>
                <w:rFonts w:asciiTheme="minorHAnsi" w:hAnsiTheme="minorHAnsi" w:cstheme="minorHAnsi"/>
                <w:sz w:val="20"/>
                <w:szCs w:val="20"/>
              </w:rPr>
            </w:pPr>
            <w:r>
              <w:rPr>
                <w:rFonts w:asciiTheme="minorHAnsi" w:hAnsiTheme="minorHAnsi" w:cstheme="minorHAnsi"/>
                <w:sz w:val="20"/>
                <w:szCs w:val="20"/>
              </w:rPr>
              <w:t>103,126</w:t>
            </w:r>
          </w:p>
        </w:tc>
      </w:tr>
      <w:tr w:rsidR="00B70108" w:rsidRPr="00786C36" w14:paraId="0E99E845" w14:textId="77777777" w:rsidTr="00B70108">
        <w:tc>
          <w:tcPr>
            <w:tcW w:w="6792" w:type="dxa"/>
            <w:tcBorders>
              <w:right w:val="single" w:sz="4" w:space="0" w:color="auto"/>
            </w:tcBorders>
          </w:tcPr>
          <w:p w14:paraId="470CF50C" w14:textId="62E0918A" w:rsidR="002B1912" w:rsidRPr="000D1E66" w:rsidRDefault="002B1912" w:rsidP="00034844">
            <w:pPr>
              <w:widowControl w:val="0"/>
              <w:jc w:val="both"/>
              <w:rPr>
                <w:rFonts w:asciiTheme="minorHAnsi" w:hAnsiTheme="minorHAnsi" w:cstheme="minorHAnsi"/>
                <w:b/>
                <w:sz w:val="20"/>
                <w:szCs w:val="20"/>
              </w:rPr>
            </w:pPr>
            <w:r w:rsidRPr="000D1E66">
              <w:rPr>
                <w:rFonts w:asciiTheme="minorHAnsi" w:hAnsiTheme="minorHAnsi" w:cstheme="minorHAnsi"/>
                <w:b/>
                <w:sz w:val="20"/>
                <w:szCs w:val="20"/>
              </w:rPr>
              <w:t>Total financial assets</w:t>
            </w:r>
            <w:r w:rsidR="00FD0E28" w:rsidRPr="000D1E66">
              <w:rPr>
                <w:rFonts w:asciiTheme="minorHAnsi" w:hAnsiTheme="minorHAnsi" w:cstheme="minorHAnsi"/>
                <w:b/>
                <w:sz w:val="20"/>
                <w:szCs w:val="20"/>
              </w:rPr>
              <w:t xml:space="preserve"> – amortised cost</w:t>
            </w:r>
          </w:p>
        </w:tc>
        <w:tc>
          <w:tcPr>
            <w:tcW w:w="1134" w:type="dxa"/>
            <w:tcBorders>
              <w:top w:val="single" w:sz="4" w:space="0" w:color="auto"/>
              <w:left w:val="single" w:sz="4" w:space="0" w:color="auto"/>
              <w:bottom w:val="single" w:sz="4" w:space="0" w:color="auto"/>
            </w:tcBorders>
          </w:tcPr>
          <w:p w14:paraId="5721B13D" w14:textId="5066474D" w:rsidR="002B1912" w:rsidRPr="000D1E66" w:rsidRDefault="00D22AE5" w:rsidP="00034844">
            <w:pPr>
              <w:widowControl w:val="0"/>
              <w:jc w:val="right"/>
              <w:rPr>
                <w:rFonts w:asciiTheme="minorHAnsi" w:hAnsiTheme="minorHAnsi" w:cstheme="minorHAnsi"/>
                <w:b/>
                <w:sz w:val="20"/>
                <w:szCs w:val="20"/>
              </w:rPr>
            </w:pPr>
            <w:r>
              <w:rPr>
                <w:rFonts w:asciiTheme="minorHAnsi" w:hAnsiTheme="minorHAnsi" w:cstheme="minorHAnsi"/>
                <w:b/>
                <w:sz w:val="20"/>
                <w:szCs w:val="20"/>
              </w:rPr>
              <w:t>5</w:t>
            </w:r>
          </w:p>
        </w:tc>
        <w:tc>
          <w:tcPr>
            <w:tcW w:w="1146" w:type="dxa"/>
            <w:tcBorders>
              <w:top w:val="single" w:sz="4" w:space="0" w:color="auto"/>
              <w:bottom w:val="single" w:sz="4" w:space="0" w:color="auto"/>
              <w:right w:val="single" w:sz="4" w:space="0" w:color="auto"/>
            </w:tcBorders>
          </w:tcPr>
          <w:p w14:paraId="42994FDF" w14:textId="63B263F0" w:rsidR="002B1912" w:rsidRPr="000D1E66" w:rsidRDefault="00DC0608" w:rsidP="00B70108">
            <w:pPr>
              <w:widowControl w:val="0"/>
              <w:ind w:left="44" w:right="12"/>
              <w:jc w:val="right"/>
              <w:rPr>
                <w:rFonts w:asciiTheme="minorHAnsi" w:hAnsiTheme="minorHAnsi" w:cstheme="minorHAnsi"/>
                <w:b/>
                <w:sz w:val="20"/>
                <w:szCs w:val="20"/>
              </w:rPr>
            </w:pPr>
            <w:r>
              <w:rPr>
                <w:rFonts w:asciiTheme="minorHAnsi" w:hAnsiTheme="minorHAnsi" w:cstheme="minorHAnsi"/>
                <w:b/>
                <w:sz w:val="20"/>
                <w:szCs w:val="20"/>
              </w:rPr>
              <w:t>154,055</w:t>
            </w:r>
          </w:p>
        </w:tc>
      </w:tr>
    </w:tbl>
    <w:p w14:paraId="2F4934C0" w14:textId="4263F0C4" w:rsidR="002B1912" w:rsidRPr="00786C36" w:rsidRDefault="002B1912" w:rsidP="00034844">
      <w:pPr>
        <w:widowControl w:val="0"/>
        <w:ind w:left="567"/>
        <w:jc w:val="both"/>
        <w:rPr>
          <w:rFonts w:asciiTheme="minorHAnsi" w:hAnsiTheme="minorHAnsi" w:cstheme="minorHAnsi"/>
          <w:sz w:val="20"/>
          <w:szCs w:val="20"/>
          <w:highlight w:val="yellow"/>
        </w:rPr>
      </w:pP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134"/>
        <w:gridCol w:w="1134"/>
      </w:tblGrid>
      <w:tr w:rsidR="002B1912" w:rsidRPr="0022210F" w14:paraId="25E053D4" w14:textId="77777777" w:rsidTr="00AC2455">
        <w:tc>
          <w:tcPr>
            <w:tcW w:w="6804" w:type="dxa"/>
          </w:tcPr>
          <w:p w14:paraId="33A59DA6" w14:textId="77777777" w:rsidR="002B1912" w:rsidRPr="0022210F" w:rsidRDefault="002B1912" w:rsidP="00034844">
            <w:pPr>
              <w:widowControl w:val="0"/>
              <w:jc w:val="both"/>
              <w:rPr>
                <w:rFonts w:asciiTheme="minorHAnsi" w:hAnsiTheme="minorHAnsi" w:cstheme="minorHAnsi"/>
                <w:sz w:val="20"/>
                <w:szCs w:val="20"/>
              </w:rPr>
            </w:pPr>
          </w:p>
        </w:tc>
        <w:tc>
          <w:tcPr>
            <w:tcW w:w="1134" w:type="dxa"/>
          </w:tcPr>
          <w:p w14:paraId="739DAB63" w14:textId="27FEB5C2"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20</w:t>
            </w:r>
            <w:r w:rsidR="00B76F8A" w:rsidRPr="0022210F">
              <w:rPr>
                <w:rFonts w:asciiTheme="minorHAnsi" w:hAnsiTheme="minorHAnsi" w:cstheme="minorHAnsi"/>
                <w:b/>
                <w:sz w:val="20"/>
                <w:szCs w:val="20"/>
              </w:rPr>
              <w:t>2</w:t>
            </w:r>
            <w:r w:rsidR="00DC0608">
              <w:rPr>
                <w:rFonts w:asciiTheme="minorHAnsi" w:hAnsiTheme="minorHAnsi" w:cstheme="minorHAnsi"/>
                <w:b/>
                <w:sz w:val="20"/>
                <w:szCs w:val="20"/>
              </w:rPr>
              <w:t>2</w:t>
            </w:r>
          </w:p>
          <w:p w14:paraId="02C4FD1D" w14:textId="77777777"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w:t>
            </w:r>
          </w:p>
        </w:tc>
        <w:tc>
          <w:tcPr>
            <w:tcW w:w="1134" w:type="dxa"/>
          </w:tcPr>
          <w:p w14:paraId="5A2EF6A8" w14:textId="2A97EC0C"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20</w:t>
            </w:r>
            <w:r w:rsidR="00B458FF" w:rsidRPr="0022210F">
              <w:rPr>
                <w:rFonts w:asciiTheme="minorHAnsi" w:hAnsiTheme="minorHAnsi" w:cstheme="minorHAnsi"/>
                <w:b/>
                <w:sz w:val="20"/>
                <w:szCs w:val="20"/>
              </w:rPr>
              <w:t>2</w:t>
            </w:r>
            <w:r w:rsidR="00DC0608">
              <w:rPr>
                <w:rFonts w:asciiTheme="minorHAnsi" w:hAnsiTheme="minorHAnsi" w:cstheme="minorHAnsi"/>
                <w:b/>
                <w:sz w:val="20"/>
                <w:szCs w:val="20"/>
              </w:rPr>
              <w:t>1</w:t>
            </w:r>
          </w:p>
          <w:p w14:paraId="56B982EB" w14:textId="77777777"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w:t>
            </w:r>
          </w:p>
        </w:tc>
      </w:tr>
      <w:tr w:rsidR="00B458FF" w:rsidRPr="0022210F" w14:paraId="56B52F38" w14:textId="77777777" w:rsidTr="00AC2455">
        <w:tc>
          <w:tcPr>
            <w:tcW w:w="6804" w:type="dxa"/>
          </w:tcPr>
          <w:p w14:paraId="29FCB96B" w14:textId="45186297" w:rsidR="00B458FF" w:rsidRPr="0022210F" w:rsidRDefault="00B458FF" w:rsidP="00B458FF">
            <w:pPr>
              <w:widowControl w:val="0"/>
              <w:jc w:val="both"/>
              <w:rPr>
                <w:rFonts w:asciiTheme="minorHAnsi" w:hAnsiTheme="minorHAnsi" w:cstheme="minorHAnsi"/>
                <w:sz w:val="20"/>
                <w:szCs w:val="20"/>
              </w:rPr>
            </w:pPr>
            <w:r w:rsidRPr="0022210F">
              <w:rPr>
                <w:rFonts w:asciiTheme="minorHAnsi" w:hAnsiTheme="minorHAnsi" w:cstheme="minorHAnsi"/>
                <w:sz w:val="20"/>
                <w:szCs w:val="20"/>
              </w:rPr>
              <w:t>Trade and other payables</w:t>
            </w:r>
          </w:p>
        </w:tc>
        <w:tc>
          <w:tcPr>
            <w:tcW w:w="1134" w:type="dxa"/>
          </w:tcPr>
          <w:p w14:paraId="5F6209B2" w14:textId="08EF7B5D" w:rsidR="00B458FF" w:rsidRPr="003408CC" w:rsidRDefault="00D728FB" w:rsidP="00B458FF">
            <w:pPr>
              <w:widowControl w:val="0"/>
              <w:jc w:val="right"/>
              <w:rPr>
                <w:rFonts w:asciiTheme="minorHAnsi" w:hAnsiTheme="minorHAnsi" w:cstheme="minorHAnsi"/>
                <w:sz w:val="20"/>
                <w:szCs w:val="20"/>
                <w:highlight w:val="magenta"/>
              </w:rPr>
            </w:pPr>
            <w:r>
              <w:rPr>
                <w:rFonts w:asciiTheme="minorHAnsi" w:hAnsiTheme="minorHAnsi" w:cstheme="minorHAnsi"/>
                <w:sz w:val="20"/>
                <w:szCs w:val="20"/>
              </w:rPr>
              <w:t>6,523,526</w:t>
            </w:r>
          </w:p>
        </w:tc>
        <w:tc>
          <w:tcPr>
            <w:tcW w:w="1134" w:type="dxa"/>
          </w:tcPr>
          <w:p w14:paraId="4F1AEAF9" w14:textId="5D5394BD" w:rsidR="00B458FF" w:rsidRPr="003408CC" w:rsidRDefault="00DC0608" w:rsidP="00B458FF">
            <w:pPr>
              <w:widowControl w:val="0"/>
              <w:jc w:val="right"/>
              <w:rPr>
                <w:rFonts w:asciiTheme="minorHAnsi" w:hAnsiTheme="minorHAnsi" w:cstheme="minorHAnsi"/>
                <w:sz w:val="20"/>
                <w:szCs w:val="20"/>
                <w:highlight w:val="magenta"/>
              </w:rPr>
            </w:pPr>
            <w:r w:rsidRPr="0006558D">
              <w:rPr>
                <w:rFonts w:asciiTheme="minorHAnsi" w:hAnsiTheme="minorHAnsi" w:cstheme="minorHAnsi"/>
                <w:sz w:val="20"/>
                <w:szCs w:val="20"/>
              </w:rPr>
              <w:t>5,</w:t>
            </w:r>
            <w:r w:rsidR="0006558D" w:rsidRPr="0006558D">
              <w:rPr>
                <w:rFonts w:asciiTheme="minorHAnsi" w:hAnsiTheme="minorHAnsi" w:cstheme="minorHAnsi"/>
                <w:sz w:val="20"/>
                <w:szCs w:val="20"/>
              </w:rPr>
              <w:t>88</w:t>
            </w:r>
            <w:r w:rsidRPr="0006558D">
              <w:rPr>
                <w:rFonts w:asciiTheme="minorHAnsi" w:hAnsiTheme="minorHAnsi" w:cstheme="minorHAnsi"/>
                <w:sz w:val="20"/>
                <w:szCs w:val="20"/>
              </w:rPr>
              <w:t>1,</w:t>
            </w:r>
            <w:r w:rsidR="00D4078B">
              <w:rPr>
                <w:rFonts w:asciiTheme="minorHAnsi" w:hAnsiTheme="minorHAnsi" w:cstheme="minorHAnsi"/>
                <w:sz w:val="20"/>
                <w:szCs w:val="20"/>
              </w:rPr>
              <w:t>4</w:t>
            </w:r>
            <w:r w:rsidR="0006558D" w:rsidRPr="0006558D">
              <w:rPr>
                <w:rFonts w:asciiTheme="minorHAnsi" w:hAnsiTheme="minorHAnsi" w:cstheme="minorHAnsi"/>
                <w:sz w:val="20"/>
                <w:szCs w:val="20"/>
              </w:rPr>
              <w:t>69</w:t>
            </w:r>
          </w:p>
        </w:tc>
      </w:tr>
      <w:tr w:rsidR="00B458FF" w:rsidRPr="0022210F" w14:paraId="2110DC24" w14:textId="77777777" w:rsidTr="00AC2455">
        <w:tc>
          <w:tcPr>
            <w:tcW w:w="6804" w:type="dxa"/>
          </w:tcPr>
          <w:p w14:paraId="7FE14C3C" w14:textId="5B32D7D5" w:rsidR="00B458FF" w:rsidRPr="0022210F" w:rsidRDefault="00B458FF" w:rsidP="00B458FF">
            <w:pPr>
              <w:widowControl w:val="0"/>
              <w:jc w:val="both"/>
              <w:rPr>
                <w:rFonts w:asciiTheme="minorHAnsi" w:hAnsiTheme="minorHAnsi" w:cstheme="minorHAnsi"/>
                <w:sz w:val="20"/>
                <w:szCs w:val="20"/>
              </w:rPr>
            </w:pPr>
            <w:r w:rsidRPr="0022210F">
              <w:rPr>
                <w:rFonts w:asciiTheme="minorHAnsi" w:hAnsiTheme="minorHAnsi" w:cstheme="minorHAnsi"/>
                <w:sz w:val="20"/>
                <w:szCs w:val="20"/>
              </w:rPr>
              <w:t>Loans and borrowings</w:t>
            </w:r>
          </w:p>
        </w:tc>
        <w:tc>
          <w:tcPr>
            <w:tcW w:w="1134" w:type="dxa"/>
            <w:tcBorders>
              <w:bottom w:val="single" w:sz="4" w:space="0" w:color="auto"/>
            </w:tcBorders>
          </w:tcPr>
          <w:p w14:paraId="01369249" w14:textId="5CDBA408" w:rsidR="00B458FF" w:rsidRPr="0022210F" w:rsidRDefault="003408CC" w:rsidP="00B458FF">
            <w:pPr>
              <w:widowControl w:val="0"/>
              <w:jc w:val="right"/>
              <w:rPr>
                <w:rFonts w:asciiTheme="minorHAnsi" w:hAnsiTheme="minorHAnsi" w:cstheme="minorHAnsi"/>
                <w:sz w:val="20"/>
                <w:szCs w:val="20"/>
              </w:rPr>
            </w:pPr>
            <w:r>
              <w:rPr>
                <w:rFonts w:asciiTheme="minorHAnsi" w:hAnsiTheme="minorHAnsi" w:cstheme="minorHAnsi"/>
                <w:sz w:val="20"/>
                <w:szCs w:val="20"/>
              </w:rPr>
              <w:t>2,415,000</w:t>
            </w:r>
          </w:p>
        </w:tc>
        <w:tc>
          <w:tcPr>
            <w:tcW w:w="1134" w:type="dxa"/>
            <w:tcBorders>
              <w:bottom w:val="single" w:sz="4" w:space="0" w:color="auto"/>
            </w:tcBorders>
          </w:tcPr>
          <w:p w14:paraId="2596B0FF" w14:textId="4091D9BB" w:rsidR="00B458FF" w:rsidRPr="0022210F" w:rsidRDefault="00DC0608" w:rsidP="00B458FF">
            <w:pPr>
              <w:widowControl w:val="0"/>
              <w:jc w:val="right"/>
              <w:rPr>
                <w:rFonts w:asciiTheme="minorHAnsi" w:hAnsiTheme="minorHAnsi" w:cstheme="minorHAnsi"/>
                <w:sz w:val="20"/>
                <w:szCs w:val="20"/>
              </w:rPr>
            </w:pPr>
            <w:r>
              <w:rPr>
                <w:rFonts w:asciiTheme="minorHAnsi" w:hAnsiTheme="minorHAnsi" w:cstheme="minorHAnsi"/>
                <w:sz w:val="20"/>
                <w:szCs w:val="20"/>
              </w:rPr>
              <w:t>2,415,000</w:t>
            </w:r>
          </w:p>
        </w:tc>
      </w:tr>
      <w:tr w:rsidR="002B1912" w:rsidRPr="0022210F" w14:paraId="5E30D976" w14:textId="77777777" w:rsidTr="00AC2455">
        <w:tc>
          <w:tcPr>
            <w:tcW w:w="6804" w:type="dxa"/>
            <w:tcBorders>
              <w:right w:val="single" w:sz="4" w:space="0" w:color="auto"/>
            </w:tcBorders>
          </w:tcPr>
          <w:p w14:paraId="1EDA0438" w14:textId="246D6756" w:rsidR="002B1912" w:rsidRPr="0022210F" w:rsidRDefault="002B1912" w:rsidP="00034844">
            <w:pPr>
              <w:widowControl w:val="0"/>
              <w:jc w:val="both"/>
              <w:rPr>
                <w:rFonts w:asciiTheme="minorHAnsi" w:hAnsiTheme="minorHAnsi" w:cstheme="minorHAnsi"/>
                <w:b/>
                <w:sz w:val="20"/>
                <w:szCs w:val="20"/>
              </w:rPr>
            </w:pPr>
            <w:r w:rsidRPr="0022210F">
              <w:rPr>
                <w:rFonts w:asciiTheme="minorHAnsi" w:hAnsiTheme="minorHAnsi" w:cstheme="minorHAnsi"/>
                <w:b/>
                <w:sz w:val="20"/>
                <w:szCs w:val="20"/>
              </w:rPr>
              <w:t>Total liabilities – amortised cost</w:t>
            </w:r>
          </w:p>
        </w:tc>
        <w:tc>
          <w:tcPr>
            <w:tcW w:w="1134" w:type="dxa"/>
            <w:tcBorders>
              <w:top w:val="single" w:sz="4" w:space="0" w:color="auto"/>
              <w:left w:val="single" w:sz="4" w:space="0" w:color="auto"/>
              <w:bottom w:val="single" w:sz="4" w:space="0" w:color="auto"/>
            </w:tcBorders>
          </w:tcPr>
          <w:p w14:paraId="2CE09DD7" w14:textId="52C62272" w:rsidR="002B1912" w:rsidRPr="0022210F" w:rsidRDefault="005410A7" w:rsidP="00034844">
            <w:pPr>
              <w:widowControl w:val="0"/>
              <w:jc w:val="right"/>
              <w:rPr>
                <w:rFonts w:asciiTheme="minorHAnsi" w:hAnsiTheme="minorHAnsi" w:cstheme="minorHAnsi"/>
                <w:b/>
                <w:sz w:val="20"/>
                <w:szCs w:val="20"/>
              </w:rPr>
            </w:pPr>
            <w:r>
              <w:rPr>
                <w:rFonts w:asciiTheme="minorHAnsi" w:hAnsiTheme="minorHAnsi" w:cstheme="minorHAnsi"/>
                <w:b/>
                <w:sz w:val="20"/>
                <w:szCs w:val="20"/>
              </w:rPr>
              <w:t>8</w:t>
            </w:r>
            <w:r w:rsidR="003408CC">
              <w:rPr>
                <w:rFonts w:asciiTheme="minorHAnsi" w:hAnsiTheme="minorHAnsi" w:cstheme="minorHAnsi"/>
                <w:b/>
                <w:sz w:val="20"/>
                <w:szCs w:val="20"/>
              </w:rPr>
              <w:t>,</w:t>
            </w:r>
            <w:r w:rsidR="00D728FB">
              <w:rPr>
                <w:rFonts w:asciiTheme="minorHAnsi" w:hAnsiTheme="minorHAnsi" w:cstheme="minorHAnsi"/>
                <w:b/>
                <w:sz w:val="20"/>
                <w:szCs w:val="20"/>
              </w:rPr>
              <w:t>938,526</w:t>
            </w:r>
          </w:p>
        </w:tc>
        <w:tc>
          <w:tcPr>
            <w:tcW w:w="1134" w:type="dxa"/>
            <w:tcBorders>
              <w:top w:val="single" w:sz="4" w:space="0" w:color="auto"/>
              <w:bottom w:val="single" w:sz="4" w:space="0" w:color="auto"/>
              <w:right w:val="single" w:sz="4" w:space="0" w:color="auto"/>
            </w:tcBorders>
          </w:tcPr>
          <w:p w14:paraId="401419DC" w14:textId="4279F16F" w:rsidR="002B1912" w:rsidRPr="0022210F" w:rsidRDefault="00DC0608" w:rsidP="00AC2455">
            <w:pPr>
              <w:widowControl w:val="0"/>
              <w:ind w:left="32"/>
              <w:jc w:val="right"/>
              <w:rPr>
                <w:rFonts w:asciiTheme="minorHAnsi" w:hAnsiTheme="minorHAnsi" w:cstheme="minorHAnsi"/>
                <w:b/>
                <w:sz w:val="20"/>
                <w:szCs w:val="20"/>
              </w:rPr>
            </w:pPr>
            <w:r w:rsidRPr="0006558D">
              <w:rPr>
                <w:rFonts w:asciiTheme="minorHAnsi" w:hAnsiTheme="minorHAnsi" w:cstheme="minorHAnsi"/>
                <w:b/>
                <w:sz w:val="20"/>
                <w:szCs w:val="20"/>
              </w:rPr>
              <w:t>8,2</w:t>
            </w:r>
            <w:r w:rsidR="00E27783">
              <w:rPr>
                <w:rFonts w:asciiTheme="minorHAnsi" w:hAnsiTheme="minorHAnsi" w:cstheme="minorHAnsi"/>
                <w:b/>
                <w:sz w:val="20"/>
                <w:szCs w:val="20"/>
              </w:rPr>
              <w:t>9</w:t>
            </w:r>
            <w:r w:rsidR="00DE18F5">
              <w:rPr>
                <w:rFonts w:asciiTheme="minorHAnsi" w:hAnsiTheme="minorHAnsi" w:cstheme="minorHAnsi"/>
                <w:b/>
                <w:sz w:val="20"/>
                <w:szCs w:val="20"/>
              </w:rPr>
              <w:t>6</w:t>
            </w:r>
            <w:r w:rsidRPr="0006558D">
              <w:rPr>
                <w:rFonts w:asciiTheme="minorHAnsi" w:hAnsiTheme="minorHAnsi" w:cstheme="minorHAnsi"/>
                <w:b/>
                <w:sz w:val="20"/>
                <w:szCs w:val="20"/>
              </w:rPr>
              <w:t>,</w:t>
            </w:r>
            <w:r w:rsidR="00D4078B">
              <w:rPr>
                <w:rFonts w:asciiTheme="minorHAnsi" w:hAnsiTheme="minorHAnsi" w:cstheme="minorHAnsi"/>
                <w:b/>
                <w:sz w:val="20"/>
                <w:szCs w:val="20"/>
              </w:rPr>
              <w:t>4</w:t>
            </w:r>
            <w:r w:rsidR="0006558D" w:rsidRPr="0006558D">
              <w:rPr>
                <w:rFonts w:asciiTheme="minorHAnsi" w:hAnsiTheme="minorHAnsi" w:cstheme="minorHAnsi"/>
                <w:b/>
                <w:sz w:val="20"/>
                <w:szCs w:val="20"/>
              </w:rPr>
              <w:t>69</w:t>
            </w:r>
          </w:p>
        </w:tc>
      </w:tr>
    </w:tbl>
    <w:p w14:paraId="0F1855F0" w14:textId="0EEF3D77" w:rsidR="002B1912" w:rsidRDefault="002B1912" w:rsidP="00034844">
      <w:pPr>
        <w:widowControl w:val="0"/>
        <w:ind w:left="567"/>
        <w:jc w:val="both"/>
        <w:rPr>
          <w:rFonts w:asciiTheme="minorHAnsi" w:hAnsiTheme="minorHAnsi" w:cstheme="minorHAnsi"/>
          <w:sz w:val="20"/>
          <w:szCs w:val="20"/>
        </w:rPr>
      </w:pPr>
    </w:p>
    <w:p w14:paraId="5172A4DF" w14:textId="1849693D" w:rsidR="006D0EAD" w:rsidRDefault="006D0EAD" w:rsidP="00034844">
      <w:pPr>
        <w:widowControl w:val="0"/>
        <w:ind w:left="567"/>
        <w:jc w:val="both"/>
        <w:rPr>
          <w:rFonts w:asciiTheme="minorHAnsi" w:hAnsiTheme="minorHAnsi" w:cstheme="minorHAnsi"/>
          <w:sz w:val="20"/>
          <w:szCs w:val="20"/>
        </w:rPr>
      </w:pPr>
    </w:p>
    <w:p w14:paraId="535700E8" w14:textId="08E3ECF9" w:rsidR="003256A6" w:rsidRDefault="003256A6" w:rsidP="00034844">
      <w:pPr>
        <w:widowControl w:val="0"/>
        <w:ind w:left="567"/>
        <w:jc w:val="both"/>
        <w:rPr>
          <w:rFonts w:asciiTheme="minorHAnsi" w:hAnsiTheme="minorHAnsi" w:cstheme="minorHAnsi"/>
          <w:sz w:val="20"/>
          <w:szCs w:val="20"/>
        </w:rPr>
      </w:pPr>
    </w:p>
    <w:p w14:paraId="2B06B465" w14:textId="0DCAA6DB" w:rsidR="003256A6" w:rsidRDefault="003256A6" w:rsidP="00034844">
      <w:pPr>
        <w:widowControl w:val="0"/>
        <w:ind w:left="567"/>
        <w:jc w:val="both"/>
        <w:rPr>
          <w:rFonts w:asciiTheme="minorHAnsi" w:hAnsiTheme="minorHAnsi" w:cstheme="minorHAnsi"/>
          <w:sz w:val="20"/>
          <w:szCs w:val="20"/>
        </w:rPr>
      </w:pPr>
    </w:p>
    <w:p w14:paraId="326FE505" w14:textId="4FC566BE" w:rsidR="003256A6" w:rsidRDefault="003256A6" w:rsidP="00034844">
      <w:pPr>
        <w:widowControl w:val="0"/>
        <w:ind w:left="567"/>
        <w:jc w:val="both"/>
        <w:rPr>
          <w:rFonts w:asciiTheme="minorHAnsi" w:hAnsiTheme="minorHAnsi" w:cstheme="minorHAnsi"/>
          <w:sz w:val="20"/>
          <w:szCs w:val="20"/>
        </w:rPr>
      </w:pPr>
    </w:p>
    <w:p w14:paraId="6303655B" w14:textId="5AF2B5D9" w:rsidR="003256A6" w:rsidRDefault="003256A6" w:rsidP="00034844">
      <w:pPr>
        <w:widowControl w:val="0"/>
        <w:ind w:left="567"/>
        <w:jc w:val="both"/>
        <w:rPr>
          <w:rFonts w:asciiTheme="minorHAnsi" w:hAnsiTheme="minorHAnsi" w:cstheme="minorHAnsi"/>
          <w:sz w:val="20"/>
          <w:szCs w:val="20"/>
        </w:rPr>
      </w:pPr>
    </w:p>
    <w:p w14:paraId="2C372717" w14:textId="3D4AF7FF" w:rsidR="003256A6" w:rsidRDefault="003256A6" w:rsidP="00034844">
      <w:pPr>
        <w:widowControl w:val="0"/>
        <w:ind w:left="567"/>
        <w:jc w:val="both"/>
        <w:rPr>
          <w:rFonts w:asciiTheme="minorHAnsi" w:hAnsiTheme="minorHAnsi" w:cstheme="minorHAnsi"/>
          <w:sz w:val="20"/>
          <w:szCs w:val="20"/>
        </w:rPr>
      </w:pPr>
    </w:p>
    <w:p w14:paraId="0018B4A0" w14:textId="46ABDF82" w:rsidR="003256A6" w:rsidRDefault="003256A6" w:rsidP="003256A6">
      <w:pPr>
        <w:widowControl w:val="0"/>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18.       </w:t>
      </w:r>
      <w:r w:rsidRPr="00DE18F5">
        <w:rPr>
          <w:rFonts w:asciiTheme="minorHAnsi" w:hAnsiTheme="minorHAnsi" w:cstheme="minorHAnsi"/>
          <w:b/>
          <w:sz w:val="20"/>
          <w:szCs w:val="20"/>
        </w:rPr>
        <w:t>Financial Instruments – Risk Management (continued)</w:t>
      </w:r>
    </w:p>
    <w:p w14:paraId="4AAA6866" w14:textId="77777777" w:rsidR="003256A6" w:rsidRPr="0022210F" w:rsidRDefault="003256A6" w:rsidP="003256A6">
      <w:pPr>
        <w:widowControl w:val="0"/>
        <w:jc w:val="both"/>
        <w:rPr>
          <w:rFonts w:asciiTheme="minorHAnsi" w:hAnsiTheme="minorHAnsi" w:cstheme="minorHAnsi"/>
          <w:sz w:val="20"/>
          <w:szCs w:val="20"/>
        </w:rPr>
      </w:pP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158"/>
        <w:gridCol w:w="1110"/>
      </w:tblGrid>
      <w:tr w:rsidR="002B1912" w:rsidRPr="0022210F" w14:paraId="06D1E65C" w14:textId="77777777" w:rsidTr="00F2274A">
        <w:tc>
          <w:tcPr>
            <w:tcW w:w="6804" w:type="dxa"/>
          </w:tcPr>
          <w:p w14:paraId="259BB2F7" w14:textId="6256C24B" w:rsidR="002B1912" w:rsidRPr="0022210F" w:rsidRDefault="00C36050" w:rsidP="00034844">
            <w:pPr>
              <w:widowControl w:val="0"/>
              <w:jc w:val="both"/>
              <w:rPr>
                <w:rFonts w:asciiTheme="minorHAnsi" w:hAnsiTheme="minorHAnsi" w:cstheme="minorHAnsi"/>
                <w:b/>
                <w:bCs/>
                <w:sz w:val="20"/>
                <w:szCs w:val="20"/>
              </w:rPr>
            </w:pPr>
            <w:r w:rsidRPr="0022210F">
              <w:rPr>
                <w:rFonts w:asciiTheme="minorHAnsi" w:hAnsiTheme="minorHAnsi" w:cstheme="minorHAnsi"/>
                <w:b/>
                <w:bCs/>
                <w:sz w:val="20"/>
                <w:szCs w:val="20"/>
              </w:rPr>
              <w:t>Company:</w:t>
            </w:r>
          </w:p>
        </w:tc>
        <w:tc>
          <w:tcPr>
            <w:tcW w:w="1158" w:type="dxa"/>
          </w:tcPr>
          <w:p w14:paraId="612D6E78" w14:textId="3784D0D9" w:rsidR="002B1912" w:rsidRPr="0022210F" w:rsidRDefault="00592F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202</w:t>
            </w:r>
            <w:r w:rsidR="00DC0608">
              <w:rPr>
                <w:rFonts w:asciiTheme="minorHAnsi" w:hAnsiTheme="minorHAnsi" w:cstheme="minorHAnsi"/>
                <w:b/>
                <w:sz w:val="20"/>
                <w:szCs w:val="20"/>
              </w:rPr>
              <w:t>2</w:t>
            </w:r>
          </w:p>
          <w:p w14:paraId="26F3C909" w14:textId="77777777" w:rsidR="002B1912" w:rsidRPr="0022210F" w:rsidRDefault="002B1912" w:rsidP="00592F12">
            <w:pPr>
              <w:widowControl w:val="0"/>
              <w:ind w:left="180"/>
              <w:jc w:val="right"/>
              <w:rPr>
                <w:rFonts w:asciiTheme="minorHAnsi" w:hAnsiTheme="minorHAnsi" w:cstheme="minorHAnsi"/>
                <w:b/>
                <w:sz w:val="20"/>
                <w:szCs w:val="20"/>
              </w:rPr>
            </w:pPr>
            <w:r w:rsidRPr="0022210F">
              <w:rPr>
                <w:rFonts w:asciiTheme="minorHAnsi" w:hAnsiTheme="minorHAnsi" w:cstheme="minorHAnsi"/>
                <w:b/>
                <w:sz w:val="20"/>
                <w:szCs w:val="20"/>
              </w:rPr>
              <w:t>£</w:t>
            </w:r>
          </w:p>
        </w:tc>
        <w:tc>
          <w:tcPr>
            <w:tcW w:w="1110" w:type="dxa"/>
          </w:tcPr>
          <w:p w14:paraId="71743722" w14:textId="0C7E21E0"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20</w:t>
            </w:r>
            <w:r w:rsidR="00B458FF" w:rsidRPr="0022210F">
              <w:rPr>
                <w:rFonts w:asciiTheme="minorHAnsi" w:hAnsiTheme="minorHAnsi" w:cstheme="minorHAnsi"/>
                <w:b/>
                <w:sz w:val="20"/>
                <w:szCs w:val="20"/>
              </w:rPr>
              <w:t>2</w:t>
            </w:r>
            <w:r w:rsidR="00DC0608">
              <w:rPr>
                <w:rFonts w:asciiTheme="minorHAnsi" w:hAnsiTheme="minorHAnsi" w:cstheme="minorHAnsi"/>
                <w:b/>
                <w:sz w:val="20"/>
                <w:szCs w:val="20"/>
              </w:rPr>
              <w:t>1</w:t>
            </w:r>
          </w:p>
          <w:p w14:paraId="1273FD87" w14:textId="77777777"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w:t>
            </w:r>
          </w:p>
        </w:tc>
      </w:tr>
      <w:tr w:rsidR="00B458FF" w:rsidRPr="0022210F" w14:paraId="6AE25857" w14:textId="77777777" w:rsidTr="00F2274A">
        <w:tc>
          <w:tcPr>
            <w:tcW w:w="6804" w:type="dxa"/>
          </w:tcPr>
          <w:p w14:paraId="3D7F0162" w14:textId="77777777" w:rsidR="00B458FF" w:rsidRPr="0022210F" w:rsidRDefault="00B458FF" w:rsidP="00B458FF">
            <w:pPr>
              <w:widowControl w:val="0"/>
              <w:jc w:val="both"/>
              <w:rPr>
                <w:rFonts w:asciiTheme="minorHAnsi" w:hAnsiTheme="minorHAnsi" w:cstheme="minorHAnsi"/>
                <w:sz w:val="20"/>
                <w:szCs w:val="20"/>
              </w:rPr>
            </w:pPr>
            <w:r w:rsidRPr="0022210F">
              <w:rPr>
                <w:rFonts w:asciiTheme="minorHAnsi" w:hAnsiTheme="minorHAnsi" w:cstheme="minorHAnsi"/>
                <w:sz w:val="20"/>
                <w:szCs w:val="20"/>
              </w:rPr>
              <w:t>Cash and cash equivalents</w:t>
            </w:r>
          </w:p>
        </w:tc>
        <w:tc>
          <w:tcPr>
            <w:tcW w:w="1158" w:type="dxa"/>
          </w:tcPr>
          <w:p w14:paraId="4C64DBA7" w14:textId="12CF3A59" w:rsidR="00B458FF" w:rsidRPr="0022210F" w:rsidRDefault="00BD5129" w:rsidP="00B458FF">
            <w:pPr>
              <w:widowControl w:val="0"/>
              <w:jc w:val="right"/>
              <w:rPr>
                <w:rFonts w:asciiTheme="minorHAnsi" w:hAnsiTheme="minorHAnsi" w:cstheme="minorHAnsi"/>
                <w:sz w:val="20"/>
                <w:szCs w:val="20"/>
              </w:rPr>
            </w:pPr>
            <w:r>
              <w:rPr>
                <w:rFonts w:asciiTheme="minorHAnsi" w:hAnsiTheme="minorHAnsi" w:cstheme="minorHAnsi"/>
                <w:sz w:val="20"/>
                <w:szCs w:val="20"/>
              </w:rPr>
              <w:t>-</w:t>
            </w:r>
          </w:p>
        </w:tc>
        <w:tc>
          <w:tcPr>
            <w:tcW w:w="1110" w:type="dxa"/>
          </w:tcPr>
          <w:p w14:paraId="544B6158" w14:textId="6D251AB5" w:rsidR="00B458FF" w:rsidRPr="0022210F" w:rsidRDefault="00DE18F5" w:rsidP="00B458FF">
            <w:pPr>
              <w:widowControl w:val="0"/>
              <w:jc w:val="right"/>
              <w:rPr>
                <w:rFonts w:asciiTheme="minorHAnsi" w:hAnsiTheme="minorHAnsi" w:cstheme="minorHAnsi"/>
                <w:sz w:val="20"/>
                <w:szCs w:val="20"/>
              </w:rPr>
            </w:pPr>
            <w:r>
              <w:rPr>
                <w:rFonts w:asciiTheme="minorHAnsi" w:hAnsiTheme="minorHAnsi" w:cstheme="minorHAnsi"/>
                <w:sz w:val="20"/>
                <w:szCs w:val="20"/>
              </w:rPr>
              <w:t>838</w:t>
            </w:r>
          </w:p>
        </w:tc>
      </w:tr>
      <w:tr w:rsidR="00B458FF" w:rsidRPr="0022210F" w14:paraId="25F24331" w14:textId="77777777" w:rsidTr="00F2274A">
        <w:tc>
          <w:tcPr>
            <w:tcW w:w="6804" w:type="dxa"/>
          </w:tcPr>
          <w:p w14:paraId="0863E69D" w14:textId="640F836C" w:rsidR="00B458FF" w:rsidRPr="0022210F" w:rsidRDefault="00B458FF" w:rsidP="00B458FF">
            <w:pPr>
              <w:widowControl w:val="0"/>
              <w:jc w:val="both"/>
              <w:rPr>
                <w:rFonts w:asciiTheme="minorHAnsi" w:hAnsiTheme="minorHAnsi" w:cstheme="minorHAnsi"/>
                <w:sz w:val="20"/>
                <w:szCs w:val="20"/>
              </w:rPr>
            </w:pPr>
            <w:r w:rsidRPr="0022210F">
              <w:rPr>
                <w:rFonts w:asciiTheme="minorHAnsi" w:hAnsiTheme="minorHAnsi" w:cstheme="minorHAnsi"/>
                <w:sz w:val="20"/>
                <w:szCs w:val="20"/>
              </w:rPr>
              <w:t>Trade and other receivables</w:t>
            </w:r>
          </w:p>
        </w:tc>
        <w:tc>
          <w:tcPr>
            <w:tcW w:w="1158" w:type="dxa"/>
            <w:tcBorders>
              <w:bottom w:val="single" w:sz="4" w:space="0" w:color="auto"/>
            </w:tcBorders>
          </w:tcPr>
          <w:p w14:paraId="7B92C2D0" w14:textId="3101EA3D" w:rsidR="00B458FF" w:rsidRPr="0022210F" w:rsidRDefault="00D22AE5" w:rsidP="00B458FF">
            <w:pPr>
              <w:widowControl w:val="0"/>
              <w:jc w:val="right"/>
              <w:rPr>
                <w:rFonts w:asciiTheme="minorHAnsi" w:hAnsiTheme="minorHAnsi" w:cstheme="minorHAnsi"/>
                <w:sz w:val="20"/>
                <w:szCs w:val="20"/>
              </w:rPr>
            </w:pPr>
            <w:r>
              <w:rPr>
                <w:rFonts w:asciiTheme="minorHAnsi" w:hAnsiTheme="minorHAnsi" w:cstheme="minorHAnsi"/>
                <w:sz w:val="20"/>
                <w:szCs w:val="20"/>
              </w:rPr>
              <w:t>-</w:t>
            </w:r>
          </w:p>
        </w:tc>
        <w:tc>
          <w:tcPr>
            <w:tcW w:w="1110" w:type="dxa"/>
            <w:tcBorders>
              <w:bottom w:val="single" w:sz="4" w:space="0" w:color="auto"/>
            </w:tcBorders>
          </w:tcPr>
          <w:p w14:paraId="4848A517" w14:textId="1817CF92" w:rsidR="00B458FF" w:rsidRPr="0022210F" w:rsidRDefault="00DC0608" w:rsidP="00B458FF">
            <w:pPr>
              <w:widowControl w:val="0"/>
              <w:jc w:val="right"/>
              <w:rPr>
                <w:rFonts w:asciiTheme="minorHAnsi" w:hAnsiTheme="minorHAnsi" w:cstheme="minorHAnsi"/>
                <w:sz w:val="20"/>
                <w:szCs w:val="20"/>
              </w:rPr>
            </w:pPr>
            <w:r>
              <w:rPr>
                <w:rFonts w:asciiTheme="minorHAnsi" w:hAnsiTheme="minorHAnsi" w:cstheme="minorHAnsi"/>
                <w:sz w:val="20"/>
                <w:szCs w:val="20"/>
              </w:rPr>
              <w:t>400,795</w:t>
            </w:r>
          </w:p>
        </w:tc>
      </w:tr>
      <w:tr w:rsidR="002B1912" w:rsidRPr="0022210F" w14:paraId="133AB00A" w14:textId="77777777" w:rsidTr="00F2274A">
        <w:tc>
          <w:tcPr>
            <w:tcW w:w="6804" w:type="dxa"/>
            <w:tcBorders>
              <w:right w:val="single" w:sz="4" w:space="0" w:color="auto"/>
            </w:tcBorders>
          </w:tcPr>
          <w:p w14:paraId="5A086E7D" w14:textId="751250B4" w:rsidR="002B1912" w:rsidRPr="0022210F" w:rsidRDefault="002B1912" w:rsidP="00034844">
            <w:pPr>
              <w:widowControl w:val="0"/>
              <w:jc w:val="both"/>
              <w:rPr>
                <w:rFonts w:asciiTheme="minorHAnsi" w:hAnsiTheme="minorHAnsi" w:cstheme="minorHAnsi"/>
                <w:b/>
                <w:sz w:val="20"/>
                <w:szCs w:val="20"/>
              </w:rPr>
            </w:pPr>
            <w:r w:rsidRPr="0022210F">
              <w:rPr>
                <w:rFonts w:asciiTheme="minorHAnsi" w:hAnsiTheme="minorHAnsi" w:cstheme="minorHAnsi"/>
                <w:b/>
                <w:sz w:val="20"/>
                <w:szCs w:val="20"/>
              </w:rPr>
              <w:t>Total financial assets</w:t>
            </w:r>
            <w:r w:rsidR="00FD0E28" w:rsidRPr="0022210F">
              <w:rPr>
                <w:rFonts w:asciiTheme="minorHAnsi" w:hAnsiTheme="minorHAnsi" w:cstheme="minorHAnsi"/>
                <w:b/>
                <w:sz w:val="20"/>
                <w:szCs w:val="20"/>
              </w:rPr>
              <w:t xml:space="preserve"> – amortised cost</w:t>
            </w:r>
          </w:p>
        </w:tc>
        <w:tc>
          <w:tcPr>
            <w:tcW w:w="1158" w:type="dxa"/>
            <w:tcBorders>
              <w:top w:val="single" w:sz="4" w:space="0" w:color="auto"/>
              <w:left w:val="single" w:sz="4" w:space="0" w:color="auto"/>
              <w:bottom w:val="single" w:sz="4" w:space="0" w:color="auto"/>
            </w:tcBorders>
          </w:tcPr>
          <w:p w14:paraId="10839A63" w14:textId="2FA4D5D0" w:rsidR="002B1912" w:rsidRPr="0022210F" w:rsidRDefault="00D22AE5" w:rsidP="00034844">
            <w:pPr>
              <w:widowControl w:val="0"/>
              <w:jc w:val="right"/>
              <w:rPr>
                <w:rFonts w:asciiTheme="minorHAnsi" w:hAnsiTheme="minorHAnsi" w:cstheme="minorHAnsi"/>
                <w:b/>
                <w:sz w:val="20"/>
                <w:szCs w:val="20"/>
              </w:rPr>
            </w:pPr>
            <w:r>
              <w:rPr>
                <w:rFonts w:asciiTheme="minorHAnsi" w:hAnsiTheme="minorHAnsi" w:cstheme="minorHAnsi"/>
                <w:b/>
                <w:sz w:val="20"/>
                <w:szCs w:val="20"/>
              </w:rPr>
              <w:t>-</w:t>
            </w:r>
          </w:p>
        </w:tc>
        <w:tc>
          <w:tcPr>
            <w:tcW w:w="1110" w:type="dxa"/>
            <w:tcBorders>
              <w:top w:val="single" w:sz="4" w:space="0" w:color="auto"/>
              <w:bottom w:val="single" w:sz="4" w:space="0" w:color="auto"/>
              <w:right w:val="single" w:sz="4" w:space="0" w:color="auto"/>
            </w:tcBorders>
          </w:tcPr>
          <w:p w14:paraId="23C68DCD" w14:textId="1219903B" w:rsidR="002B1912" w:rsidRPr="0022210F" w:rsidRDefault="003408CC" w:rsidP="00034844">
            <w:pPr>
              <w:widowControl w:val="0"/>
              <w:jc w:val="right"/>
              <w:rPr>
                <w:rFonts w:asciiTheme="minorHAnsi" w:hAnsiTheme="minorHAnsi" w:cstheme="minorHAnsi"/>
                <w:b/>
                <w:sz w:val="20"/>
                <w:szCs w:val="20"/>
              </w:rPr>
            </w:pPr>
            <w:r>
              <w:rPr>
                <w:rFonts w:asciiTheme="minorHAnsi" w:hAnsiTheme="minorHAnsi" w:cstheme="minorHAnsi"/>
                <w:b/>
                <w:sz w:val="20"/>
                <w:szCs w:val="20"/>
              </w:rPr>
              <w:t>40</w:t>
            </w:r>
            <w:r w:rsidR="00DE18F5">
              <w:rPr>
                <w:rFonts w:asciiTheme="minorHAnsi" w:hAnsiTheme="minorHAnsi" w:cstheme="minorHAnsi"/>
                <w:b/>
                <w:sz w:val="20"/>
                <w:szCs w:val="20"/>
              </w:rPr>
              <w:t>1,633</w:t>
            </w:r>
          </w:p>
        </w:tc>
      </w:tr>
    </w:tbl>
    <w:p w14:paraId="4D803CCF" w14:textId="77777777" w:rsidR="002B1912" w:rsidRPr="0022210F" w:rsidRDefault="002B1912" w:rsidP="00034844">
      <w:pPr>
        <w:widowControl w:val="0"/>
        <w:ind w:left="567"/>
        <w:jc w:val="both"/>
        <w:rPr>
          <w:rFonts w:asciiTheme="minorHAnsi" w:hAnsiTheme="minorHAnsi" w:cstheme="minorHAnsi"/>
          <w:sz w:val="20"/>
          <w:szCs w:val="20"/>
        </w:rPr>
      </w:pP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134"/>
        <w:gridCol w:w="1134"/>
      </w:tblGrid>
      <w:tr w:rsidR="002B1912" w:rsidRPr="0022210F" w14:paraId="5036AAF5" w14:textId="77777777" w:rsidTr="00D13C6B">
        <w:tc>
          <w:tcPr>
            <w:tcW w:w="6804" w:type="dxa"/>
          </w:tcPr>
          <w:p w14:paraId="4BA9AE7C" w14:textId="77777777" w:rsidR="002B1912" w:rsidRPr="0022210F" w:rsidRDefault="002B1912" w:rsidP="00034844">
            <w:pPr>
              <w:widowControl w:val="0"/>
              <w:jc w:val="both"/>
              <w:rPr>
                <w:rFonts w:asciiTheme="minorHAnsi" w:hAnsiTheme="minorHAnsi" w:cstheme="minorHAnsi"/>
                <w:sz w:val="20"/>
                <w:szCs w:val="20"/>
              </w:rPr>
            </w:pPr>
          </w:p>
        </w:tc>
        <w:tc>
          <w:tcPr>
            <w:tcW w:w="1134" w:type="dxa"/>
          </w:tcPr>
          <w:p w14:paraId="4797AA5B" w14:textId="242831EA"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20</w:t>
            </w:r>
            <w:r w:rsidR="00D13C6B" w:rsidRPr="0022210F">
              <w:rPr>
                <w:rFonts w:asciiTheme="minorHAnsi" w:hAnsiTheme="minorHAnsi" w:cstheme="minorHAnsi"/>
                <w:b/>
                <w:sz w:val="20"/>
                <w:szCs w:val="20"/>
              </w:rPr>
              <w:t>2</w:t>
            </w:r>
            <w:r w:rsidR="00DC0608">
              <w:rPr>
                <w:rFonts w:asciiTheme="minorHAnsi" w:hAnsiTheme="minorHAnsi" w:cstheme="minorHAnsi"/>
                <w:b/>
                <w:sz w:val="20"/>
                <w:szCs w:val="20"/>
              </w:rPr>
              <w:t>2</w:t>
            </w:r>
          </w:p>
          <w:p w14:paraId="206F40B3" w14:textId="77777777" w:rsidR="002B1912" w:rsidRPr="0022210F" w:rsidRDefault="002B1912" w:rsidP="00D13C6B">
            <w:pPr>
              <w:widowControl w:val="0"/>
              <w:ind w:left="321"/>
              <w:jc w:val="right"/>
              <w:rPr>
                <w:rFonts w:asciiTheme="minorHAnsi" w:hAnsiTheme="minorHAnsi" w:cstheme="minorHAnsi"/>
                <w:b/>
                <w:sz w:val="20"/>
                <w:szCs w:val="20"/>
              </w:rPr>
            </w:pPr>
            <w:r w:rsidRPr="0022210F">
              <w:rPr>
                <w:rFonts w:asciiTheme="minorHAnsi" w:hAnsiTheme="minorHAnsi" w:cstheme="minorHAnsi"/>
                <w:b/>
                <w:sz w:val="20"/>
                <w:szCs w:val="20"/>
              </w:rPr>
              <w:t>£</w:t>
            </w:r>
          </w:p>
        </w:tc>
        <w:tc>
          <w:tcPr>
            <w:tcW w:w="1134" w:type="dxa"/>
          </w:tcPr>
          <w:p w14:paraId="6711CC1F" w14:textId="34974DD4"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20</w:t>
            </w:r>
            <w:r w:rsidR="00B458FF" w:rsidRPr="0022210F">
              <w:rPr>
                <w:rFonts w:asciiTheme="minorHAnsi" w:hAnsiTheme="minorHAnsi" w:cstheme="minorHAnsi"/>
                <w:b/>
                <w:sz w:val="20"/>
                <w:szCs w:val="20"/>
              </w:rPr>
              <w:t>2</w:t>
            </w:r>
            <w:r w:rsidR="00DC0608">
              <w:rPr>
                <w:rFonts w:asciiTheme="minorHAnsi" w:hAnsiTheme="minorHAnsi" w:cstheme="minorHAnsi"/>
                <w:b/>
                <w:sz w:val="20"/>
                <w:szCs w:val="20"/>
              </w:rPr>
              <w:t>1</w:t>
            </w:r>
          </w:p>
          <w:p w14:paraId="30D0AAD6" w14:textId="77777777" w:rsidR="002B1912" w:rsidRPr="0022210F" w:rsidRDefault="002B1912" w:rsidP="00034844">
            <w:pPr>
              <w:widowControl w:val="0"/>
              <w:jc w:val="right"/>
              <w:rPr>
                <w:rFonts w:asciiTheme="minorHAnsi" w:hAnsiTheme="minorHAnsi" w:cstheme="minorHAnsi"/>
                <w:b/>
                <w:sz w:val="20"/>
                <w:szCs w:val="20"/>
              </w:rPr>
            </w:pPr>
            <w:r w:rsidRPr="0022210F">
              <w:rPr>
                <w:rFonts w:asciiTheme="minorHAnsi" w:hAnsiTheme="minorHAnsi" w:cstheme="minorHAnsi"/>
                <w:b/>
                <w:sz w:val="20"/>
                <w:szCs w:val="20"/>
              </w:rPr>
              <w:t>£</w:t>
            </w:r>
          </w:p>
        </w:tc>
      </w:tr>
      <w:tr w:rsidR="00B458FF" w:rsidRPr="0022210F" w14:paraId="29F1866E" w14:textId="77777777" w:rsidTr="00D13C6B">
        <w:tc>
          <w:tcPr>
            <w:tcW w:w="6804" w:type="dxa"/>
          </w:tcPr>
          <w:p w14:paraId="5C496353" w14:textId="77777777" w:rsidR="00B458FF" w:rsidRPr="0022210F" w:rsidRDefault="00B458FF" w:rsidP="00B458FF">
            <w:pPr>
              <w:widowControl w:val="0"/>
              <w:jc w:val="both"/>
              <w:rPr>
                <w:rFonts w:asciiTheme="minorHAnsi" w:hAnsiTheme="minorHAnsi" w:cstheme="minorHAnsi"/>
                <w:sz w:val="20"/>
                <w:szCs w:val="20"/>
              </w:rPr>
            </w:pPr>
            <w:r w:rsidRPr="0022210F">
              <w:rPr>
                <w:rFonts w:asciiTheme="minorHAnsi" w:hAnsiTheme="minorHAnsi" w:cstheme="minorHAnsi"/>
                <w:sz w:val="20"/>
                <w:szCs w:val="20"/>
              </w:rPr>
              <w:t>Trade and other payables</w:t>
            </w:r>
          </w:p>
        </w:tc>
        <w:tc>
          <w:tcPr>
            <w:tcW w:w="1134" w:type="dxa"/>
          </w:tcPr>
          <w:p w14:paraId="06745DB1" w14:textId="52CF5BCB" w:rsidR="00B458FF" w:rsidRPr="0022210F" w:rsidRDefault="003408CC" w:rsidP="00B458FF">
            <w:pPr>
              <w:widowControl w:val="0"/>
              <w:jc w:val="right"/>
              <w:rPr>
                <w:rFonts w:asciiTheme="minorHAnsi" w:hAnsiTheme="minorHAnsi" w:cstheme="minorHAnsi"/>
                <w:sz w:val="20"/>
                <w:szCs w:val="20"/>
              </w:rPr>
            </w:pPr>
            <w:r>
              <w:rPr>
                <w:rFonts w:asciiTheme="minorHAnsi" w:hAnsiTheme="minorHAnsi" w:cstheme="minorHAnsi"/>
                <w:sz w:val="20"/>
                <w:szCs w:val="20"/>
              </w:rPr>
              <w:t>6,</w:t>
            </w:r>
            <w:r w:rsidR="00577C3D">
              <w:rPr>
                <w:rFonts w:asciiTheme="minorHAnsi" w:hAnsiTheme="minorHAnsi" w:cstheme="minorHAnsi"/>
                <w:sz w:val="20"/>
                <w:szCs w:val="20"/>
              </w:rPr>
              <w:t>523,062</w:t>
            </w:r>
          </w:p>
        </w:tc>
        <w:tc>
          <w:tcPr>
            <w:tcW w:w="1134" w:type="dxa"/>
          </w:tcPr>
          <w:p w14:paraId="393B106A" w14:textId="30E360E3" w:rsidR="00B458FF" w:rsidRPr="0022210F" w:rsidRDefault="00DC0608" w:rsidP="00B458FF">
            <w:pPr>
              <w:widowControl w:val="0"/>
              <w:jc w:val="right"/>
              <w:rPr>
                <w:rFonts w:asciiTheme="minorHAnsi" w:hAnsiTheme="minorHAnsi" w:cstheme="minorHAnsi"/>
                <w:sz w:val="20"/>
                <w:szCs w:val="20"/>
              </w:rPr>
            </w:pPr>
            <w:r>
              <w:rPr>
                <w:rFonts w:asciiTheme="minorHAnsi" w:hAnsiTheme="minorHAnsi" w:cstheme="minorHAnsi"/>
                <w:sz w:val="20"/>
                <w:szCs w:val="20"/>
              </w:rPr>
              <w:t>5,</w:t>
            </w:r>
            <w:r w:rsidR="00577C3D">
              <w:rPr>
                <w:rFonts w:asciiTheme="minorHAnsi" w:hAnsiTheme="minorHAnsi" w:cstheme="minorHAnsi"/>
                <w:sz w:val="20"/>
                <w:szCs w:val="20"/>
              </w:rPr>
              <w:t>521,557</w:t>
            </w:r>
          </w:p>
        </w:tc>
      </w:tr>
      <w:tr w:rsidR="00B458FF" w:rsidRPr="0022210F" w14:paraId="11FD3C36" w14:textId="77777777" w:rsidTr="00D13C6B">
        <w:tc>
          <w:tcPr>
            <w:tcW w:w="6804" w:type="dxa"/>
          </w:tcPr>
          <w:p w14:paraId="31BEEE39" w14:textId="77777777" w:rsidR="00B458FF" w:rsidRPr="0022210F" w:rsidRDefault="00B458FF" w:rsidP="00B458FF">
            <w:pPr>
              <w:widowControl w:val="0"/>
              <w:jc w:val="both"/>
              <w:rPr>
                <w:rFonts w:asciiTheme="minorHAnsi" w:hAnsiTheme="minorHAnsi" w:cstheme="minorHAnsi"/>
                <w:sz w:val="20"/>
                <w:szCs w:val="20"/>
              </w:rPr>
            </w:pPr>
            <w:r w:rsidRPr="0022210F">
              <w:rPr>
                <w:rFonts w:asciiTheme="minorHAnsi" w:hAnsiTheme="minorHAnsi" w:cstheme="minorHAnsi"/>
                <w:sz w:val="20"/>
                <w:szCs w:val="20"/>
              </w:rPr>
              <w:t>Loans and borrowings</w:t>
            </w:r>
          </w:p>
        </w:tc>
        <w:tc>
          <w:tcPr>
            <w:tcW w:w="1134" w:type="dxa"/>
            <w:tcBorders>
              <w:bottom w:val="single" w:sz="4" w:space="0" w:color="auto"/>
            </w:tcBorders>
          </w:tcPr>
          <w:p w14:paraId="04C5C665" w14:textId="046F4097" w:rsidR="00B458FF" w:rsidRPr="0022210F" w:rsidRDefault="003408CC" w:rsidP="00B458FF">
            <w:pPr>
              <w:widowControl w:val="0"/>
              <w:jc w:val="right"/>
              <w:rPr>
                <w:rFonts w:asciiTheme="minorHAnsi" w:hAnsiTheme="minorHAnsi" w:cstheme="minorHAnsi"/>
                <w:sz w:val="20"/>
                <w:szCs w:val="20"/>
              </w:rPr>
            </w:pPr>
            <w:r>
              <w:rPr>
                <w:rFonts w:asciiTheme="minorHAnsi" w:hAnsiTheme="minorHAnsi" w:cstheme="minorHAnsi"/>
                <w:sz w:val="20"/>
                <w:szCs w:val="20"/>
              </w:rPr>
              <w:t>2,415,000</w:t>
            </w:r>
          </w:p>
        </w:tc>
        <w:tc>
          <w:tcPr>
            <w:tcW w:w="1134" w:type="dxa"/>
            <w:tcBorders>
              <w:bottom w:val="single" w:sz="4" w:space="0" w:color="auto"/>
            </w:tcBorders>
          </w:tcPr>
          <w:p w14:paraId="3258C152" w14:textId="34A3CD79" w:rsidR="00B458FF" w:rsidRPr="0022210F" w:rsidRDefault="00DC0608" w:rsidP="00B458FF">
            <w:pPr>
              <w:widowControl w:val="0"/>
              <w:jc w:val="right"/>
              <w:rPr>
                <w:rFonts w:asciiTheme="minorHAnsi" w:hAnsiTheme="minorHAnsi" w:cstheme="minorHAnsi"/>
                <w:sz w:val="20"/>
                <w:szCs w:val="20"/>
              </w:rPr>
            </w:pPr>
            <w:r>
              <w:rPr>
                <w:rFonts w:asciiTheme="minorHAnsi" w:hAnsiTheme="minorHAnsi" w:cstheme="minorHAnsi"/>
                <w:sz w:val="20"/>
                <w:szCs w:val="20"/>
              </w:rPr>
              <w:t>2,415,000</w:t>
            </w:r>
          </w:p>
        </w:tc>
      </w:tr>
      <w:tr w:rsidR="002B1912" w:rsidRPr="00786C36" w14:paraId="2AA5365F" w14:textId="77777777" w:rsidTr="00D13C6B">
        <w:tc>
          <w:tcPr>
            <w:tcW w:w="6804" w:type="dxa"/>
            <w:tcBorders>
              <w:right w:val="single" w:sz="4" w:space="0" w:color="auto"/>
            </w:tcBorders>
          </w:tcPr>
          <w:p w14:paraId="3AFB99CA" w14:textId="77777777" w:rsidR="002B1912" w:rsidRPr="0022210F" w:rsidRDefault="002B1912" w:rsidP="00034844">
            <w:pPr>
              <w:widowControl w:val="0"/>
              <w:jc w:val="both"/>
              <w:rPr>
                <w:rFonts w:asciiTheme="minorHAnsi" w:hAnsiTheme="minorHAnsi" w:cstheme="minorHAnsi"/>
                <w:b/>
                <w:sz w:val="20"/>
                <w:szCs w:val="20"/>
              </w:rPr>
            </w:pPr>
            <w:r w:rsidRPr="0022210F">
              <w:rPr>
                <w:rFonts w:asciiTheme="minorHAnsi" w:hAnsiTheme="minorHAnsi" w:cstheme="minorHAnsi"/>
                <w:b/>
                <w:sz w:val="20"/>
                <w:szCs w:val="20"/>
              </w:rPr>
              <w:t>Total liabilities – amortised cost</w:t>
            </w:r>
          </w:p>
        </w:tc>
        <w:tc>
          <w:tcPr>
            <w:tcW w:w="1134" w:type="dxa"/>
            <w:tcBorders>
              <w:top w:val="single" w:sz="4" w:space="0" w:color="auto"/>
              <w:left w:val="single" w:sz="4" w:space="0" w:color="auto"/>
              <w:bottom w:val="single" w:sz="4" w:space="0" w:color="auto"/>
            </w:tcBorders>
          </w:tcPr>
          <w:p w14:paraId="6147C0BC" w14:textId="61CA8C1E" w:rsidR="002B1912" w:rsidRPr="0022210F" w:rsidRDefault="003408CC" w:rsidP="00034844">
            <w:pPr>
              <w:widowControl w:val="0"/>
              <w:jc w:val="right"/>
              <w:rPr>
                <w:rFonts w:asciiTheme="minorHAnsi" w:hAnsiTheme="minorHAnsi" w:cstheme="minorHAnsi"/>
                <w:b/>
                <w:sz w:val="20"/>
                <w:szCs w:val="20"/>
              </w:rPr>
            </w:pPr>
            <w:r>
              <w:rPr>
                <w:rFonts w:asciiTheme="minorHAnsi" w:hAnsiTheme="minorHAnsi" w:cstheme="minorHAnsi"/>
                <w:b/>
                <w:sz w:val="20"/>
                <w:szCs w:val="20"/>
              </w:rPr>
              <w:t>8,</w:t>
            </w:r>
            <w:r w:rsidR="00577C3D">
              <w:rPr>
                <w:rFonts w:asciiTheme="minorHAnsi" w:hAnsiTheme="minorHAnsi" w:cstheme="minorHAnsi"/>
                <w:b/>
                <w:sz w:val="20"/>
                <w:szCs w:val="20"/>
              </w:rPr>
              <w:t>938,062</w:t>
            </w:r>
          </w:p>
        </w:tc>
        <w:tc>
          <w:tcPr>
            <w:tcW w:w="1134" w:type="dxa"/>
            <w:tcBorders>
              <w:top w:val="single" w:sz="4" w:space="0" w:color="auto"/>
              <w:bottom w:val="single" w:sz="4" w:space="0" w:color="auto"/>
              <w:right w:val="single" w:sz="4" w:space="0" w:color="auto"/>
            </w:tcBorders>
          </w:tcPr>
          <w:p w14:paraId="18B9CAC9" w14:textId="78298620" w:rsidR="002B1912" w:rsidRPr="0022210F" w:rsidRDefault="00DC0608" w:rsidP="00034844">
            <w:pPr>
              <w:widowControl w:val="0"/>
              <w:jc w:val="right"/>
              <w:rPr>
                <w:rFonts w:asciiTheme="minorHAnsi" w:hAnsiTheme="minorHAnsi" w:cstheme="minorHAnsi"/>
                <w:b/>
                <w:sz w:val="20"/>
                <w:szCs w:val="20"/>
              </w:rPr>
            </w:pPr>
            <w:r>
              <w:rPr>
                <w:rFonts w:asciiTheme="minorHAnsi" w:hAnsiTheme="minorHAnsi" w:cstheme="minorHAnsi"/>
                <w:b/>
                <w:sz w:val="20"/>
                <w:szCs w:val="20"/>
              </w:rPr>
              <w:t>7,93</w:t>
            </w:r>
            <w:r w:rsidR="00577C3D">
              <w:rPr>
                <w:rFonts w:asciiTheme="minorHAnsi" w:hAnsiTheme="minorHAnsi" w:cstheme="minorHAnsi"/>
                <w:b/>
                <w:sz w:val="20"/>
                <w:szCs w:val="20"/>
              </w:rPr>
              <w:t>6,557</w:t>
            </w:r>
          </w:p>
        </w:tc>
      </w:tr>
    </w:tbl>
    <w:p w14:paraId="2AAD3CF0" w14:textId="2E229AFD" w:rsidR="009F6E5E" w:rsidRPr="006D0EAD" w:rsidRDefault="009F6E5E" w:rsidP="006D0EAD">
      <w:pPr>
        <w:widowControl w:val="0"/>
        <w:spacing w:before="120" w:line="276" w:lineRule="auto"/>
        <w:jc w:val="both"/>
        <w:rPr>
          <w:rFonts w:asciiTheme="minorHAnsi" w:hAnsiTheme="minorHAnsi" w:cstheme="minorHAnsi"/>
          <w:b/>
          <w:sz w:val="20"/>
          <w:szCs w:val="20"/>
        </w:rPr>
      </w:pPr>
    </w:p>
    <w:p w14:paraId="45A00788" w14:textId="044922DE" w:rsidR="002B1912" w:rsidRPr="005E0D02" w:rsidRDefault="002B1912" w:rsidP="00034844">
      <w:pPr>
        <w:widowControl w:val="0"/>
        <w:ind w:left="567"/>
        <w:jc w:val="both"/>
        <w:rPr>
          <w:rFonts w:asciiTheme="minorHAnsi" w:hAnsiTheme="minorHAnsi" w:cstheme="minorHAnsi"/>
          <w:sz w:val="20"/>
          <w:szCs w:val="20"/>
        </w:rPr>
      </w:pPr>
      <w:r w:rsidRPr="005E0D02">
        <w:rPr>
          <w:rFonts w:asciiTheme="minorHAnsi" w:hAnsiTheme="minorHAnsi" w:cstheme="minorHAnsi"/>
          <w:sz w:val="20"/>
          <w:szCs w:val="20"/>
        </w:rPr>
        <w:t>The Board has overall responsibility for the determination of the group’s risk management objectives and policies</w:t>
      </w:r>
      <w:r w:rsidR="003845A1" w:rsidRPr="005E0D02">
        <w:rPr>
          <w:rFonts w:asciiTheme="minorHAnsi" w:hAnsiTheme="minorHAnsi" w:cstheme="minorHAnsi"/>
          <w:sz w:val="20"/>
          <w:szCs w:val="20"/>
        </w:rPr>
        <w:t>.</w:t>
      </w:r>
    </w:p>
    <w:p w14:paraId="30E1722B" w14:textId="77777777" w:rsidR="003845A1" w:rsidRPr="005E0D02" w:rsidRDefault="003845A1" w:rsidP="00034844">
      <w:pPr>
        <w:widowControl w:val="0"/>
        <w:ind w:left="567"/>
        <w:jc w:val="both"/>
        <w:rPr>
          <w:rFonts w:asciiTheme="minorHAnsi" w:hAnsiTheme="minorHAnsi" w:cstheme="minorHAnsi"/>
          <w:sz w:val="20"/>
          <w:szCs w:val="20"/>
        </w:rPr>
      </w:pPr>
    </w:p>
    <w:p w14:paraId="37D3974E" w14:textId="576ED829" w:rsidR="00AA1180" w:rsidRPr="005E0D02" w:rsidRDefault="00AA1180" w:rsidP="00034844">
      <w:pPr>
        <w:widowControl w:val="0"/>
        <w:ind w:left="567"/>
        <w:jc w:val="both"/>
        <w:rPr>
          <w:rFonts w:asciiTheme="minorHAnsi" w:hAnsiTheme="minorHAnsi" w:cstheme="minorHAnsi"/>
          <w:sz w:val="20"/>
          <w:szCs w:val="20"/>
        </w:rPr>
      </w:pPr>
      <w:r w:rsidRPr="005E0D02">
        <w:rPr>
          <w:rFonts w:asciiTheme="minorHAnsi" w:hAnsiTheme="minorHAnsi" w:cstheme="minorHAnsi"/>
          <w:sz w:val="20"/>
          <w:szCs w:val="20"/>
        </w:rPr>
        <w:t xml:space="preserve">The overall objective of the Board is to set policies that seek to reduce risk as far as possible without unduly affecting the </w:t>
      </w:r>
      <w:r w:rsidR="003845A1" w:rsidRPr="005E0D02">
        <w:rPr>
          <w:rFonts w:asciiTheme="minorHAnsi" w:hAnsiTheme="minorHAnsi" w:cstheme="minorHAnsi"/>
          <w:sz w:val="20"/>
          <w:szCs w:val="20"/>
        </w:rPr>
        <w:t>G</w:t>
      </w:r>
      <w:r w:rsidRPr="005E0D02">
        <w:rPr>
          <w:rFonts w:asciiTheme="minorHAnsi" w:hAnsiTheme="minorHAnsi" w:cstheme="minorHAnsi"/>
          <w:sz w:val="20"/>
          <w:szCs w:val="20"/>
        </w:rPr>
        <w:t>roups’ competitiveness and flexibility. Further details regarding these policies are set out below:</w:t>
      </w:r>
    </w:p>
    <w:p w14:paraId="1CEDD7CC" w14:textId="6B7C6C92" w:rsidR="00AA1180" w:rsidRPr="005E0D02" w:rsidRDefault="00AA1180" w:rsidP="00034844">
      <w:pPr>
        <w:widowControl w:val="0"/>
        <w:ind w:left="567"/>
        <w:jc w:val="both"/>
        <w:rPr>
          <w:rFonts w:asciiTheme="minorHAnsi" w:hAnsiTheme="minorHAnsi" w:cstheme="minorHAnsi"/>
          <w:sz w:val="20"/>
          <w:szCs w:val="20"/>
        </w:rPr>
      </w:pPr>
    </w:p>
    <w:p w14:paraId="1F5E1779" w14:textId="1C9A3878" w:rsidR="00AA1180" w:rsidRPr="005E0D02" w:rsidRDefault="00AA1180" w:rsidP="00034844">
      <w:pPr>
        <w:widowControl w:val="0"/>
        <w:ind w:left="567"/>
        <w:jc w:val="both"/>
        <w:rPr>
          <w:rFonts w:asciiTheme="minorHAnsi" w:hAnsiTheme="minorHAnsi" w:cstheme="minorHAnsi"/>
          <w:b/>
          <w:sz w:val="20"/>
          <w:szCs w:val="20"/>
        </w:rPr>
      </w:pPr>
      <w:r w:rsidRPr="005E0D02">
        <w:rPr>
          <w:rFonts w:asciiTheme="minorHAnsi" w:hAnsiTheme="minorHAnsi" w:cstheme="minorHAnsi"/>
          <w:b/>
          <w:sz w:val="20"/>
          <w:szCs w:val="20"/>
        </w:rPr>
        <w:t>Credit risk</w:t>
      </w:r>
    </w:p>
    <w:p w14:paraId="6375045F" w14:textId="6671FFCE" w:rsidR="00AA1180" w:rsidRPr="005E0D02" w:rsidRDefault="00AA1180" w:rsidP="00034844">
      <w:pPr>
        <w:widowControl w:val="0"/>
        <w:ind w:left="567"/>
        <w:jc w:val="both"/>
        <w:rPr>
          <w:rFonts w:asciiTheme="minorHAnsi" w:hAnsiTheme="minorHAnsi" w:cstheme="minorHAnsi"/>
          <w:sz w:val="20"/>
          <w:szCs w:val="20"/>
        </w:rPr>
      </w:pPr>
      <w:r w:rsidRPr="005E0D02">
        <w:rPr>
          <w:rFonts w:asciiTheme="minorHAnsi" w:hAnsiTheme="minorHAnsi" w:cstheme="minorHAnsi"/>
          <w:sz w:val="20"/>
          <w:szCs w:val="20"/>
        </w:rPr>
        <w:t xml:space="preserve">Credit risk is the risk of financial loss to the </w:t>
      </w:r>
      <w:r w:rsidR="00AF590D" w:rsidRPr="005E0D02">
        <w:rPr>
          <w:rFonts w:asciiTheme="minorHAnsi" w:hAnsiTheme="minorHAnsi" w:cstheme="minorHAnsi"/>
          <w:sz w:val="20"/>
          <w:szCs w:val="20"/>
        </w:rPr>
        <w:t>G</w:t>
      </w:r>
      <w:r w:rsidRPr="005E0D02">
        <w:rPr>
          <w:rFonts w:asciiTheme="minorHAnsi" w:hAnsiTheme="minorHAnsi" w:cstheme="minorHAnsi"/>
          <w:sz w:val="20"/>
          <w:szCs w:val="20"/>
        </w:rPr>
        <w:t xml:space="preserve">roup if a counterparty to the financial instrument fails to meet its contractual obligations. It is </w:t>
      </w:r>
      <w:r w:rsidR="00AF590D" w:rsidRPr="005E0D02">
        <w:rPr>
          <w:rFonts w:asciiTheme="minorHAnsi" w:hAnsiTheme="minorHAnsi" w:cstheme="minorHAnsi"/>
          <w:sz w:val="20"/>
          <w:szCs w:val="20"/>
        </w:rPr>
        <w:t>G</w:t>
      </w:r>
      <w:r w:rsidRPr="005E0D02">
        <w:rPr>
          <w:rFonts w:asciiTheme="minorHAnsi" w:hAnsiTheme="minorHAnsi" w:cstheme="minorHAnsi"/>
          <w:sz w:val="20"/>
          <w:szCs w:val="20"/>
        </w:rPr>
        <w:t>roup policy</w:t>
      </w:r>
      <w:r w:rsidR="003845A1" w:rsidRPr="005E0D02">
        <w:rPr>
          <w:rFonts w:asciiTheme="minorHAnsi" w:hAnsiTheme="minorHAnsi" w:cstheme="minorHAnsi"/>
          <w:sz w:val="20"/>
          <w:szCs w:val="20"/>
        </w:rPr>
        <w:t xml:space="preserve"> </w:t>
      </w:r>
      <w:r w:rsidRPr="005E0D02">
        <w:rPr>
          <w:rFonts w:asciiTheme="minorHAnsi" w:hAnsiTheme="minorHAnsi" w:cstheme="minorHAnsi"/>
          <w:sz w:val="20"/>
          <w:szCs w:val="20"/>
        </w:rPr>
        <w:t>to assess the credit risk of new customers before entering into contracts.</w:t>
      </w:r>
    </w:p>
    <w:p w14:paraId="00DA4577" w14:textId="50A794AF" w:rsidR="00AA1180" w:rsidRPr="005E0D02" w:rsidRDefault="00AA1180" w:rsidP="00034844">
      <w:pPr>
        <w:widowControl w:val="0"/>
        <w:ind w:left="567"/>
        <w:jc w:val="both"/>
        <w:rPr>
          <w:rFonts w:asciiTheme="minorHAnsi" w:hAnsiTheme="minorHAnsi" w:cstheme="minorHAnsi"/>
          <w:sz w:val="20"/>
          <w:szCs w:val="20"/>
        </w:rPr>
      </w:pPr>
    </w:p>
    <w:p w14:paraId="47FFEF17" w14:textId="69BC52A8" w:rsidR="00AA1180" w:rsidRPr="005E0D02" w:rsidRDefault="00AA1180" w:rsidP="00034844">
      <w:pPr>
        <w:widowControl w:val="0"/>
        <w:ind w:left="567"/>
        <w:jc w:val="both"/>
        <w:rPr>
          <w:rFonts w:asciiTheme="minorHAnsi" w:hAnsiTheme="minorHAnsi" w:cstheme="minorHAnsi"/>
          <w:sz w:val="20"/>
          <w:szCs w:val="20"/>
        </w:rPr>
      </w:pPr>
      <w:r w:rsidRPr="005E0D02">
        <w:rPr>
          <w:rFonts w:asciiTheme="minorHAnsi" w:hAnsiTheme="minorHAnsi" w:cstheme="minorHAnsi"/>
          <w:sz w:val="20"/>
          <w:szCs w:val="20"/>
        </w:rPr>
        <w:t>Credit risk also arises from cash and cash equivalents and deposits with banks and financial institutions. For banks and financial institutions, only independently rated parties with high credit status are accepted.</w:t>
      </w:r>
    </w:p>
    <w:p w14:paraId="78BBDD61" w14:textId="5A28D716" w:rsidR="00AA1180" w:rsidRPr="005E0D02" w:rsidRDefault="00AA1180" w:rsidP="00034844">
      <w:pPr>
        <w:widowControl w:val="0"/>
        <w:ind w:left="567"/>
        <w:jc w:val="both"/>
        <w:rPr>
          <w:rFonts w:asciiTheme="minorHAnsi" w:hAnsiTheme="minorHAnsi" w:cstheme="minorHAnsi"/>
          <w:sz w:val="20"/>
          <w:szCs w:val="20"/>
        </w:rPr>
      </w:pPr>
    </w:p>
    <w:p w14:paraId="6BD042C7" w14:textId="3E6F614C" w:rsidR="00AA1180" w:rsidRPr="005E0D02" w:rsidRDefault="00AA1180" w:rsidP="00034844">
      <w:pPr>
        <w:widowControl w:val="0"/>
        <w:ind w:left="567"/>
        <w:jc w:val="both"/>
        <w:rPr>
          <w:rFonts w:asciiTheme="minorHAnsi" w:hAnsiTheme="minorHAnsi" w:cstheme="minorHAnsi"/>
          <w:sz w:val="20"/>
          <w:szCs w:val="20"/>
        </w:rPr>
      </w:pPr>
      <w:r w:rsidRPr="005E0D02">
        <w:rPr>
          <w:rFonts w:asciiTheme="minorHAnsi" w:hAnsiTheme="minorHAnsi" w:cstheme="minorHAnsi"/>
          <w:sz w:val="20"/>
          <w:szCs w:val="20"/>
        </w:rPr>
        <w:t xml:space="preserve">The </w:t>
      </w:r>
      <w:r w:rsidR="00AF590D" w:rsidRPr="005E0D02">
        <w:rPr>
          <w:rFonts w:asciiTheme="minorHAnsi" w:hAnsiTheme="minorHAnsi" w:cstheme="minorHAnsi"/>
          <w:sz w:val="20"/>
          <w:szCs w:val="20"/>
        </w:rPr>
        <w:t>G</w:t>
      </w:r>
      <w:r w:rsidRPr="005E0D02">
        <w:rPr>
          <w:rFonts w:asciiTheme="minorHAnsi" w:hAnsiTheme="minorHAnsi" w:cstheme="minorHAnsi"/>
          <w:sz w:val="20"/>
          <w:szCs w:val="20"/>
        </w:rPr>
        <w:t>roup does not enter into derivatives to manage credit risk.</w:t>
      </w:r>
    </w:p>
    <w:p w14:paraId="362DC9C1" w14:textId="15A1B90C" w:rsidR="00AA1180" w:rsidRPr="005E0D02" w:rsidRDefault="00AA1180" w:rsidP="00034844">
      <w:pPr>
        <w:widowControl w:val="0"/>
        <w:jc w:val="both"/>
        <w:rPr>
          <w:rFonts w:asciiTheme="minorHAnsi" w:hAnsiTheme="minorHAnsi" w:cstheme="minorHAnsi"/>
          <w:sz w:val="20"/>
          <w:szCs w:val="20"/>
        </w:rPr>
      </w:pPr>
    </w:p>
    <w:p w14:paraId="4FEC3028" w14:textId="10C89DF8" w:rsidR="00AA1180" w:rsidRPr="005E0D02" w:rsidRDefault="00AA1180" w:rsidP="00034844">
      <w:pPr>
        <w:widowControl w:val="0"/>
        <w:ind w:left="567"/>
        <w:jc w:val="both"/>
        <w:rPr>
          <w:rFonts w:asciiTheme="minorHAnsi" w:hAnsiTheme="minorHAnsi" w:cstheme="minorHAnsi"/>
          <w:i/>
          <w:sz w:val="20"/>
          <w:szCs w:val="20"/>
          <w:u w:val="single"/>
        </w:rPr>
      </w:pPr>
      <w:r w:rsidRPr="005E0D02">
        <w:rPr>
          <w:rFonts w:asciiTheme="minorHAnsi" w:hAnsiTheme="minorHAnsi" w:cstheme="minorHAnsi"/>
          <w:i/>
          <w:sz w:val="20"/>
          <w:szCs w:val="20"/>
          <w:u w:val="single"/>
        </w:rPr>
        <w:t>Cash in bank</w:t>
      </w:r>
    </w:p>
    <w:p w14:paraId="7B60EAB0" w14:textId="2E03AAC6" w:rsidR="00AA1180" w:rsidRPr="005E0D02" w:rsidRDefault="00AA1180" w:rsidP="00034844">
      <w:pPr>
        <w:widowControl w:val="0"/>
        <w:ind w:left="567"/>
        <w:jc w:val="both"/>
        <w:rPr>
          <w:rFonts w:asciiTheme="minorHAnsi" w:hAnsiTheme="minorHAnsi" w:cstheme="minorHAnsi"/>
          <w:b/>
          <w:sz w:val="20"/>
          <w:szCs w:val="20"/>
        </w:rPr>
      </w:pPr>
      <w:r w:rsidRPr="005E0D02">
        <w:rPr>
          <w:rFonts w:asciiTheme="minorHAnsi" w:hAnsiTheme="minorHAnsi" w:cstheme="minorHAnsi"/>
          <w:b/>
          <w:sz w:val="20"/>
          <w:szCs w:val="20"/>
        </w:rPr>
        <w:t>Group</w:t>
      </w: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134"/>
        <w:gridCol w:w="1275"/>
      </w:tblGrid>
      <w:tr w:rsidR="00AA1180" w:rsidRPr="005E0D02" w14:paraId="5C9620C5" w14:textId="77777777" w:rsidTr="0005139B">
        <w:tc>
          <w:tcPr>
            <w:tcW w:w="6663" w:type="dxa"/>
          </w:tcPr>
          <w:p w14:paraId="5B84B04C" w14:textId="77777777" w:rsidR="00AA1180" w:rsidRPr="005E0D02" w:rsidRDefault="00AA1180" w:rsidP="00034844">
            <w:pPr>
              <w:widowControl w:val="0"/>
              <w:jc w:val="both"/>
              <w:rPr>
                <w:rFonts w:asciiTheme="minorHAnsi" w:hAnsiTheme="minorHAnsi" w:cstheme="minorHAnsi"/>
                <w:sz w:val="20"/>
                <w:szCs w:val="20"/>
              </w:rPr>
            </w:pPr>
          </w:p>
        </w:tc>
        <w:tc>
          <w:tcPr>
            <w:tcW w:w="1134" w:type="dxa"/>
          </w:tcPr>
          <w:p w14:paraId="18B66096" w14:textId="3F318D0E" w:rsidR="00AA1180" w:rsidRPr="005E0D02" w:rsidRDefault="00AA1180" w:rsidP="00034844">
            <w:pPr>
              <w:widowControl w:val="0"/>
              <w:jc w:val="right"/>
              <w:rPr>
                <w:rFonts w:asciiTheme="minorHAnsi" w:hAnsiTheme="minorHAnsi" w:cstheme="minorHAnsi"/>
                <w:b/>
                <w:sz w:val="20"/>
                <w:szCs w:val="20"/>
              </w:rPr>
            </w:pPr>
            <w:r w:rsidRPr="005E0D02">
              <w:rPr>
                <w:rFonts w:asciiTheme="minorHAnsi" w:hAnsiTheme="minorHAnsi" w:cstheme="minorHAnsi"/>
                <w:b/>
                <w:sz w:val="20"/>
                <w:szCs w:val="20"/>
              </w:rPr>
              <w:t>20</w:t>
            </w:r>
            <w:r w:rsidR="00896413" w:rsidRPr="005E0D02">
              <w:rPr>
                <w:rFonts w:asciiTheme="minorHAnsi" w:hAnsiTheme="minorHAnsi" w:cstheme="minorHAnsi"/>
                <w:b/>
                <w:sz w:val="20"/>
                <w:szCs w:val="20"/>
              </w:rPr>
              <w:t>2</w:t>
            </w:r>
            <w:r w:rsidR="00DC0608">
              <w:rPr>
                <w:rFonts w:asciiTheme="minorHAnsi" w:hAnsiTheme="minorHAnsi" w:cstheme="minorHAnsi"/>
                <w:b/>
                <w:sz w:val="20"/>
                <w:szCs w:val="20"/>
              </w:rPr>
              <w:t>2</w:t>
            </w:r>
          </w:p>
          <w:p w14:paraId="0C6C4248" w14:textId="27A41D41" w:rsidR="00AA1180" w:rsidRPr="005E0D02" w:rsidRDefault="00AA1180" w:rsidP="00034844">
            <w:pPr>
              <w:widowControl w:val="0"/>
              <w:jc w:val="right"/>
              <w:rPr>
                <w:rFonts w:asciiTheme="minorHAnsi" w:hAnsiTheme="minorHAnsi" w:cstheme="minorHAnsi"/>
                <w:sz w:val="20"/>
                <w:szCs w:val="20"/>
              </w:rPr>
            </w:pPr>
            <w:r w:rsidRPr="005E0D02">
              <w:rPr>
                <w:rFonts w:asciiTheme="minorHAnsi" w:hAnsiTheme="minorHAnsi" w:cstheme="minorHAnsi"/>
                <w:b/>
                <w:sz w:val="20"/>
                <w:szCs w:val="20"/>
              </w:rPr>
              <w:t>£</w:t>
            </w:r>
          </w:p>
        </w:tc>
        <w:tc>
          <w:tcPr>
            <w:tcW w:w="1275" w:type="dxa"/>
          </w:tcPr>
          <w:p w14:paraId="5E031A62" w14:textId="0FC13B4C" w:rsidR="00AA1180" w:rsidRPr="005E0D02" w:rsidRDefault="00AA1180" w:rsidP="00034844">
            <w:pPr>
              <w:widowControl w:val="0"/>
              <w:jc w:val="right"/>
              <w:rPr>
                <w:rFonts w:asciiTheme="minorHAnsi" w:hAnsiTheme="minorHAnsi" w:cstheme="minorHAnsi"/>
                <w:b/>
                <w:sz w:val="20"/>
                <w:szCs w:val="20"/>
              </w:rPr>
            </w:pPr>
            <w:r w:rsidRPr="005E0D02">
              <w:rPr>
                <w:rFonts w:asciiTheme="minorHAnsi" w:hAnsiTheme="minorHAnsi" w:cstheme="minorHAnsi"/>
                <w:b/>
                <w:sz w:val="20"/>
                <w:szCs w:val="20"/>
              </w:rPr>
              <w:t>20</w:t>
            </w:r>
            <w:r w:rsidR="00B458FF" w:rsidRPr="005E0D02">
              <w:rPr>
                <w:rFonts w:asciiTheme="minorHAnsi" w:hAnsiTheme="minorHAnsi" w:cstheme="minorHAnsi"/>
                <w:b/>
                <w:sz w:val="20"/>
                <w:szCs w:val="20"/>
              </w:rPr>
              <w:t>2</w:t>
            </w:r>
            <w:r w:rsidR="00DC0608">
              <w:rPr>
                <w:rFonts w:asciiTheme="minorHAnsi" w:hAnsiTheme="minorHAnsi" w:cstheme="minorHAnsi"/>
                <w:b/>
                <w:sz w:val="20"/>
                <w:szCs w:val="20"/>
              </w:rPr>
              <w:t>1</w:t>
            </w:r>
          </w:p>
          <w:p w14:paraId="3037827F" w14:textId="3817FE4A" w:rsidR="00AA1180" w:rsidRPr="005E0D02" w:rsidRDefault="00AA1180" w:rsidP="0005139B">
            <w:pPr>
              <w:widowControl w:val="0"/>
              <w:ind w:left="203"/>
              <w:jc w:val="right"/>
              <w:rPr>
                <w:rFonts w:asciiTheme="minorHAnsi" w:hAnsiTheme="minorHAnsi" w:cstheme="minorHAnsi"/>
                <w:sz w:val="20"/>
                <w:szCs w:val="20"/>
              </w:rPr>
            </w:pPr>
            <w:r w:rsidRPr="005E0D02">
              <w:rPr>
                <w:rFonts w:asciiTheme="minorHAnsi" w:hAnsiTheme="minorHAnsi" w:cstheme="minorHAnsi"/>
                <w:b/>
                <w:sz w:val="20"/>
                <w:szCs w:val="20"/>
              </w:rPr>
              <w:t>£</w:t>
            </w:r>
          </w:p>
        </w:tc>
      </w:tr>
      <w:tr w:rsidR="00B458FF" w:rsidRPr="005E0D02" w14:paraId="3098936B" w14:textId="77777777" w:rsidTr="0005139B">
        <w:tc>
          <w:tcPr>
            <w:tcW w:w="6663" w:type="dxa"/>
          </w:tcPr>
          <w:p w14:paraId="06740F38" w14:textId="74E48EFF" w:rsidR="00B458FF" w:rsidRPr="005E0D02" w:rsidRDefault="00B458FF" w:rsidP="00B458FF">
            <w:pPr>
              <w:widowControl w:val="0"/>
              <w:jc w:val="both"/>
              <w:rPr>
                <w:rFonts w:asciiTheme="minorHAnsi" w:hAnsiTheme="minorHAnsi" w:cstheme="minorHAnsi"/>
                <w:sz w:val="20"/>
                <w:szCs w:val="20"/>
              </w:rPr>
            </w:pPr>
            <w:r w:rsidRPr="005E0D02">
              <w:rPr>
                <w:rFonts w:asciiTheme="minorHAnsi" w:hAnsiTheme="minorHAnsi" w:cstheme="minorHAnsi"/>
                <w:sz w:val="20"/>
                <w:szCs w:val="20"/>
              </w:rPr>
              <w:t>Cash held at HSBC – S&amp;P Rating AA</w:t>
            </w:r>
          </w:p>
        </w:tc>
        <w:tc>
          <w:tcPr>
            <w:tcW w:w="1134" w:type="dxa"/>
          </w:tcPr>
          <w:p w14:paraId="2D788F2B" w14:textId="37D079E3" w:rsidR="00B458FF" w:rsidRPr="00A915CB" w:rsidRDefault="009412B1" w:rsidP="00B458FF">
            <w:pPr>
              <w:widowControl w:val="0"/>
              <w:jc w:val="right"/>
              <w:rPr>
                <w:rFonts w:asciiTheme="minorHAnsi" w:hAnsiTheme="minorHAnsi" w:cstheme="minorHAnsi"/>
                <w:sz w:val="20"/>
                <w:szCs w:val="20"/>
                <w:highlight w:val="yellow"/>
              </w:rPr>
            </w:pPr>
            <w:r>
              <w:rPr>
                <w:rFonts w:asciiTheme="minorHAnsi" w:hAnsiTheme="minorHAnsi" w:cstheme="minorHAnsi"/>
                <w:sz w:val="20"/>
                <w:szCs w:val="20"/>
              </w:rPr>
              <w:t>5</w:t>
            </w:r>
          </w:p>
        </w:tc>
        <w:tc>
          <w:tcPr>
            <w:tcW w:w="1275" w:type="dxa"/>
          </w:tcPr>
          <w:p w14:paraId="05192477" w14:textId="7BCE210C" w:rsidR="00B458FF" w:rsidRPr="005E0D02" w:rsidRDefault="00DC0608" w:rsidP="00B458FF">
            <w:pPr>
              <w:widowControl w:val="0"/>
              <w:jc w:val="right"/>
              <w:rPr>
                <w:rFonts w:asciiTheme="minorHAnsi" w:hAnsiTheme="minorHAnsi" w:cstheme="minorHAnsi"/>
                <w:sz w:val="20"/>
                <w:szCs w:val="20"/>
              </w:rPr>
            </w:pPr>
            <w:r>
              <w:rPr>
                <w:rFonts w:asciiTheme="minorHAnsi" w:hAnsiTheme="minorHAnsi" w:cstheme="minorHAnsi"/>
                <w:sz w:val="20"/>
                <w:szCs w:val="20"/>
              </w:rPr>
              <w:t>46,746</w:t>
            </w:r>
          </w:p>
        </w:tc>
      </w:tr>
      <w:tr w:rsidR="00B458FF" w:rsidRPr="005E0D02" w14:paraId="6730BFB6" w14:textId="77777777" w:rsidTr="0005139B">
        <w:tc>
          <w:tcPr>
            <w:tcW w:w="6663" w:type="dxa"/>
          </w:tcPr>
          <w:p w14:paraId="685C2D76" w14:textId="0DC940EB" w:rsidR="00B458FF" w:rsidRPr="005E0D02" w:rsidRDefault="00B458FF" w:rsidP="00B458FF">
            <w:pPr>
              <w:widowControl w:val="0"/>
              <w:jc w:val="both"/>
              <w:rPr>
                <w:rFonts w:asciiTheme="minorHAnsi" w:hAnsiTheme="minorHAnsi" w:cstheme="minorHAnsi"/>
                <w:sz w:val="20"/>
                <w:szCs w:val="20"/>
              </w:rPr>
            </w:pPr>
            <w:r w:rsidRPr="005E0D02">
              <w:rPr>
                <w:rFonts w:asciiTheme="minorHAnsi" w:hAnsiTheme="minorHAnsi" w:cstheme="minorHAnsi"/>
                <w:sz w:val="20"/>
                <w:szCs w:val="20"/>
              </w:rPr>
              <w:t>Cash held at Santander – S&amp;P rating A</w:t>
            </w:r>
          </w:p>
        </w:tc>
        <w:tc>
          <w:tcPr>
            <w:tcW w:w="1134" w:type="dxa"/>
            <w:tcBorders>
              <w:bottom w:val="single" w:sz="4" w:space="0" w:color="auto"/>
            </w:tcBorders>
          </w:tcPr>
          <w:p w14:paraId="3348ED8C" w14:textId="3E600802" w:rsidR="00B458FF" w:rsidRPr="00A915CB" w:rsidRDefault="009412B1" w:rsidP="00B458FF">
            <w:pPr>
              <w:widowControl w:val="0"/>
              <w:jc w:val="right"/>
              <w:rPr>
                <w:rFonts w:asciiTheme="minorHAnsi" w:hAnsiTheme="minorHAnsi" w:cstheme="minorHAnsi"/>
                <w:sz w:val="20"/>
                <w:szCs w:val="20"/>
                <w:highlight w:val="yellow"/>
              </w:rPr>
            </w:pPr>
            <w:r>
              <w:rPr>
                <w:rFonts w:asciiTheme="minorHAnsi" w:hAnsiTheme="minorHAnsi" w:cstheme="minorHAnsi"/>
                <w:sz w:val="20"/>
                <w:szCs w:val="20"/>
              </w:rPr>
              <w:t>-</w:t>
            </w:r>
          </w:p>
        </w:tc>
        <w:tc>
          <w:tcPr>
            <w:tcW w:w="1275" w:type="dxa"/>
            <w:tcBorders>
              <w:bottom w:val="single" w:sz="4" w:space="0" w:color="auto"/>
            </w:tcBorders>
          </w:tcPr>
          <w:p w14:paraId="0FCDD9FF" w14:textId="7712456D" w:rsidR="00B458FF" w:rsidRPr="005E0D02" w:rsidRDefault="00B458FF" w:rsidP="00B458FF">
            <w:pPr>
              <w:widowControl w:val="0"/>
              <w:jc w:val="right"/>
              <w:rPr>
                <w:rFonts w:asciiTheme="minorHAnsi" w:hAnsiTheme="minorHAnsi" w:cstheme="minorHAnsi"/>
                <w:sz w:val="20"/>
                <w:szCs w:val="20"/>
              </w:rPr>
            </w:pPr>
            <w:r w:rsidRPr="005E0D02">
              <w:rPr>
                <w:rFonts w:asciiTheme="minorHAnsi" w:hAnsiTheme="minorHAnsi" w:cstheme="minorHAnsi"/>
                <w:sz w:val="20"/>
                <w:szCs w:val="20"/>
              </w:rPr>
              <w:t>4,183</w:t>
            </w:r>
          </w:p>
        </w:tc>
      </w:tr>
      <w:tr w:rsidR="00AA1180" w:rsidRPr="005E0D02" w14:paraId="5B2BBB53" w14:textId="77777777" w:rsidTr="0005139B">
        <w:tc>
          <w:tcPr>
            <w:tcW w:w="6663" w:type="dxa"/>
            <w:tcBorders>
              <w:right w:val="single" w:sz="4" w:space="0" w:color="auto"/>
            </w:tcBorders>
          </w:tcPr>
          <w:p w14:paraId="54378C2C" w14:textId="32D67290" w:rsidR="00AA1180" w:rsidRPr="005E0D02" w:rsidRDefault="00AA1180" w:rsidP="00034844">
            <w:pPr>
              <w:widowControl w:val="0"/>
              <w:jc w:val="both"/>
              <w:rPr>
                <w:rFonts w:asciiTheme="minorHAnsi" w:hAnsiTheme="minorHAnsi" w:cstheme="minorHAnsi"/>
                <w:sz w:val="20"/>
                <w:szCs w:val="20"/>
              </w:rPr>
            </w:pPr>
            <w:r w:rsidRPr="005E0D02">
              <w:rPr>
                <w:rFonts w:asciiTheme="minorHAnsi" w:hAnsiTheme="minorHAnsi" w:cstheme="minorHAnsi"/>
                <w:sz w:val="20"/>
                <w:szCs w:val="20"/>
              </w:rPr>
              <w:t>Total financial assets</w:t>
            </w:r>
          </w:p>
        </w:tc>
        <w:tc>
          <w:tcPr>
            <w:tcW w:w="1134" w:type="dxa"/>
            <w:tcBorders>
              <w:top w:val="single" w:sz="4" w:space="0" w:color="auto"/>
              <w:left w:val="single" w:sz="4" w:space="0" w:color="auto"/>
              <w:bottom w:val="single" w:sz="4" w:space="0" w:color="auto"/>
            </w:tcBorders>
          </w:tcPr>
          <w:p w14:paraId="720952C4" w14:textId="1B99E31A" w:rsidR="00AA1180" w:rsidRPr="005E0D02" w:rsidRDefault="008563B7" w:rsidP="00034844">
            <w:pPr>
              <w:widowControl w:val="0"/>
              <w:jc w:val="right"/>
              <w:rPr>
                <w:rFonts w:asciiTheme="minorHAnsi" w:hAnsiTheme="minorHAnsi" w:cstheme="minorHAnsi"/>
                <w:sz w:val="20"/>
                <w:szCs w:val="20"/>
              </w:rPr>
            </w:pPr>
            <w:r>
              <w:rPr>
                <w:rFonts w:asciiTheme="minorHAnsi" w:hAnsiTheme="minorHAnsi" w:cstheme="minorHAnsi"/>
                <w:sz w:val="20"/>
                <w:szCs w:val="20"/>
              </w:rPr>
              <w:t>5</w:t>
            </w:r>
          </w:p>
        </w:tc>
        <w:tc>
          <w:tcPr>
            <w:tcW w:w="1275" w:type="dxa"/>
            <w:tcBorders>
              <w:top w:val="single" w:sz="4" w:space="0" w:color="auto"/>
              <w:bottom w:val="single" w:sz="4" w:space="0" w:color="auto"/>
              <w:right w:val="single" w:sz="4" w:space="0" w:color="auto"/>
            </w:tcBorders>
          </w:tcPr>
          <w:p w14:paraId="6AB920C9" w14:textId="38B2FFC7" w:rsidR="00AA1180" w:rsidRPr="005E0D02" w:rsidRDefault="00DC0608" w:rsidP="00034844">
            <w:pPr>
              <w:widowControl w:val="0"/>
              <w:jc w:val="right"/>
              <w:rPr>
                <w:rFonts w:asciiTheme="minorHAnsi" w:hAnsiTheme="minorHAnsi" w:cstheme="minorHAnsi"/>
                <w:sz w:val="20"/>
                <w:szCs w:val="20"/>
              </w:rPr>
            </w:pPr>
            <w:r>
              <w:rPr>
                <w:rFonts w:asciiTheme="minorHAnsi" w:hAnsiTheme="minorHAnsi" w:cstheme="minorHAnsi"/>
                <w:sz w:val="20"/>
                <w:szCs w:val="20"/>
              </w:rPr>
              <w:t>50,929</w:t>
            </w:r>
          </w:p>
        </w:tc>
      </w:tr>
    </w:tbl>
    <w:p w14:paraId="6905BED3" w14:textId="79BEE9D1" w:rsidR="00923BB9" w:rsidRDefault="00923BB9" w:rsidP="00034844">
      <w:pPr>
        <w:widowControl w:val="0"/>
        <w:ind w:left="567"/>
        <w:jc w:val="both"/>
        <w:rPr>
          <w:rFonts w:asciiTheme="minorHAnsi" w:hAnsiTheme="minorHAnsi" w:cstheme="minorHAnsi"/>
          <w:sz w:val="20"/>
          <w:szCs w:val="20"/>
        </w:rPr>
      </w:pPr>
    </w:p>
    <w:p w14:paraId="3C22EF1B" w14:textId="77777777" w:rsidR="00DE18F5" w:rsidRDefault="00DE18F5" w:rsidP="003256A6">
      <w:pPr>
        <w:widowControl w:val="0"/>
        <w:ind w:left="-142"/>
        <w:jc w:val="both"/>
        <w:rPr>
          <w:rFonts w:asciiTheme="minorHAnsi" w:hAnsiTheme="minorHAnsi" w:cstheme="minorHAnsi"/>
          <w:b/>
          <w:sz w:val="20"/>
          <w:szCs w:val="20"/>
        </w:rPr>
      </w:pPr>
    </w:p>
    <w:p w14:paraId="60047F18" w14:textId="79F80D4B" w:rsidR="00AA1180" w:rsidRPr="005E0D02" w:rsidRDefault="00AA1180" w:rsidP="00034844">
      <w:pPr>
        <w:widowControl w:val="0"/>
        <w:ind w:left="567"/>
        <w:jc w:val="both"/>
        <w:rPr>
          <w:rFonts w:asciiTheme="minorHAnsi" w:hAnsiTheme="minorHAnsi" w:cstheme="minorHAnsi"/>
          <w:b/>
          <w:sz w:val="20"/>
          <w:szCs w:val="20"/>
        </w:rPr>
      </w:pPr>
      <w:r w:rsidRPr="005E0D02">
        <w:rPr>
          <w:rFonts w:asciiTheme="minorHAnsi" w:hAnsiTheme="minorHAnsi" w:cstheme="minorHAnsi"/>
          <w:b/>
          <w:sz w:val="20"/>
          <w:szCs w:val="20"/>
        </w:rPr>
        <w:t>Company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1330"/>
        <w:gridCol w:w="1208"/>
      </w:tblGrid>
      <w:tr w:rsidR="00AA1180" w:rsidRPr="005E0D02" w14:paraId="03B80E4F" w14:textId="77777777" w:rsidTr="009F6E5E">
        <w:tc>
          <w:tcPr>
            <w:tcW w:w="6522" w:type="dxa"/>
          </w:tcPr>
          <w:p w14:paraId="278C9808" w14:textId="77777777" w:rsidR="00AA1180" w:rsidRPr="005E0D02" w:rsidRDefault="00AA1180" w:rsidP="00034844">
            <w:pPr>
              <w:widowControl w:val="0"/>
              <w:jc w:val="both"/>
              <w:rPr>
                <w:rFonts w:asciiTheme="minorHAnsi" w:hAnsiTheme="minorHAnsi" w:cstheme="minorHAnsi"/>
                <w:sz w:val="20"/>
                <w:szCs w:val="20"/>
              </w:rPr>
            </w:pPr>
          </w:p>
        </w:tc>
        <w:tc>
          <w:tcPr>
            <w:tcW w:w="1330" w:type="dxa"/>
          </w:tcPr>
          <w:p w14:paraId="57B13C5A" w14:textId="080F0F58" w:rsidR="00AA1180" w:rsidRPr="005E0D02" w:rsidRDefault="00AA1180" w:rsidP="00034844">
            <w:pPr>
              <w:widowControl w:val="0"/>
              <w:jc w:val="right"/>
              <w:rPr>
                <w:rFonts w:asciiTheme="minorHAnsi" w:hAnsiTheme="minorHAnsi" w:cstheme="minorHAnsi"/>
                <w:b/>
                <w:sz w:val="20"/>
                <w:szCs w:val="20"/>
              </w:rPr>
            </w:pPr>
            <w:r w:rsidRPr="005E0D02">
              <w:rPr>
                <w:rFonts w:asciiTheme="minorHAnsi" w:hAnsiTheme="minorHAnsi" w:cstheme="minorHAnsi"/>
                <w:b/>
                <w:sz w:val="20"/>
                <w:szCs w:val="20"/>
              </w:rPr>
              <w:t>20</w:t>
            </w:r>
            <w:r w:rsidR="00316A00" w:rsidRPr="005E0D02">
              <w:rPr>
                <w:rFonts w:asciiTheme="minorHAnsi" w:hAnsiTheme="minorHAnsi" w:cstheme="minorHAnsi"/>
                <w:b/>
                <w:sz w:val="20"/>
                <w:szCs w:val="20"/>
              </w:rPr>
              <w:t>2</w:t>
            </w:r>
            <w:r w:rsidR="00DC0608">
              <w:rPr>
                <w:rFonts w:asciiTheme="minorHAnsi" w:hAnsiTheme="minorHAnsi" w:cstheme="minorHAnsi"/>
                <w:b/>
                <w:sz w:val="20"/>
                <w:szCs w:val="20"/>
              </w:rPr>
              <w:t>2</w:t>
            </w:r>
          </w:p>
          <w:p w14:paraId="4565338B" w14:textId="77777777" w:rsidR="00AA1180" w:rsidRPr="005E0D02" w:rsidRDefault="00AA1180" w:rsidP="00034844">
            <w:pPr>
              <w:widowControl w:val="0"/>
              <w:jc w:val="right"/>
              <w:rPr>
                <w:rFonts w:asciiTheme="minorHAnsi" w:hAnsiTheme="minorHAnsi" w:cstheme="minorHAnsi"/>
                <w:sz w:val="20"/>
                <w:szCs w:val="20"/>
              </w:rPr>
            </w:pPr>
            <w:r w:rsidRPr="005E0D02">
              <w:rPr>
                <w:rFonts w:asciiTheme="minorHAnsi" w:hAnsiTheme="minorHAnsi" w:cstheme="minorHAnsi"/>
                <w:b/>
                <w:sz w:val="20"/>
                <w:szCs w:val="20"/>
              </w:rPr>
              <w:t>£</w:t>
            </w:r>
          </w:p>
        </w:tc>
        <w:tc>
          <w:tcPr>
            <w:tcW w:w="1208" w:type="dxa"/>
          </w:tcPr>
          <w:p w14:paraId="56773615" w14:textId="6F031ABD" w:rsidR="00AA1180" w:rsidRPr="005E0D02" w:rsidRDefault="00AA1180" w:rsidP="00034844">
            <w:pPr>
              <w:widowControl w:val="0"/>
              <w:jc w:val="right"/>
              <w:rPr>
                <w:rFonts w:asciiTheme="minorHAnsi" w:hAnsiTheme="minorHAnsi" w:cstheme="minorHAnsi"/>
                <w:b/>
                <w:sz w:val="20"/>
                <w:szCs w:val="20"/>
              </w:rPr>
            </w:pPr>
            <w:r w:rsidRPr="005E0D02">
              <w:rPr>
                <w:rFonts w:asciiTheme="minorHAnsi" w:hAnsiTheme="minorHAnsi" w:cstheme="minorHAnsi"/>
                <w:b/>
                <w:sz w:val="20"/>
                <w:szCs w:val="20"/>
              </w:rPr>
              <w:t>20</w:t>
            </w:r>
            <w:r w:rsidR="00B458FF" w:rsidRPr="005E0D02">
              <w:rPr>
                <w:rFonts w:asciiTheme="minorHAnsi" w:hAnsiTheme="minorHAnsi" w:cstheme="minorHAnsi"/>
                <w:b/>
                <w:sz w:val="20"/>
                <w:szCs w:val="20"/>
              </w:rPr>
              <w:t>2</w:t>
            </w:r>
            <w:r w:rsidR="00DC0608">
              <w:rPr>
                <w:rFonts w:asciiTheme="minorHAnsi" w:hAnsiTheme="minorHAnsi" w:cstheme="minorHAnsi"/>
                <w:b/>
                <w:sz w:val="20"/>
                <w:szCs w:val="20"/>
              </w:rPr>
              <w:t>1</w:t>
            </w:r>
          </w:p>
          <w:p w14:paraId="3662B49F" w14:textId="77777777" w:rsidR="00AA1180" w:rsidRPr="005E0D02" w:rsidRDefault="00AA1180" w:rsidP="00034844">
            <w:pPr>
              <w:widowControl w:val="0"/>
              <w:jc w:val="right"/>
              <w:rPr>
                <w:rFonts w:asciiTheme="minorHAnsi" w:hAnsiTheme="minorHAnsi" w:cstheme="minorHAnsi"/>
                <w:sz w:val="20"/>
                <w:szCs w:val="20"/>
              </w:rPr>
            </w:pPr>
            <w:r w:rsidRPr="005E0D02">
              <w:rPr>
                <w:rFonts w:asciiTheme="minorHAnsi" w:hAnsiTheme="minorHAnsi" w:cstheme="minorHAnsi"/>
                <w:b/>
                <w:sz w:val="20"/>
                <w:szCs w:val="20"/>
              </w:rPr>
              <w:t>£</w:t>
            </w:r>
          </w:p>
        </w:tc>
      </w:tr>
      <w:tr w:rsidR="00AA1180" w:rsidRPr="005E0D02" w14:paraId="054A9F31" w14:textId="77777777" w:rsidTr="009F6E5E">
        <w:tc>
          <w:tcPr>
            <w:tcW w:w="6522" w:type="dxa"/>
          </w:tcPr>
          <w:p w14:paraId="4709984F" w14:textId="77777777" w:rsidR="00AA1180" w:rsidRPr="005E0D02" w:rsidRDefault="00AA1180" w:rsidP="00034844">
            <w:pPr>
              <w:widowControl w:val="0"/>
              <w:jc w:val="both"/>
              <w:rPr>
                <w:rFonts w:asciiTheme="minorHAnsi" w:hAnsiTheme="minorHAnsi" w:cstheme="minorHAnsi"/>
                <w:sz w:val="20"/>
                <w:szCs w:val="20"/>
              </w:rPr>
            </w:pPr>
            <w:r w:rsidRPr="005E0D02">
              <w:rPr>
                <w:rFonts w:asciiTheme="minorHAnsi" w:hAnsiTheme="minorHAnsi" w:cstheme="minorHAnsi"/>
                <w:sz w:val="20"/>
                <w:szCs w:val="20"/>
              </w:rPr>
              <w:t>Cash held at HSBC – S&amp;P Rating AA</w:t>
            </w:r>
          </w:p>
        </w:tc>
        <w:tc>
          <w:tcPr>
            <w:tcW w:w="1330" w:type="dxa"/>
          </w:tcPr>
          <w:p w14:paraId="5624DD99" w14:textId="364EFC19" w:rsidR="00AA1180" w:rsidRPr="005E0D02" w:rsidRDefault="009412B1" w:rsidP="00034844">
            <w:pPr>
              <w:widowControl w:val="0"/>
              <w:jc w:val="right"/>
              <w:rPr>
                <w:rFonts w:asciiTheme="minorHAnsi" w:hAnsiTheme="minorHAnsi" w:cstheme="minorHAnsi"/>
                <w:sz w:val="20"/>
                <w:szCs w:val="20"/>
              </w:rPr>
            </w:pPr>
            <w:r>
              <w:rPr>
                <w:rFonts w:asciiTheme="minorHAnsi" w:hAnsiTheme="minorHAnsi" w:cstheme="minorHAnsi"/>
                <w:sz w:val="20"/>
                <w:szCs w:val="20"/>
              </w:rPr>
              <w:t>-</w:t>
            </w:r>
          </w:p>
        </w:tc>
        <w:tc>
          <w:tcPr>
            <w:tcW w:w="1208" w:type="dxa"/>
          </w:tcPr>
          <w:p w14:paraId="5F561AAF" w14:textId="0556F97B" w:rsidR="00AA1180" w:rsidRPr="005E0D02" w:rsidRDefault="00A915CB" w:rsidP="00034844">
            <w:pPr>
              <w:widowControl w:val="0"/>
              <w:jc w:val="right"/>
              <w:rPr>
                <w:rFonts w:asciiTheme="minorHAnsi" w:hAnsiTheme="minorHAnsi" w:cstheme="minorHAnsi"/>
                <w:sz w:val="20"/>
                <w:szCs w:val="20"/>
              </w:rPr>
            </w:pPr>
            <w:r>
              <w:rPr>
                <w:rFonts w:asciiTheme="minorHAnsi" w:hAnsiTheme="minorHAnsi" w:cstheme="minorHAnsi"/>
                <w:sz w:val="20"/>
                <w:szCs w:val="20"/>
              </w:rPr>
              <w:t>838</w:t>
            </w:r>
          </w:p>
        </w:tc>
      </w:tr>
      <w:tr w:rsidR="00AA1180" w:rsidRPr="005E0D02" w14:paraId="1728E68B" w14:textId="77777777" w:rsidTr="009F6E5E">
        <w:tc>
          <w:tcPr>
            <w:tcW w:w="6522" w:type="dxa"/>
            <w:tcBorders>
              <w:right w:val="single" w:sz="4" w:space="0" w:color="auto"/>
            </w:tcBorders>
          </w:tcPr>
          <w:p w14:paraId="5EC937F4" w14:textId="77777777" w:rsidR="00AA1180" w:rsidRPr="005E0D02" w:rsidRDefault="00AA1180" w:rsidP="00034844">
            <w:pPr>
              <w:widowControl w:val="0"/>
              <w:jc w:val="both"/>
              <w:rPr>
                <w:rFonts w:asciiTheme="minorHAnsi" w:hAnsiTheme="minorHAnsi" w:cstheme="minorHAnsi"/>
                <w:sz w:val="20"/>
                <w:szCs w:val="20"/>
              </w:rPr>
            </w:pPr>
            <w:r w:rsidRPr="005E0D02">
              <w:rPr>
                <w:rFonts w:asciiTheme="minorHAnsi" w:hAnsiTheme="minorHAnsi" w:cstheme="minorHAnsi"/>
                <w:sz w:val="20"/>
                <w:szCs w:val="20"/>
              </w:rPr>
              <w:t>Total financial assets</w:t>
            </w:r>
          </w:p>
        </w:tc>
        <w:tc>
          <w:tcPr>
            <w:tcW w:w="1330" w:type="dxa"/>
            <w:tcBorders>
              <w:top w:val="single" w:sz="4" w:space="0" w:color="auto"/>
              <w:left w:val="single" w:sz="4" w:space="0" w:color="auto"/>
              <w:bottom w:val="single" w:sz="4" w:space="0" w:color="auto"/>
            </w:tcBorders>
          </w:tcPr>
          <w:p w14:paraId="687464BA" w14:textId="5C649F99" w:rsidR="00AA1180" w:rsidRPr="005E0D02" w:rsidRDefault="009412B1" w:rsidP="00034844">
            <w:pPr>
              <w:widowControl w:val="0"/>
              <w:jc w:val="right"/>
              <w:rPr>
                <w:rFonts w:asciiTheme="minorHAnsi" w:hAnsiTheme="minorHAnsi" w:cstheme="minorHAnsi"/>
                <w:sz w:val="20"/>
                <w:szCs w:val="20"/>
              </w:rPr>
            </w:pPr>
            <w:r>
              <w:rPr>
                <w:rFonts w:asciiTheme="minorHAnsi" w:hAnsiTheme="minorHAnsi" w:cstheme="minorHAnsi"/>
                <w:sz w:val="20"/>
                <w:szCs w:val="20"/>
              </w:rPr>
              <w:t>-</w:t>
            </w:r>
          </w:p>
        </w:tc>
        <w:tc>
          <w:tcPr>
            <w:tcW w:w="1208" w:type="dxa"/>
            <w:tcBorders>
              <w:top w:val="single" w:sz="4" w:space="0" w:color="auto"/>
              <w:bottom w:val="single" w:sz="4" w:space="0" w:color="auto"/>
              <w:right w:val="single" w:sz="4" w:space="0" w:color="auto"/>
            </w:tcBorders>
          </w:tcPr>
          <w:p w14:paraId="544932A6" w14:textId="45DB2840" w:rsidR="00AA1180" w:rsidRPr="005E0D02" w:rsidRDefault="00A915CB" w:rsidP="00034844">
            <w:pPr>
              <w:widowControl w:val="0"/>
              <w:jc w:val="right"/>
              <w:rPr>
                <w:rFonts w:asciiTheme="minorHAnsi" w:hAnsiTheme="minorHAnsi" w:cstheme="minorHAnsi"/>
                <w:sz w:val="20"/>
                <w:szCs w:val="20"/>
              </w:rPr>
            </w:pPr>
            <w:r>
              <w:rPr>
                <w:rFonts w:asciiTheme="minorHAnsi" w:hAnsiTheme="minorHAnsi" w:cstheme="minorHAnsi"/>
                <w:sz w:val="20"/>
                <w:szCs w:val="20"/>
              </w:rPr>
              <w:t>838</w:t>
            </w:r>
          </w:p>
        </w:tc>
      </w:tr>
    </w:tbl>
    <w:p w14:paraId="1D0EE8C5" w14:textId="1A10A68E" w:rsidR="00AA1180" w:rsidRPr="005E0D02" w:rsidRDefault="00AA1180" w:rsidP="00034844">
      <w:pPr>
        <w:widowControl w:val="0"/>
        <w:ind w:left="567"/>
        <w:jc w:val="both"/>
        <w:rPr>
          <w:rFonts w:asciiTheme="minorHAnsi" w:hAnsiTheme="minorHAnsi" w:cstheme="minorHAnsi"/>
          <w:sz w:val="20"/>
          <w:szCs w:val="20"/>
        </w:rPr>
      </w:pPr>
    </w:p>
    <w:p w14:paraId="1B6BABF9" w14:textId="285CAF78" w:rsidR="00AA1180" w:rsidRPr="005E0D02" w:rsidRDefault="00AA1180" w:rsidP="00034844">
      <w:pPr>
        <w:widowControl w:val="0"/>
        <w:ind w:left="567"/>
        <w:jc w:val="both"/>
        <w:rPr>
          <w:rFonts w:asciiTheme="minorHAnsi" w:hAnsiTheme="minorHAnsi" w:cstheme="minorHAnsi"/>
          <w:b/>
          <w:sz w:val="20"/>
          <w:szCs w:val="20"/>
        </w:rPr>
      </w:pPr>
      <w:r w:rsidRPr="005E0D02">
        <w:rPr>
          <w:rFonts w:asciiTheme="minorHAnsi" w:hAnsiTheme="minorHAnsi" w:cstheme="minorHAnsi"/>
          <w:b/>
          <w:sz w:val="20"/>
          <w:szCs w:val="20"/>
        </w:rPr>
        <w:t>Market risk</w:t>
      </w:r>
    </w:p>
    <w:p w14:paraId="06C46A16" w14:textId="77777777" w:rsidR="00811CCA" w:rsidRPr="005E0D02" w:rsidRDefault="00811CCA" w:rsidP="00034844">
      <w:pPr>
        <w:widowControl w:val="0"/>
        <w:ind w:left="567"/>
        <w:jc w:val="both"/>
        <w:rPr>
          <w:rFonts w:asciiTheme="minorHAnsi" w:hAnsiTheme="minorHAnsi" w:cstheme="minorHAnsi"/>
          <w:b/>
          <w:sz w:val="20"/>
          <w:szCs w:val="20"/>
        </w:rPr>
      </w:pPr>
    </w:p>
    <w:p w14:paraId="3017D5A9" w14:textId="1EED0E2D" w:rsidR="00B80B86" w:rsidRPr="005E0D02" w:rsidRDefault="00B80B86" w:rsidP="00034844">
      <w:pPr>
        <w:widowControl w:val="0"/>
        <w:ind w:left="567"/>
        <w:jc w:val="both"/>
        <w:rPr>
          <w:rFonts w:asciiTheme="minorHAnsi" w:hAnsiTheme="minorHAnsi" w:cstheme="minorHAnsi"/>
          <w:i/>
          <w:sz w:val="20"/>
          <w:szCs w:val="20"/>
          <w:u w:val="single"/>
        </w:rPr>
      </w:pPr>
      <w:r w:rsidRPr="005E0D02">
        <w:rPr>
          <w:rFonts w:asciiTheme="minorHAnsi" w:hAnsiTheme="minorHAnsi" w:cstheme="minorHAnsi"/>
          <w:i/>
          <w:sz w:val="20"/>
          <w:szCs w:val="20"/>
          <w:u w:val="single"/>
        </w:rPr>
        <w:t>Foreign exchange risk</w:t>
      </w:r>
    </w:p>
    <w:p w14:paraId="07458774" w14:textId="5510B5CE" w:rsidR="00B80B86" w:rsidRPr="005E0D02" w:rsidRDefault="00B80B86" w:rsidP="00034844">
      <w:pPr>
        <w:widowControl w:val="0"/>
        <w:ind w:left="567"/>
        <w:jc w:val="both"/>
        <w:rPr>
          <w:rFonts w:asciiTheme="minorHAnsi" w:hAnsiTheme="minorHAnsi" w:cstheme="minorHAnsi"/>
          <w:sz w:val="20"/>
          <w:szCs w:val="20"/>
        </w:rPr>
      </w:pPr>
      <w:r w:rsidRPr="005E0D02">
        <w:rPr>
          <w:rFonts w:asciiTheme="minorHAnsi" w:hAnsiTheme="minorHAnsi" w:cstheme="minorHAnsi"/>
          <w:sz w:val="20"/>
          <w:szCs w:val="20"/>
        </w:rPr>
        <w:t>F</w:t>
      </w:r>
      <w:r w:rsidR="001611F8" w:rsidRPr="005E0D02">
        <w:rPr>
          <w:rFonts w:asciiTheme="minorHAnsi" w:hAnsiTheme="minorHAnsi" w:cstheme="minorHAnsi"/>
          <w:sz w:val="20"/>
          <w:szCs w:val="20"/>
        </w:rPr>
        <w:t>oreign exchange risk arise</w:t>
      </w:r>
      <w:r w:rsidR="00AF590D" w:rsidRPr="005E0D02">
        <w:rPr>
          <w:rFonts w:asciiTheme="minorHAnsi" w:hAnsiTheme="minorHAnsi" w:cstheme="minorHAnsi"/>
          <w:sz w:val="20"/>
          <w:szCs w:val="20"/>
        </w:rPr>
        <w:t>s</w:t>
      </w:r>
      <w:r w:rsidR="001611F8" w:rsidRPr="005E0D02">
        <w:rPr>
          <w:rFonts w:asciiTheme="minorHAnsi" w:hAnsiTheme="minorHAnsi" w:cstheme="minorHAnsi"/>
          <w:sz w:val="20"/>
          <w:szCs w:val="20"/>
        </w:rPr>
        <w:t xml:space="preserve"> because the group has operations in Portugal and Spain, whose functional currency is not the same as the functional currency of the group. The group’s net assets arising from such overseas operations are exposed to currency risk resulting in gains or losses on retranslation into sterling. </w:t>
      </w:r>
    </w:p>
    <w:p w14:paraId="272C18D6" w14:textId="77777777" w:rsidR="00034844" w:rsidRPr="005E0D02" w:rsidRDefault="00034844" w:rsidP="00034844">
      <w:pPr>
        <w:widowControl w:val="0"/>
        <w:ind w:left="567" w:hanging="567"/>
        <w:jc w:val="both"/>
        <w:rPr>
          <w:rFonts w:asciiTheme="minorHAnsi" w:hAnsiTheme="minorHAnsi" w:cstheme="minorHAnsi"/>
          <w:b/>
          <w:sz w:val="20"/>
          <w:szCs w:val="20"/>
        </w:rPr>
      </w:pPr>
    </w:p>
    <w:p w14:paraId="7F089570" w14:textId="4ED03962" w:rsidR="001611F8" w:rsidRPr="005E0D02" w:rsidRDefault="001611F8" w:rsidP="00034844">
      <w:pPr>
        <w:widowControl w:val="0"/>
        <w:ind w:left="567"/>
        <w:jc w:val="both"/>
        <w:rPr>
          <w:rFonts w:asciiTheme="minorHAnsi" w:hAnsiTheme="minorHAnsi" w:cstheme="minorHAnsi"/>
          <w:sz w:val="20"/>
          <w:szCs w:val="20"/>
        </w:rPr>
      </w:pPr>
      <w:r w:rsidRPr="005E0D02">
        <w:rPr>
          <w:rFonts w:asciiTheme="minorHAnsi" w:hAnsiTheme="minorHAnsi" w:cstheme="minorHAnsi"/>
          <w:sz w:val="20"/>
          <w:szCs w:val="20"/>
        </w:rPr>
        <w:t>As of 30 June 20</w:t>
      </w:r>
      <w:r w:rsidR="009F6E5E" w:rsidRPr="005E0D02">
        <w:rPr>
          <w:rFonts w:asciiTheme="minorHAnsi" w:hAnsiTheme="minorHAnsi" w:cstheme="minorHAnsi"/>
          <w:sz w:val="20"/>
          <w:szCs w:val="20"/>
        </w:rPr>
        <w:t>2</w:t>
      </w:r>
      <w:r w:rsidR="00DE18F5">
        <w:rPr>
          <w:rFonts w:asciiTheme="minorHAnsi" w:hAnsiTheme="minorHAnsi" w:cstheme="minorHAnsi"/>
          <w:sz w:val="20"/>
          <w:szCs w:val="20"/>
        </w:rPr>
        <w:t>2</w:t>
      </w:r>
      <w:r w:rsidRPr="005E0D02">
        <w:rPr>
          <w:rFonts w:asciiTheme="minorHAnsi" w:hAnsiTheme="minorHAnsi" w:cstheme="minorHAnsi"/>
          <w:sz w:val="20"/>
          <w:szCs w:val="20"/>
        </w:rPr>
        <w:t xml:space="preserve"> the group’s exposure to foreign exchange risk was not material</w:t>
      </w:r>
      <w:r w:rsidR="00AF590D" w:rsidRPr="005E0D02">
        <w:rPr>
          <w:rFonts w:asciiTheme="minorHAnsi" w:hAnsiTheme="minorHAnsi" w:cstheme="minorHAnsi"/>
          <w:sz w:val="20"/>
          <w:szCs w:val="20"/>
        </w:rPr>
        <w:t xml:space="preserve"> as the overseas operations had been discontinued.</w:t>
      </w:r>
    </w:p>
    <w:p w14:paraId="4AB0A03D" w14:textId="6E654170" w:rsidR="001611F8" w:rsidRDefault="003256A6" w:rsidP="003256A6">
      <w:pPr>
        <w:widowControl w:val="0"/>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18.       </w:t>
      </w:r>
      <w:r w:rsidRPr="00DE18F5">
        <w:rPr>
          <w:rFonts w:asciiTheme="minorHAnsi" w:hAnsiTheme="minorHAnsi" w:cstheme="minorHAnsi"/>
          <w:b/>
          <w:sz w:val="20"/>
          <w:szCs w:val="20"/>
        </w:rPr>
        <w:t>Financial Instruments – Risk Management (continued)</w:t>
      </w:r>
    </w:p>
    <w:p w14:paraId="3D8C6A50" w14:textId="77777777" w:rsidR="003256A6" w:rsidRPr="00786C36" w:rsidRDefault="003256A6" w:rsidP="003256A6">
      <w:pPr>
        <w:widowControl w:val="0"/>
        <w:jc w:val="both"/>
        <w:rPr>
          <w:rFonts w:asciiTheme="minorHAnsi" w:hAnsiTheme="minorHAnsi" w:cstheme="minorHAnsi"/>
          <w:sz w:val="20"/>
          <w:szCs w:val="20"/>
          <w:highlight w:val="yellow"/>
        </w:rPr>
      </w:pPr>
    </w:p>
    <w:p w14:paraId="20329BAF" w14:textId="30AC8AFB" w:rsidR="001611F8" w:rsidRPr="008563B7" w:rsidRDefault="001611F8" w:rsidP="00034844">
      <w:pPr>
        <w:widowControl w:val="0"/>
        <w:ind w:left="567"/>
        <w:jc w:val="both"/>
        <w:rPr>
          <w:rFonts w:asciiTheme="minorHAnsi" w:hAnsiTheme="minorHAnsi" w:cstheme="minorHAnsi"/>
          <w:b/>
          <w:sz w:val="20"/>
          <w:szCs w:val="20"/>
        </w:rPr>
      </w:pPr>
      <w:r w:rsidRPr="008563B7">
        <w:rPr>
          <w:rFonts w:asciiTheme="minorHAnsi" w:hAnsiTheme="minorHAnsi" w:cstheme="minorHAnsi"/>
          <w:b/>
          <w:sz w:val="20"/>
          <w:szCs w:val="20"/>
        </w:rPr>
        <w:t>Liquidity risk</w:t>
      </w:r>
    </w:p>
    <w:p w14:paraId="64FB14C0" w14:textId="3D0F0F19" w:rsidR="00716677" w:rsidRPr="008563B7" w:rsidRDefault="001611F8" w:rsidP="00253A91">
      <w:pPr>
        <w:widowControl w:val="0"/>
        <w:ind w:left="567"/>
        <w:jc w:val="both"/>
        <w:rPr>
          <w:rFonts w:asciiTheme="minorHAnsi" w:hAnsiTheme="minorHAnsi" w:cstheme="minorHAnsi"/>
          <w:sz w:val="20"/>
          <w:szCs w:val="20"/>
        </w:rPr>
      </w:pPr>
      <w:r w:rsidRPr="008563B7">
        <w:rPr>
          <w:rFonts w:asciiTheme="minorHAnsi" w:hAnsiTheme="minorHAnsi" w:cstheme="minorHAnsi"/>
          <w:sz w:val="20"/>
          <w:szCs w:val="20"/>
        </w:rPr>
        <w:t xml:space="preserve">Liquidity risk arises from the </w:t>
      </w:r>
      <w:r w:rsidR="00AF590D" w:rsidRPr="008563B7">
        <w:rPr>
          <w:rFonts w:asciiTheme="minorHAnsi" w:hAnsiTheme="minorHAnsi" w:cstheme="minorHAnsi"/>
          <w:sz w:val="20"/>
          <w:szCs w:val="20"/>
        </w:rPr>
        <w:t>G</w:t>
      </w:r>
      <w:r w:rsidRPr="008563B7">
        <w:rPr>
          <w:rFonts w:asciiTheme="minorHAnsi" w:hAnsiTheme="minorHAnsi" w:cstheme="minorHAnsi"/>
          <w:sz w:val="20"/>
          <w:szCs w:val="20"/>
        </w:rPr>
        <w:t>roup’s management of working capital. It is the risk</w:t>
      </w:r>
      <w:r w:rsidR="00D33AFA" w:rsidRPr="008563B7">
        <w:rPr>
          <w:rFonts w:asciiTheme="minorHAnsi" w:hAnsiTheme="minorHAnsi" w:cstheme="minorHAnsi"/>
          <w:sz w:val="20"/>
          <w:szCs w:val="20"/>
        </w:rPr>
        <w:t xml:space="preserve"> that the </w:t>
      </w:r>
      <w:r w:rsidR="00AF590D" w:rsidRPr="008563B7">
        <w:rPr>
          <w:rFonts w:asciiTheme="minorHAnsi" w:hAnsiTheme="minorHAnsi" w:cstheme="minorHAnsi"/>
          <w:sz w:val="20"/>
          <w:szCs w:val="20"/>
        </w:rPr>
        <w:t>G</w:t>
      </w:r>
      <w:r w:rsidR="00D33AFA" w:rsidRPr="008563B7">
        <w:rPr>
          <w:rFonts w:asciiTheme="minorHAnsi" w:hAnsiTheme="minorHAnsi" w:cstheme="minorHAnsi"/>
          <w:sz w:val="20"/>
          <w:szCs w:val="20"/>
        </w:rPr>
        <w:t>roup will encounter difficulty</w:t>
      </w:r>
      <w:r w:rsidR="00716677" w:rsidRPr="008563B7">
        <w:rPr>
          <w:rFonts w:asciiTheme="minorHAnsi" w:hAnsiTheme="minorHAnsi" w:cstheme="minorHAnsi"/>
          <w:sz w:val="20"/>
          <w:szCs w:val="20"/>
        </w:rPr>
        <w:t xml:space="preserve"> in meeting its financial obligations as they fall due.</w:t>
      </w:r>
    </w:p>
    <w:p w14:paraId="68261DB6" w14:textId="68330D75" w:rsidR="001172B3" w:rsidRPr="008563B7" w:rsidRDefault="001172B3" w:rsidP="00034844">
      <w:pPr>
        <w:widowControl w:val="0"/>
        <w:ind w:left="567"/>
        <w:jc w:val="both"/>
        <w:rPr>
          <w:rFonts w:asciiTheme="minorHAnsi" w:hAnsiTheme="minorHAnsi" w:cstheme="minorHAnsi"/>
          <w:sz w:val="20"/>
          <w:szCs w:val="20"/>
        </w:rPr>
      </w:pPr>
      <w:r w:rsidRPr="008563B7">
        <w:rPr>
          <w:rFonts w:asciiTheme="minorHAnsi" w:hAnsiTheme="minorHAnsi" w:cstheme="minorHAnsi"/>
          <w:sz w:val="20"/>
          <w:szCs w:val="20"/>
        </w:rPr>
        <w:t xml:space="preserve">The Board will continue to monitor long term cash projections </w:t>
      </w:r>
      <w:r w:rsidR="00AF590D" w:rsidRPr="008563B7">
        <w:rPr>
          <w:rFonts w:asciiTheme="minorHAnsi" w:hAnsiTheme="minorHAnsi" w:cstheme="minorHAnsi"/>
          <w:sz w:val="20"/>
          <w:szCs w:val="20"/>
        </w:rPr>
        <w:t xml:space="preserve">and </w:t>
      </w:r>
      <w:r w:rsidRPr="008563B7">
        <w:rPr>
          <w:rFonts w:asciiTheme="minorHAnsi" w:hAnsiTheme="minorHAnsi" w:cstheme="minorHAnsi"/>
          <w:sz w:val="20"/>
          <w:szCs w:val="20"/>
        </w:rPr>
        <w:t>will consider raising funds as required</w:t>
      </w:r>
      <w:r w:rsidR="00AF590D" w:rsidRPr="008563B7">
        <w:rPr>
          <w:rFonts w:asciiTheme="minorHAnsi" w:hAnsiTheme="minorHAnsi" w:cstheme="minorHAnsi"/>
          <w:sz w:val="20"/>
          <w:szCs w:val="20"/>
        </w:rPr>
        <w:t>.</w:t>
      </w:r>
    </w:p>
    <w:p w14:paraId="3EE95395" w14:textId="08699081" w:rsidR="001172B3" w:rsidRPr="008563B7" w:rsidRDefault="001172B3" w:rsidP="00034844">
      <w:pPr>
        <w:widowControl w:val="0"/>
        <w:ind w:left="567"/>
        <w:jc w:val="both"/>
        <w:rPr>
          <w:rFonts w:asciiTheme="minorHAnsi" w:hAnsiTheme="minorHAnsi" w:cstheme="minorHAnsi"/>
          <w:sz w:val="20"/>
          <w:szCs w:val="20"/>
        </w:rPr>
      </w:pPr>
    </w:p>
    <w:p w14:paraId="3F650D36" w14:textId="30C35140" w:rsidR="009F6E5E" w:rsidRDefault="001172B3" w:rsidP="006D0EAD">
      <w:pPr>
        <w:widowControl w:val="0"/>
        <w:ind w:left="567"/>
        <w:jc w:val="both"/>
        <w:rPr>
          <w:rFonts w:asciiTheme="minorHAnsi" w:hAnsiTheme="minorHAnsi" w:cstheme="minorHAnsi"/>
          <w:sz w:val="20"/>
          <w:szCs w:val="20"/>
        </w:rPr>
      </w:pPr>
      <w:r w:rsidRPr="008563B7">
        <w:rPr>
          <w:rFonts w:asciiTheme="minorHAnsi" w:hAnsiTheme="minorHAnsi" w:cstheme="minorHAnsi"/>
          <w:sz w:val="20"/>
          <w:szCs w:val="20"/>
        </w:rPr>
        <w:t>The following table sets out the contractual maturities (representing undiscounted contractual cash-flows) of financial liabilities:</w:t>
      </w:r>
    </w:p>
    <w:p w14:paraId="5010E488" w14:textId="77777777" w:rsidR="00F770C6" w:rsidRPr="006D0EAD" w:rsidRDefault="00F770C6" w:rsidP="006D0EAD">
      <w:pPr>
        <w:widowControl w:val="0"/>
        <w:ind w:left="567"/>
        <w:jc w:val="both"/>
        <w:rPr>
          <w:rFonts w:asciiTheme="minorHAnsi" w:hAnsiTheme="minorHAnsi" w:cstheme="minorHAnsi"/>
          <w:sz w:val="20"/>
          <w:szCs w:val="20"/>
        </w:rPr>
      </w:pPr>
    </w:p>
    <w:p w14:paraId="71E1C807" w14:textId="23029231" w:rsidR="001172B3" w:rsidRPr="00F770C6" w:rsidRDefault="001172B3" w:rsidP="00034844">
      <w:pPr>
        <w:widowControl w:val="0"/>
        <w:ind w:left="567"/>
        <w:jc w:val="both"/>
        <w:rPr>
          <w:rFonts w:asciiTheme="minorHAnsi" w:hAnsiTheme="minorHAnsi" w:cstheme="minorHAnsi"/>
          <w:b/>
          <w:sz w:val="20"/>
          <w:szCs w:val="20"/>
        </w:rPr>
      </w:pPr>
      <w:r w:rsidRPr="00F770C6">
        <w:rPr>
          <w:rFonts w:asciiTheme="minorHAnsi" w:hAnsiTheme="minorHAnsi" w:cstheme="minorHAnsi"/>
          <w:b/>
          <w:sz w:val="20"/>
          <w:szCs w:val="20"/>
        </w:rPr>
        <w:t>Group:</w:t>
      </w: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134"/>
        <w:gridCol w:w="1134"/>
        <w:gridCol w:w="1085"/>
        <w:gridCol w:w="1089"/>
        <w:gridCol w:w="944"/>
      </w:tblGrid>
      <w:tr w:rsidR="001172B3" w:rsidRPr="00F770C6" w14:paraId="3C872B92" w14:textId="77777777" w:rsidTr="003F0DB5">
        <w:tc>
          <w:tcPr>
            <w:tcW w:w="3686" w:type="dxa"/>
          </w:tcPr>
          <w:p w14:paraId="53A01954" w14:textId="442598EB" w:rsidR="001172B3" w:rsidRPr="00F770C6" w:rsidRDefault="001172B3" w:rsidP="00034844">
            <w:pPr>
              <w:widowControl w:val="0"/>
              <w:jc w:val="right"/>
              <w:rPr>
                <w:rFonts w:asciiTheme="minorHAnsi" w:hAnsiTheme="minorHAnsi" w:cstheme="minorHAnsi"/>
                <w:b/>
                <w:sz w:val="20"/>
                <w:szCs w:val="20"/>
              </w:rPr>
            </w:pPr>
          </w:p>
          <w:p w14:paraId="71684B3B" w14:textId="491B0ACC" w:rsidR="001172B3" w:rsidRPr="00F770C6" w:rsidRDefault="001172B3" w:rsidP="00034844">
            <w:pPr>
              <w:widowControl w:val="0"/>
              <w:jc w:val="right"/>
              <w:rPr>
                <w:rFonts w:asciiTheme="minorHAnsi" w:hAnsiTheme="minorHAnsi" w:cstheme="minorHAnsi"/>
                <w:b/>
                <w:sz w:val="20"/>
                <w:szCs w:val="20"/>
              </w:rPr>
            </w:pPr>
          </w:p>
          <w:p w14:paraId="2D7A1166" w14:textId="77777777" w:rsidR="001172B3" w:rsidRPr="00F770C6" w:rsidRDefault="001172B3" w:rsidP="00034844">
            <w:pPr>
              <w:widowControl w:val="0"/>
              <w:jc w:val="right"/>
              <w:rPr>
                <w:rFonts w:asciiTheme="minorHAnsi" w:hAnsiTheme="minorHAnsi" w:cstheme="minorHAnsi"/>
                <w:b/>
                <w:sz w:val="20"/>
                <w:szCs w:val="20"/>
              </w:rPr>
            </w:pPr>
          </w:p>
          <w:p w14:paraId="0881E279" w14:textId="1607FAA7" w:rsidR="001172B3" w:rsidRPr="00F770C6" w:rsidRDefault="001172B3" w:rsidP="00034844">
            <w:pPr>
              <w:widowControl w:val="0"/>
              <w:rPr>
                <w:rFonts w:asciiTheme="minorHAnsi" w:hAnsiTheme="minorHAnsi" w:cstheme="minorHAnsi"/>
                <w:b/>
                <w:sz w:val="20"/>
                <w:szCs w:val="20"/>
              </w:rPr>
            </w:pPr>
            <w:r w:rsidRPr="00F770C6">
              <w:rPr>
                <w:rFonts w:asciiTheme="minorHAnsi" w:hAnsiTheme="minorHAnsi" w:cstheme="minorHAnsi"/>
                <w:b/>
                <w:sz w:val="20"/>
                <w:szCs w:val="20"/>
              </w:rPr>
              <w:t>20</w:t>
            </w:r>
            <w:r w:rsidR="00316A00" w:rsidRPr="00F770C6">
              <w:rPr>
                <w:rFonts w:asciiTheme="minorHAnsi" w:hAnsiTheme="minorHAnsi" w:cstheme="minorHAnsi"/>
                <w:b/>
                <w:sz w:val="20"/>
                <w:szCs w:val="20"/>
              </w:rPr>
              <w:t>2</w:t>
            </w:r>
            <w:r w:rsidR="008563B7" w:rsidRPr="00F770C6">
              <w:rPr>
                <w:rFonts w:asciiTheme="minorHAnsi" w:hAnsiTheme="minorHAnsi" w:cstheme="minorHAnsi"/>
                <w:b/>
                <w:sz w:val="20"/>
                <w:szCs w:val="20"/>
              </w:rPr>
              <w:t>2</w:t>
            </w:r>
          </w:p>
        </w:tc>
        <w:tc>
          <w:tcPr>
            <w:tcW w:w="1134" w:type="dxa"/>
          </w:tcPr>
          <w:p w14:paraId="4C7F2119" w14:textId="77777777" w:rsidR="001172B3" w:rsidRPr="00F770C6" w:rsidRDefault="001172B3" w:rsidP="00034844">
            <w:pPr>
              <w:widowControl w:val="0"/>
              <w:jc w:val="right"/>
              <w:rPr>
                <w:rFonts w:asciiTheme="minorHAnsi" w:hAnsiTheme="minorHAnsi" w:cstheme="minorHAnsi"/>
                <w:b/>
                <w:sz w:val="20"/>
                <w:szCs w:val="20"/>
              </w:rPr>
            </w:pPr>
          </w:p>
          <w:p w14:paraId="0F9C921E" w14:textId="784D6741"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Up to </w:t>
            </w:r>
          </w:p>
          <w:p w14:paraId="47E35C01" w14:textId="7777777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3 months</w:t>
            </w:r>
          </w:p>
          <w:p w14:paraId="79D9F8B8" w14:textId="049E4C5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w:t>
            </w:r>
          </w:p>
        </w:tc>
        <w:tc>
          <w:tcPr>
            <w:tcW w:w="1134" w:type="dxa"/>
          </w:tcPr>
          <w:p w14:paraId="3892AB9D" w14:textId="7777777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Between</w:t>
            </w:r>
          </w:p>
          <w:p w14:paraId="237483EC" w14:textId="7777777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3 and 12</w:t>
            </w:r>
          </w:p>
          <w:p w14:paraId="3AE33C02" w14:textId="72980473"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months</w:t>
            </w:r>
          </w:p>
          <w:p w14:paraId="3A27B6F6" w14:textId="47F5C715"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w:t>
            </w:r>
          </w:p>
        </w:tc>
        <w:tc>
          <w:tcPr>
            <w:tcW w:w="1085" w:type="dxa"/>
          </w:tcPr>
          <w:p w14:paraId="3993B888" w14:textId="7777777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Between </w:t>
            </w:r>
          </w:p>
          <w:p w14:paraId="72285943" w14:textId="7777777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1 and 2</w:t>
            </w:r>
          </w:p>
          <w:p w14:paraId="2DF0C931" w14:textId="731B1CAF"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years </w:t>
            </w:r>
          </w:p>
          <w:p w14:paraId="20A2C89F" w14:textId="473A984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w:t>
            </w:r>
          </w:p>
        </w:tc>
        <w:tc>
          <w:tcPr>
            <w:tcW w:w="1089" w:type="dxa"/>
          </w:tcPr>
          <w:p w14:paraId="483C2A96" w14:textId="7777777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Between </w:t>
            </w:r>
          </w:p>
          <w:p w14:paraId="0A6CA07D" w14:textId="06FA37D2"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2 and 5 years</w:t>
            </w:r>
          </w:p>
          <w:p w14:paraId="1FF739A8" w14:textId="568D6BC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w:t>
            </w:r>
          </w:p>
        </w:tc>
        <w:tc>
          <w:tcPr>
            <w:tcW w:w="944" w:type="dxa"/>
          </w:tcPr>
          <w:p w14:paraId="4600058F" w14:textId="77777777"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Over 5 years </w:t>
            </w:r>
          </w:p>
          <w:p w14:paraId="6A6B96DA" w14:textId="0B47366F" w:rsidR="001172B3" w:rsidRPr="00F770C6" w:rsidRDefault="001172B3" w:rsidP="00034844">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w:t>
            </w:r>
          </w:p>
        </w:tc>
      </w:tr>
      <w:tr w:rsidR="001172B3" w:rsidRPr="00F770C6" w14:paraId="1093A38C" w14:textId="77777777" w:rsidTr="003F0DB5">
        <w:tc>
          <w:tcPr>
            <w:tcW w:w="3686" w:type="dxa"/>
          </w:tcPr>
          <w:p w14:paraId="289F5BFA" w14:textId="79397153" w:rsidR="001172B3" w:rsidRPr="00F770C6" w:rsidRDefault="001172B3" w:rsidP="00034844">
            <w:pPr>
              <w:widowControl w:val="0"/>
              <w:jc w:val="both"/>
              <w:rPr>
                <w:rFonts w:asciiTheme="minorHAnsi" w:hAnsiTheme="minorHAnsi" w:cstheme="minorHAnsi"/>
                <w:sz w:val="20"/>
                <w:szCs w:val="20"/>
              </w:rPr>
            </w:pPr>
            <w:r w:rsidRPr="00F770C6">
              <w:rPr>
                <w:rFonts w:asciiTheme="minorHAnsi" w:hAnsiTheme="minorHAnsi" w:cstheme="minorHAnsi"/>
                <w:sz w:val="20"/>
                <w:szCs w:val="20"/>
              </w:rPr>
              <w:t>Trade and other payables</w:t>
            </w:r>
          </w:p>
        </w:tc>
        <w:tc>
          <w:tcPr>
            <w:tcW w:w="1134" w:type="dxa"/>
          </w:tcPr>
          <w:p w14:paraId="04985ACB" w14:textId="33926E01" w:rsidR="001172B3" w:rsidRPr="00F770C6" w:rsidRDefault="00F770C6"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6,523,526</w:t>
            </w:r>
          </w:p>
        </w:tc>
        <w:tc>
          <w:tcPr>
            <w:tcW w:w="1134" w:type="dxa"/>
          </w:tcPr>
          <w:p w14:paraId="63DFD078" w14:textId="197CE80B" w:rsidR="001172B3" w:rsidRPr="00F770C6" w:rsidRDefault="008563B7"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5" w:type="dxa"/>
          </w:tcPr>
          <w:p w14:paraId="1C4D8AAD" w14:textId="6F163548" w:rsidR="001172B3" w:rsidRPr="00F770C6" w:rsidRDefault="00A03F4F"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9" w:type="dxa"/>
          </w:tcPr>
          <w:p w14:paraId="65CDC4B8" w14:textId="4207104E" w:rsidR="001172B3" w:rsidRPr="00F770C6" w:rsidRDefault="00A03F4F"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944" w:type="dxa"/>
          </w:tcPr>
          <w:p w14:paraId="2200B7B0" w14:textId="240951A3" w:rsidR="001172B3" w:rsidRPr="00F770C6" w:rsidRDefault="00A03F4F"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r>
      <w:tr w:rsidR="009F6E5E" w:rsidRPr="00F770C6" w14:paraId="33D5CD05" w14:textId="77777777" w:rsidTr="003F0DB5">
        <w:tc>
          <w:tcPr>
            <w:tcW w:w="3686" w:type="dxa"/>
          </w:tcPr>
          <w:p w14:paraId="004E9A13" w14:textId="7CFD77FA" w:rsidR="009F6E5E" w:rsidRPr="00F770C6" w:rsidRDefault="00FE5289" w:rsidP="00034844">
            <w:pPr>
              <w:widowControl w:val="0"/>
              <w:jc w:val="both"/>
              <w:rPr>
                <w:rFonts w:asciiTheme="minorHAnsi" w:hAnsiTheme="minorHAnsi" w:cstheme="minorHAnsi"/>
                <w:sz w:val="20"/>
                <w:szCs w:val="20"/>
              </w:rPr>
            </w:pPr>
            <w:r w:rsidRPr="00F770C6">
              <w:rPr>
                <w:rFonts w:asciiTheme="minorHAnsi" w:hAnsiTheme="minorHAnsi" w:cstheme="minorHAnsi"/>
                <w:sz w:val="20"/>
                <w:szCs w:val="20"/>
              </w:rPr>
              <w:t>Borrowings</w:t>
            </w:r>
          </w:p>
        </w:tc>
        <w:tc>
          <w:tcPr>
            <w:tcW w:w="1134" w:type="dxa"/>
          </w:tcPr>
          <w:p w14:paraId="62798545" w14:textId="46948C34" w:rsidR="009F6E5E" w:rsidRPr="00F770C6" w:rsidRDefault="008563B7"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2,415,000</w:t>
            </w:r>
          </w:p>
        </w:tc>
        <w:tc>
          <w:tcPr>
            <w:tcW w:w="1134" w:type="dxa"/>
          </w:tcPr>
          <w:p w14:paraId="6AFA9503" w14:textId="67DEB70D" w:rsidR="009F6E5E" w:rsidRPr="00F770C6" w:rsidRDefault="008563B7"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5" w:type="dxa"/>
          </w:tcPr>
          <w:p w14:paraId="2A33805D" w14:textId="5F9D0E82" w:rsidR="009F6E5E" w:rsidRPr="00F770C6" w:rsidRDefault="009F6E5E"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9" w:type="dxa"/>
          </w:tcPr>
          <w:p w14:paraId="14D03566" w14:textId="27426E84" w:rsidR="009F6E5E" w:rsidRPr="00F770C6" w:rsidRDefault="009F6E5E"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944" w:type="dxa"/>
          </w:tcPr>
          <w:p w14:paraId="129D33B8" w14:textId="3A9676E6" w:rsidR="009F6E5E" w:rsidRPr="00F770C6" w:rsidRDefault="009F6E5E"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r>
      <w:tr w:rsidR="001172B3" w:rsidRPr="00F770C6" w14:paraId="10D9164C" w14:textId="77777777" w:rsidTr="003F0DB5">
        <w:trPr>
          <w:trHeight w:val="132"/>
        </w:trPr>
        <w:tc>
          <w:tcPr>
            <w:tcW w:w="3686" w:type="dxa"/>
            <w:tcBorders>
              <w:right w:val="single" w:sz="4" w:space="0" w:color="auto"/>
            </w:tcBorders>
          </w:tcPr>
          <w:p w14:paraId="71307FFB" w14:textId="4FF2267F" w:rsidR="001172B3" w:rsidRPr="00F770C6" w:rsidRDefault="001172B3" w:rsidP="00034844">
            <w:pPr>
              <w:widowControl w:val="0"/>
              <w:jc w:val="both"/>
              <w:rPr>
                <w:rFonts w:asciiTheme="minorHAnsi" w:hAnsiTheme="minorHAnsi" w:cstheme="minorHAnsi"/>
                <w:sz w:val="20"/>
                <w:szCs w:val="20"/>
              </w:rPr>
            </w:pPr>
            <w:r w:rsidRPr="00F770C6">
              <w:rPr>
                <w:rFonts w:asciiTheme="minorHAnsi" w:hAnsiTheme="minorHAnsi" w:cstheme="minorHAnsi"/>
                <w:sz w:val="20"/>
                <w:szCs w:val="20"/>
              </w:rPr>
              <w:t>Total</w:t>
            </w:r>
          </w:p>
        </w:tc>
        <w:tc>
          <w:tcPr>
            <w:tcW w:w="1134" w:type="dxa"/>
            <w:tcBorders>
              <w:top w:val="single" w:sz="4" w:space="0" w:color="auto"/>
              <w:left w:val="single" w:sz="4" w:space="0" w:color="auto"/>
              <w:bottom w:val="single" w:sz="4" w:space="0" w:color="auto"/>
            </w:tcBorders>
          </w:tcPr>
          <w:p w14:paraId="6CAABB70" w14:textId="2AB5AA1C" w:rsidR="001172B3" w:rsidRPr="00F770C6" w:rsidRDefault="00F770C6"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8,938,526</w:t>
            </w:r>
          </w:p>
        </w:tc>
        <w:tc>
          <w:tcPr>
            <w:tcW w:w="1134" w:type="dxa"/>
            <w:tcBorders>
              <w:top w:val="single" w:sz="4" w:space="0" w:color="auto"/>
              <w:bottom w:val="single" w:sz="4" w:space="0" w:color="auto"/>
            </w:tcBorders>
          </w:tcPr>
          <w:p w14:paraId="6CE5B03F" w14:textId="66214B62" w:rsidR="001172B3" w:rsidRPr="00F770C6" w:rsidRDefault="008563B7"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5" w:type="dxa"/>
            <w:tcBorders>
              <w:top w:val="single" w:sz="4" w:space="0" w:color="auto"/>
              <w:bottom w:val="single" w:sz="4" w:space="0" w:color="auto"/>
            </w:tcBorders>
          </w:tcPr>
          <w:p w14:paraId="42A744C4" w14:textId="67EF8521" w:rsidR="001172B3" w:rsidRPr="00F770C6" w:rsidRDefault="00923BB9"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9" w:type="dxa"/>
            <w:tcBorders>
              <w:top w:val="single" w:sz="4" w:space="0" w:color="auto"/>
              <w:bottom w:val="single" w:sz="4" w:space="0" w:color="auto"/>
            </w:tcBorders>
          </w:tcPr>
          <w:p w14:paraId="2605F1FD" w14:textId="408A24F7" w:rsidR="001172B3" w:rsidRPr="00F770C6" w:rsidRDefault="00A03F4F"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944" w:type="dxa"/>
            <w:tcBorders>
              <w:top w:val="single" w:sz="4" w:space="0" w:color="auto"/>
              <w:bottom w:val="single" w:sz="4" w:space="0" w:color="auto"/>
              <w:right w:val="single" w:sz="4" w:space="0" w:color="auto"/>
            </w:tcBorders>
          </w:tcPr>
          <w:p w14:paraId="4D214822" w14:textId="173F33DA" w:rsidR="001172B3" w:rsidRPr="00F770C6" w:rsidRDefault="00A03F4F" w:rsidP="00034844">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r>
    </w:tbl>
    <w:p w14:paraId="15A7220B" w14:textId="47365AB8" w:rsidR="001172B3" w:rsidRPr="00F770C6" w:rsidRDefault="001172B3" w:rsidP="00034844">
      <w:pPr>
        <w:widowControl w:val="0"/>
        <w:ind w:left="567"/>
        <w:jc w:val="both"/>
        <w:rPr>
          <w:rFonts w:asciiTheme="minorHAnsi" w:hAnsiTheme="minorHAnsi" w:cstheme="minorHAnsi"/>
          <w:sz w:val="20"/>
          <w:szCs w:val="20"/>
        </w:rPr>
      </w:pPr>
    </w:p>
    <w:p w14:paraId="0B4329ED" w14:textId="77777777" w:rsidR="00886429" w:rsidRPr="00F770C6" w:rsidRDefault="00886429" w:rsidP="00034844">
      <w:pPr>
        <w:widowControl w:val="0"/>
        <w:ind w:left="567"/>
        <w:jc w:val="both"/>
        <w:rPr>
          <w:rFonts w:asciiTheme="minorHAnsi" w:hAnsiTheme="minorHAnsi" w:cstheme="minorHAnsi"/>
          <w:sz w:val="20"/>
          <w:szCs w:val="20"/>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1835"/>
        <w:gridCol w:w="1229"/>
        <w:gridCol w:w="1078"/>
        <w:gridCol w:w="1083"/>
        <w:gridCol w:w="852"/>
      </w:tblGrid>
      <w:tr w:rsidR="00316A00" w:rsidRPr="00F770C6" w14:paraId="3E73FC9E" w14:textId="77777777" w:rsidTr="00AB089F">
        <w:tc>
          <w:tcPr>
            <w:tcW w:w="2983" w:type="dxa"/>
          </w:tcPr>
          <w:p w14:paraId="5F62B6A8" w14:textId="77777777" w:rsidR="00316A00" w:rsidRPr="00F770C6" w:rsidRDefault="00316A00" w:rsidP="00F40FC5">
            <w:pPr>
              <w:widowControl w:val="0"/>
              <w:jc w:val="right"/>
              <w:rPr>
                <w:rFonts w:asciiTheme="minorHAnsi" w:hAnsiTheme="minorHAnsi" w:cstheme="minorHAnsi"/>
                <w:b/>
                <w:sz w:val="20"/>
                <w:szCs w:val="20"/>
              </w:rPr>
            </w:pPr>
          </w:p>
          <w:p w14:paraId="69064384" w14:textId="77777777" w:rsidR="00316A00" w:rsidRPr="00F770C6" w:rsidRDefault="00316A00" w:rsidP="00F40FC5">
            <w:pPr>
              <w:widowControl w:val="0"/>
              <w:jc w:val="right"/>
              <w:rPr>
                <w:rFonts w:asciiTheme="minorHAnsi" w:hAnsiTheme="minorHAnsi" w:cstheme="minorHAnsi"/>
                <w:b/>
                <w:sz w:val="20"/>
                <w:szCs w:val="20"/>
              </w:rPr>
            </w:pPr>
          </w:p>
          <w:p w14:paraId="3058FBCA" w14:textId="77777777" w:rsidR="00316A00" w:rsidRPr="00F770C6" w:rsidRDefault="00316A00" w:rsidP="00F40FC5">
            <w:pPr>
              <w:widowControl w:val="0"/>
              <w:jc w:val="right"/>
              <w:rPr>
                <w:rFonts w:asciiTheme="minorHAnsi" w:hAnsiTheme="minorHAnsi" w:cstheme="minorHAnsi"/>
                <w:b/>
                <w:sz w:val="20"/>
                <w:szCs w:val="20"/>
              </w:rPr>
            </w:pPr>
          </w:p>
          <w:p w14:paraId="60C0503E" w14:textId="495D4069" w:rsidR="00316A00" w:rsidRPr="00F770C6" w:rsidRDefault="00316A00" w:rsidP="00F40FC5">
            <w:pPr>
              <w:widowControl w:val="0"/>
              <w:rPr>
                <w:rFonts w:asciiTheme="minorHAnsi" w:hAnsiTheme="minorHAnsi" w:cstheme="minorHAnsi"/>
                <w:b/>
                <w:sz w:val="20"/>
                <w:szCs w:val="20"/>
              </w:rPr>
            </w:pPr>
            <w:r w:rsidRPr="00F770C6">
              <w:rPr>
                <w:rFonts w:asciiTheme="minorHAnsi" w:hAnsiTheme="minorHAnsi" w:cstheme="minorHAnsi"/>
                <w:b/>
                <w:sz w:val="20"/>
                <w:szCs w:val="20"/>
              </w:rPr>
              <w:t>20</w:t>
            </w:r>
            <w:r w:rsidR="00AB089F" w:rsidRPr="00F770C6">
              <w:rPr>
                <w:rFonts w:asciiTheme="minorHAnsi" w:hAnsiTheme="minorHAnsi" w:cstheme="minorHAnsi"/>
                <w:b/>
                <w:sz w:val="20"/>
                <w:szCs w:val="20"/>
              </w:rPr>
              <w:t>2</w:t>
            </w:r>
            <w:r w:rsidR="008563B7" w:rsidRPr="00F770C6">
              <w:rPr>
                <w:rFonts w:asciiTheme="minorHAnsi" w:hAnsiTheme="minorHAnsi" w:cstheme="minorHAnsi"/>
                <w:b/>
                <w:sz w:val="20"/>
                <w:szCs w:val="20"/>
              </w:rPr>
              <w:t>1</w:t>
            </w:r>
          </w:p>
        </w:tc>
        <w:tc>
          <w:tcPr>
            <w:tcW w:w="1835" w:type="dxa"/>
          </w:tcPr>
          <w:p w14:paraId="4CD34EE3" w14:textId="77777777" w:rsidR="00316A00" w:rsidRPr="00F770C6" w:rsidRDefault="00316A00" w:rsidP="00F40FC5">
            <w:pPr>
              <w:widowControl w:val="0"/>
              <w:jc w:val="right"/>
              <w:rPr>
                <w:rFonts w:asciiTheme="minorHAnsi" w:hAnsiTheme="minorHAnsi" w:cstheme="minorHAnsi"/>
                <w:b/>
                <w:sz w:val="20"/>
                <w:szCs w:val="20"/>
              </w:rPr>
            </w:pPr>
          </w:p>
          <w:p w14:paraId="618637AD"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Up to </w:t>
            </w:r>
          </w:p>
          <w:p w14:paraId="7512C02F"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3 months</w:t>
            </w:r>
          </w:p>
          <w:p w14:paraId="6B63D132"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w:t>
            </w:r>
          </w:p>
        </w:tc>
        <w:tc>
          <w:tcPr>
            <w:tcW w:w="1229" w:type="dxa"/>
          </w:tcPr>
          <w:p w14:paraId="6F5D4A65"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Between</w:t>
            </w:r>
          </w:p>
          <w:p w14:paraId="68FBFFCC"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3 and 12</w:t>
            </w:r>
          </w:p>
          <w:p w14:paraId="26911FBC"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months</w:t>
            </w:r>
          </w:p>
          <w:p w14:paraId="287B34FB"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w:t>
            </w:r>
          </w:p>
        </w:tc>
        <w:tc>
          <w:tcPr>
            <w:tcW w:w="1078" w:type="dxa"/>
          </w:tcPr>
          <w:p w14:paraId="19AC582E"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Between </w:t>
            </w:r>
          </w:p>
          <w:p w14:paraId="03BF8BC5"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1 and 2</w:t>
            </w:r>
          </w:p>
          <w:p w14:paraId="6661BABD"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years </w:t>
            </w:r>
          </w:p>
          <w:p w14:paraId="4E45CB03"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w:t>
            </w:r>
          </w:p>
        </w:tc>
        <w:tc>
          <w:tcPr>
            <w:tcW w:w="1083" w:type="dxa"/>
          </w:tcPr>
          <w:p w14:paraId="668A1093"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Between </w:t>
            </w:r>
          </w:p>
          <w:p w14:paraId="59AAB31D"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2 and 5 years</w:t>
            </w:r>
          </w:p>
          <w:p w14:paraId="04A645F7"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 £</w:t>
            </w:r>
          </w:p>
        </w:tc>
        <w:tc>
          <w:tcPr>
            <w:tcW w:w="852" w:type="dxa"/>
          </w:tcPr>
          <w:p w14:paraId="79D6D3D1"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 xml:space="preserve">Over 5 years </w:t>
            </w:r>
          </w:p>
          <w:p w14:paraId="4188F6E1" w14:textId="77777777" w:rsidR="00316A00" w:rsidRPr="00F770C6" w:rsidRDefault="00316A00" w:rsidP="00F40FC5">
            <w:pPr>
              <w:widowControl w:val="0"/>
              <w:jc w:val="right"/>
              <w:rPr>
                <w:rFonts w:asciiTheme="minorHAnsi" w:hAnsiTheme="minorHAnsi" w:cstheme="minorHAnsi"/>
                <w:b/>
                <w:sz w:val="20"/>
                <w:szCs w:val="20"/>
              </w:rPr>
            </w:pPr>
            <w:r w:rsidRPr="00F770C6">
              <w:rPr>
                <w:rFonts w:asciiTheme="minorHAnsi" w:hAnsiTheme="minorHAnsi" w:cstheme="minorHAnsi"/>
                <w:b/>
                <w:sz w:val="20"/>
                <w:szCs w:val="20"/>
              </w:rPr>
              <w:t>£</w:t>
            </w:r>
          </w:p>
        </w:tc>
      </w:tr>
      <w:tr w:rsidR="00AB089F" w:rsidRPr="00F770C6" w14:paraId="378D3791" w14:textId="77777777" w:rsidTr="00AB089F">
        <w:tc>
          <w:tcPr>
            <w:tcW w:w="2983" w:type="dxa"/>
          </w:tcPr>
          <w:p w14:paraId="02AEFBF0" w14:textId="77777777" w:rsidR="00AB089F" w:rsidRPr="00F770C6" w:rsidRDefault="00AB089F" w:rsidP="00AB089F">
            <w:pPr>
              <w:widowControl w:val="0"/>
              <w:jc w:val="both"/>
              <w:rPr>
                <w:rFonts w:asciiTheme="minorHAnsi" w:hAnsiTheme="minorHAnsi" w:cstheme="minorHAnsi"/>
                <w:sz w:val="20"/>
                <w:szCs w:val="20"/>
              </w:rPr>
            </w:pPr>
            <w:r w:rsidRPr="00F770C6">
              <w:rPr>
                <w:rFonts w:asciiTheme="minorHAnsi" w:hAnsiTheme="minorHAnsi" w:cstheme="minorHAnsi"/>
                <w:sz w:val="20"/>
                <w:szCs w:val="20"/>
              </w:rPr>
              <w:t>Trade and other payables</w:t>
            </w:r>
          </w:p>
        </w:tc>
        <w:tc>
          <w:tcPr>
            <w:tcW w:w="1835" w:type="dxa"/>
          </w:tcPr>
          <w:p w14:paraId="0E03E50E" w14:textId="081FA9AD" w:rsidR="00AB089F" w:rsidRPr="00F770C6" w:rsidRDefault="008563B7"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5</w:t>
            </w:r>
            <w:r w:rsidR="00AB089F" w:rsidRPr="00F770C6">
              <w:rPr>
                <w:rFonts w:asciiTheme="minorHAnsi" w:hAnsiTheme="minorHAnsi" w:cstheme="minorHAnsi"/>
                <w:sz w:val="20"/>
                <w:szCs w:val="20"/>
              </w:rPr>
              <w:t>,</w:t>
            </w:r>
            <w:r w:rsidRPr="00F770C6">
              <w:rPr>
                <w:rFonts w:asciiTheme="minorHAnsi" w:hAnsiTheme="minorHAnsi" w:cstheme="minorHAnsi"/>
                <w:sz w:val="20"/>
                <w:szCs w:val="20"/>
              </w:rPr>
              <w:t>88</w:t>
            </w:r>
            <w:r w:rsidR="00AB089F" w:rsidRPr="00F770C6">
              <w:rPr>
                <w:rFonts w:asciiTheme="minorHAnsi" w:hAnsiTheme="minorHAnsi" w:cstheme="minorHAnsi"/>
                <w:sz w:val="20"/>
                <w:szCs w:val="20"/>
              </w:rPr>
              <w:t>1</w:t>
            </w:r>
            <w:r w:rsidRPr="00F770C6">
              <w:rPr>
                <w:rFonts w:asciiTheme="minorHAnsi" w:hAnsiTheme="minorHAnsi" w:cstheme="minorHAnsi"/>
                <w:sz w:val="20"/>
                <w:szCs w:val="20"/>
              </w:rPr>
              <w:t>,</w:t>
            </w:r>
            <w:r w:rsidR="000D2082" w:rsidRPr="00F770C6">
              <w:rPr>
                <w:rFonts w:asciiTheme="minorHAnsi" w:hAnsiTheme="minorHAnsi" w:cstheme="minorHAnsi"/>
                <w:sz w:val="20"/>
                <w:szCs w:val="20"/>
              </w:rPr>
              <w:t>4</w:t>
            </w:r>
            <w:r w:rsidRPr="00F770C6">
              <w:rPr>
                <w:rFonts w:asciiTheme="minorHAnsi" w:hAnsiTheme="minorHAnsi" w:cstheme="minorHAnsi"/>
                <w:sz w:val="20"/>
                <w:szCs w:val="20"/>
              </w:rPr>
              <w:t>69</w:t>
            </w:r>
          </w:p>
        </w:tc>
        <w:tc>
          <w:tcPr>
            <w:tcW w:w="1229" w:type="dxa"/>
          </w:tcPr>
          <w:p w14:paraId="46770CC6" w14:textId="125E594E" w:rsidR="00AB089F" w:rsidRPr="00F770C6" w:rsidRDefault="008563B7"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78" w:type="dxa"/>
          </w:tcPr>
          <w:p w14:paraId="6031EBBC" w14:textId="77777777"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3" w:type="dxa"/>
          </w:tcPr>
          <w:p w14:paraId="762D6309" w14:textId="77777777"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852" w:type="dxa"/>
          </w:tcPr>
          <w:p w14:paraId="463D4502" w14:textId="77777777"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r>
      <w:tr w:rsidR="00AB089F" w:rsidRPr="00F770C6" w14:paraId="049E823C" w14:textId="77777777" w:rsidTr="00AB089F">
        <w:tc>
          <w:tcPr>
            <w:tcW w:w="2983" w:type="dxa"/>
          </w:tcPr>
          <w:p w14:paraId="3E1E80B2" w14:textId="03A295AB" w:rsidR="00AB089F" w:rsidRPr="00F770C6" w:rsidDel="001A77D5" w:rsidRDefault="00AB089F" w:rsidP="00AB089F">
            <w:pPr>
              <w:widowControl w:val="0"/>
              <w:jc w:val="both"/>
              <w:rPr>
                <w:rFonts w:asciiTheme="minorHAnsi" w:hAnsiTheme="minorHAnsi" w:cstheme="minorHAnsi"/>
                <w:sz w:val="20"/>
                <w:szCs w:val="20"/>
              </w:rPr>
            </w:pPr>
            <w:r w:rsidRPr="00F770C6">
              <w:rPr>
                <w:rFonts w:asciiTheme="minorHAnsi" w:hAnsiTheme="minorHAnsi" w:cstheme="minorHAnsi"/>
                <w:sz w:val="20"/>
                <w:szCs w:val="20"/>
              </w:rPr>
              <w:t>Borrowings</w:t>
            </w:r>
          </w:p>
        </w:tc>
        <w:tc>
          <w:tcPr>
            <w:tcW w:w="1835" w:type="dxa"/>
          </w:tcPr>
          <w:p w14:paraId="333C01DC" w14:textId="3FDF1FC8" w:rsidR="00AB089F" w:rsidRPr="00F770C6" w:rsidRDefault="008563B7"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2</w:t>
            </w:r>
            <w:r w:rsidR="00AB089F" w:rsidRPr="00F770C6">
              <w:rPr>
                <w:rFonts w:asciiTheme="minorHAnsi" w:hAnsiTheme="minorHAnsi" w:cstheme="minorHAnsi"/>
                <w:sz w:val="20"/>
                <w:szCs w:val="20"/>
              </w:rPr>
              <w:t>,</w:t>
            </w:r>
            <w:r w:rsidRPr="00F770C6">
              <w:rPr>
                <w:rFonts w:asciiTheme="minorHAnsi" w:hAnsiTheme="minorHAnsi" w:cstheme="minorHAnsi"/>
                <w:sz w:val="20"/>
                <w:szCs w:val="20"/>
              </w:rPr>
              <w:t>41</w:t>
            </w:r>
            <w:r w:rsidR="00AB089F" w:rsidRPr="00F770C6">
              <w:rPr>
                <w:rFonts w:asciiTheme="minorHAnsi" w:hAnsiTheme="minorHAnsi" w:cstheme="minorHAnsi"/>
                <w:sz w:val="20"/>
                <w:szCs w:val="20"/>
              </w:rPr>
              <w:t>5,000</w:t>
            </w:r>
          </w:p>
        </w:tc>
        <w:tc>
          <w:tcPr>
            <w:tcW w:w="1229" w:type="dxa"/>
          </w:tcPr>
          <w:p w14:paraId="20201C8E" w14:textId="79C5E773" w:rsidR="00AB089F" w:rsidRPr="00F770C6" w:rsidRDefault="008563B7"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78" w:type="dxa"/>
          </w:tcPr>
          <w:p w14:paraId="0AF43FF1" w14:textId="39E4ED25"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3" w:type="dxa"/>
          </w:tcPr>
          <w:p w14:paraId="5745B78C" w14:textId="1E6A772A"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852" w:type="dxa"/>
          </w:tcPr>
          <w:p w14:paraId="289F5C23" w14:textId="756A4E1C"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r>
      <w:tr w:rsidR="00AB089F" w:rsidRPr="00F770C6" w14:paraId="43CF60EA" w14:textId="77777777" w:rsidTr="00AB089F">
        <w:trPr>
          <w:trHeight w:val="132"/>
        </w:trPr>
        <w:tc>
          <w:tcPr>
            <w:tcW w:w="2983" w:type="dxa"/>
            <w:tcBorders>
              <w:right w:val="single" w:sz="4" w:space="0" w:color="auto"/>
            </w:tcBorders>
          </w:tcPr>
          <w:p w14:paraId="65260E9D" w14:textId="77777777" w:rsidR="00AB089F" w:rsidRPr="00F770C6" w:rsidRDefault="00AB089F" w:rsidP="00AB089F">
            <w:pPr>
              <w:widowControl w:val="0"/>
              <w:jc w:val="both"/>
              <w:rPr>
                <w:rFonts w:asciiTheme="minorHAnsi" w:hAnsiTheme="minorHAnsi" w:cstheme="minorHAnsi"/>
                <w:sz w:val="20"/>
                <w:szCs w:val="20"/>
              </w:rPr>
            </w:pPr>
            <w:r w:rsidRPr="00F770C6">
              <w:rPr>
                <w:rFonts w:asciiTheme="minorHAnsi" w:hAnsiTheme="minorHAnsi" w:cstheme="minorHAnsi"/>
                <w:sz w:val="20"/>
                <w:szCs w:val="20"/>
              </w:rPr>
              <w:t>Total</w:t>
            </w:r>
          </w:p>
        </w:tc>
        <w:tc>
          <w:tcPr>
            <w:tcW w:w="1835" w:type="dxa"/>
            <w:tcBorders>
              <w:top w:val="single" w:sz="4" w:space="0" w:color="auto"/>
              <w:left w:val="single" w:sz="4" w:space="0" w:color="auto"/>
              <w:bottom w:val="single" w:sz="4" w:space="0" w:color="auto"/>
            </w:tcBorders>
          </w:tcPr>
          <w:p w14:paraId="000B8E8E" w14:textId="78DAD47C" w:rsidR="00AB089F" w:rsidRPr="00F770C6" w:rsidRDefault="008563B7"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8</w:t>
            </w:r>
            <w:r w:rsidR="00AB089F" w:rsidRPr="00F770C6">
              <w:rPr>
                <w:rFonts w:asciiTheme="minorHAnsi" w:hAnsiTheme="minorHAnsi" w:cstheme="minorHAnsi"/>
                <w:sz w:val="20"/>
                <w:szCs w:val="20"/>
              </w:rPr>
              <w:t>,</w:t>
            </w:r>
            <w:r w:rsidRPr="00F770C6">
              <w:rPr>
                <w:rFonts w:asciiTheme="minorHAnsi" w:hAnsiTheme="minorHAnsi" w:cstheme="minorHAnsi"/>
                <w:sz w:val="20"/>
                <w:szCs w:val="20"/>
              </w:rPr>
              <w:t>29</w:t>
            </w:r>
            <w:r w:rsidR="00E27783" w:rsidRPr="00F770C6">
              <w:rPr>
                <w:rFonts w:asciiTheme="minorHAnsi" w:hAnsiTheme="minorHAnsi" w:cstheme="minorHAnsi"/>
                <w:sz w:val="20"/>
                <w:szCs w:val="20"/>
              </w:rPr>
              <w:t>6</w:t>
            </w:r>
            <w:r w:rsidR="00AB089F" w:rsidRPr="00F770C6">
              <w:rPr>
                <w:rFonts w:asciiTheme="minorHAnsi" w:hAnsiTheme="minorHAnsi" w:cstheme="minorHAnsi"/>
                <w:sz w:val="20"/>
                <w:szCs w:val="20"/>
              </w:rPr>
              <w:t>,</w:t>
            </w:r>
            <w:r w:rsidR="000D2082" w:rsidRPr="00F770C6">
              <w:rPr>
                <w:rFonts w:asciiTheme="minorHAnsi" w:hAnsiTheme="minorHAnsi" w:cstheme="minorHAnsi"/>
                <w:sz w:val="20"/>
                <w:szCs w:val="20"/>
              </w:rPr>
              <w:t>4</w:t>
            </w:r>
            <w:r w:rsidRPr="00F770C6">
              <w:rPr>
                <w:rFonts w:asciiTheme="minorHAnsi" w:hAnsiTheme="minorHAnsi" w:cstheme="minorHAnsi"/>
                <w:sz w:val="20"/>
                <w:szCs w:val="20"/>
              </w:rPr>
              <w:t>69</w:t>
            </w:r>
          </w:p>
        </w:tc>
        <w:tc>
          <w:tcPr>
            <w:tcW w:w="1229" w:type="dxa"/>
            <w:tcBorders>
              <w:top w:val="single" w:sz="4" w:space="0" w:color="auto"/>
              <w:bottom w:val="single" w:sz="4" w:space="0" w:color="auto"/>
            </w:tcBorders>
          </w:tcPr>
          <w:p w14:paraId="5668982E" w14:textId="54CD2260" w:rsidR="00AB089F" w:rsidRPr="00F770C6" w:rsidRDefault="008563B7"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78" w:type="dxa"/>
            <w:tcBorders>
              <w:top w:val="single" w:sz="4" w:space="0" w:color="auto"/>
              <w:bottom w:val="single" w:sz="4" w:space="0" w:color="auto"/>
            </w:tcBorders>
          </w:tcPr>
          <w:p w14:paraId="05A2F834" w14:textId="7753F874"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1083" w:type="dxa"/>
            <w:tcBorders>
              <w:top w:val="single" w:sz="4" w:space="0" w:color="auto"/>
              <w:bottom w:val="single" w:sz="4" w:space="0" w:color="auto"/>
            </w:tcBorders>
          </w:tcPr>
          <w:p w14:paraId="58189BAF" w14:textId="77777777"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c>
          <w:tcPr>
            <w:tcW w:w="852" w:type="dxa"/>
            <w:tcBorders>
              <w:top w:val="single" w:sz="4" w:space="0" w:color="auto"/>
              <w:bottom w:val="single" w:sz="4" w:space="0" w:color="auto"/>
              <w:right w:val="single" w:sz="4" w:space="0" w:color="auto"/>
            </w:tcBorders>
          </w:tcPr>
          <w:p w14:paraId="43197CA3" w14:textId="77777777" w:rsidR="00AB089F" w:rsidRPr="00F770C6" w:rsidRDefault="00AB089F" w:rsidP="00AB089F">
            <w:pPr>
              <w:widowControl w:val="0"/>
              <w:jc w:val="right"/>
              <w:rPr>
                <w:rFonts w:asciiTheme="minorHAnsi" w:hAnsiTheme="minorHAnsi" w:cstheme="minorHAnsi"/>
                <w:sz w:val="20"/>
                <w:szCs w:val="20"/>
              </w:rPr>
            </w:pPr>
            <w:r w:rsidRPr="00F770C6">
              <w:rPr>
                <w:rFonts w:asciiTheme="minorHAnsi" w:hAnsiTheme="minorHAnsi" w:cstheme="minorHAnsi"/>
                <w:sz w:val="20"/>
                <w:szCs w:val="20"/>
              </w:rPr>
              <w:t>-</w:t>
            </w:r>
          </w:p>
        </w:tc>
      </w:tr>
    </w:tbl>
    <w:p w14:paraId="035B4495" w14:textId="77777777" w:rsidR="00316A00" w:rsidRPr="00F770C6" w:rsidRDefault="00316A00" w:rsidP="00034844">
      <w:pPr>
        <w:widowControl w:val="0"/>
        <w:ind w:left="567"/>
        <w:jc w:val="both"/>
        <w:rPr>
          <w:rFonts w:asciiTheme="minorHAnsi" w:hAnsiTheme="minorHAnsi" w:cstheme="minorHAnsi"/>
          <w:sz w:val="20"/>
          <w:szCs w:val="20"/>
        </w:rPr>
      </w:pPr>
    </w:p>
    <w:p w14:paraId="0246A624" w14:textId="353A23A1" w:rsidR="001172B3" w:rsidRPr="00F770C6" w:rsidRDefault="001172B3" w:rsidP="00034844">
      <w:pPr>
        <w:widowControl w:val="0"/>
        <w:ind w:left="567"/>
        <w:jc w:val="both"/>
        <w:rPr>
          <w:rFonts w:asciiTheme="minorHAnsi" w:hAnsiTheme="minorHAnsi" w:cstheme="minorHAnsi"/>
          <w:sz w:val="20"/>
          <w:szCs w:val="20"/>
        </w:rPr>
      </w:pPr>
      <w:r w:rsidRPr="00F770C6">
        <w:rPr>
          <w:rFonts w:asciiTheme="minorHAnsi" w:hAnsiTheme="minorHAnsi" w:cstheme="minorHAnsi"/>
          <w:sz w:val="20"/>
          <w:szCs w:val="20"/>
        </w:rPr>
        <w:t>More details in regard to the line items are included in the respective notes:</w:t>
      </w:r>
    </w:p>
    <w:p w14:paraId="12759D2D" w14:textId="451B77FA" w:rsidR="001172B3" w:rsidRPr="00F770C6" w:rsidRDefault="001172B3" w:rsidP="00034844">
      <w:pPr>
        <w:widowControl w:val="0"/>
        <w:ind w:left="567"/>
        <w:jc w:val="both"/>
        <w:rPr>
          <w:rFonts w:asciiTheme="minorHAnsi" w:hAnsiTheme="minorHAnsi" w:cstheme="minorHAnsi"/>
          <w:sz w:val="20"/>
          <w:szCs w:val="20"/>
        </w:rPr>
      </w:pPr>
    </w:p>
    <w:p w14:paraId="49D6873D" w14:textId="7405E7F3" w:rsidR="001172B3" w:rsidRPr="00F770C6" w:rsidRDefault="001172B3" w:rsidP="0081465D">
      <w:pPr>
        <w:pStyle w:val="ListParagraph"/>
        <w:widowControl w:val="0"/>
        <w:numPr>
          <w:ilvl w:val="0"/>
          <w:numId w:val="7"/>
        </w:numPr>
        <w:jc w:val="both"/>
        <w:rPr>
          <w:rFonts w:asciiTheme="minorHAnsi" w:hAnsiTheme="minorHAnsi" w:cstheme="minorHAnsi"/>
          <w:sz w:val="20"/>
          <w:szCs w:val="20"/>
        </w:rPr>
      </w:pPr>
      <w:r w:rsidRPr="00F770C6">
        <w:rPr>
          <w:rFonts w:asciiTheme="minorHAnsi" w:hAnsiTheme="minorHAnsi" w:cstheme="minorHAnsi"/>
          <w:sz w:val="20"/>
          <w:szCs w:val="20"/>
        </w:rPr>
        <w:t xml:space="preserve">Trade and other payables – note </w:t>
      </w:r>
      <w:r w:rsidR="00EA424D" w:rsidRPr="00F770C6">
        <w:rPr>
          <w:rFonts w:asciiTheme="minorHAnsi" w:hAnsiTheme="minorHAnsi" w:cstheme="minorHAnsi"/>
          <w:sz w:val="20"/>
          <w:szCs w:val="20"/>
        </w:rPr>
        <w:t>1</w:t>
      </w:r>
      <w:r w:rsidR="00F770C6">
        <w:rPr>
          <w:rFonts w:asciiTheme="minorHAnsi" w:hAnsiTheme="minorHAnsi" w:cstheme="minorHAnsi"/>
          <w:sz w:val="20"/>
          <w:szCs w:val="20"/>
        </w:rPr>
        <w:t>5</w:t>
      </w:r>
    </w:p>
    <w:p w14:paraId="4404E04A" w14:textId="1EABA50E" w:rsidR="001172B3" w:rsidRPr="00F770C6" w:rsidRDefault="001172B3" w:rsidP="0081465D">
      <w:pPr>
        <w:pStyle w:val="ListParagraph"/>
        <w:widowControl w:val="0"/>
        <w:numPr>
          <w:ilvl w:val="0"/>
          <w:numId w:val="7"/>
        </w:numPr>
        <w:jc w:val="both"/>
        <w:rPr>
          <w:rFonts w:asciiTheme="minorHAnsi" w:hAnsiTheme="minorHAnsi" w:cstheme="minorHAnsi"/>
          <w:sz w:val="20"/>
          <w:szCs w:val="20"/>
        </w:rPr>
      </w:pPr>
      <w:r w:rsidRPr="00F770C6">
        <w:rPr>
          <w:rFonts w:asciiTheme="minorHAnsi" w:hAnsiTheme="minorHAnsi" w:cstheme="minorHAnsi"/>
          <w:sz w:val="20"/>
          <w:szCs w:val="20"/>
        </w:rPr>
        <w:t xml:space="preserve">Loan and borrowings – note </w:t>
      </w:r>
      <w:r w:rsidR="00AE7DA9" w:rsidRPr="00F770C6">
        <w:rPr>
          <w:rFonts w:asciiTheme="minorHAnsi" w:hAnsiTheme="minorHAnsi" w:cstheme="minorHAnsi"/>
          <w:sz w:val="20"/>
          <w:szCs w:val="20"/>
        </w:rPr>
        <w:t>1</w:t>
      </w:r>
      <w:r w:rsidR="00F770C6">
        <w:rPr>
          <w:rFonts w:asciiTheme="minorHAnsi" w:hAnsiTheme="minorHAnsi" w:cstheme="minorHAnsi"/>
          <w:sz w:val="20"/>
          <w:szCs w:val="20"/>
        </w:rPr>
        <w:t>6</w:t>
      </w:r>
    </w:p>
    <w:p w14:paraId="3FD475BD" w14:textId="35242004" w:rsidR="00AF590D" w:rsidRPr="00322D9C" w:rsidRDefault="00AF590D" w:rsidP="00AF590D">
      <w:pPr>
        <w:widowControl w:val="0"/>
        <w:jc w:val="both"/>
        <w:rPr>
          <w:rFonts w:asciiTheme="minorHAnsi" w:hAnsiTheme="minorHAnsi" w:cstheme="minorHAnsi"/>
          <w:sz w:val="20"/>
          <w:szCs w:val="20"/>
        </w:rPr>
      </w:pPr>
    </w:p>
    <w:p w14:paraId="45ED0129" w14:textId="0DA9B4C3" w:rsidR="00AF590D" w:rsidRPr="00322D9C" w:rsidRDefault="00AF590D" w:rsidP="00AF590D">
      <w:pPr>
        <w:widowControl w:val="0"/>
        <w:ind w:left="567"/>
        <w:jc w:val="both"/>
        <w:rPr>
          <w:rFonts w:asciiTheme="minorHAnsi" w:hAnsiTheme="minorHAnsi" w:cstheme="minorHAnsi"/>
          <w:sz w:val="20"/>
          <w:szCs w:val="20"/>
        </w:rPr>
      </w:pPr>
      <w:r w:rsidRPr="00322D9C">
        <w:rPr>
          <w:rFonts w:asciiTheme="minorHAnsi" w:hAnsiTheme="minorHAnsi" w:cstheme="minorHAnsi"/>
          <w:sz w:val="20"/>
          <w:szCs w:val="20"/>
        </w:rPr>
        <w:t>At the balance sheet date, the Group had liabilities due for settlement within 3 months of £</w:t>
      </w:r>
      <w:r w:rsidR="008563B7" w:rsidRPr="00322D9C">
        <w:rPr>
          <w:rFonts w:asciiTheme="minorHAnsi" w:hAnsiTheme="minorHAnsi" w:cstheme="minorHAnsi"/>
          <w:sz w:val="20"/>
          <w:szCs w:val="20"/>
        </w:rPr>
        <w:t>8</w:t>
      </w:r>
      <w:r w:rsidR="00AF4BF7" w:rsidRPr="00322D9C">
        <w:rPr>
          <w:rFonts w:asciiTheme="minorHAnsi" w:hAnsiTheme="minorHAnsi" w:cstheme="minorHAnsi"/>
          <w:sz w:val="20"/>
          <w:szCs w:val="20"/>
        </w:rPr>
        <w:t>,</w:t>
      </w:r>
      <w:r w:rsidR="00322D9C" w:rsidRPr="00322D9C">
        <w:rPr>
          <w:rFonts w:asciiTheme="minorHAnsi" w:hAnsiTheme="minorHAnsi" w:cstheme="minorHAnsi"/>
          <w:sz w:val="20"/>
          <w:szCs w:val="20"/>
        </w:rPr>
        <w:t>938,526</w:t>
      </w:r>
      <w:r w:rsidRPr="00322D9C">
        <w:rPr>
          <w:rFonts w:asciiTheme="minorHAnsi" w:hAnsiTheme="minorHAnsi" w:cstheme="minorHAnsi"/>
          <w:sz w:val="20"/>
          <w:szCs w:val="20"/>
        </w:rPr>
        <w:t>, compared to a cash balance of £</w:t>
      </w:r>
      <w:r w:rsidR="008563B7" w:rsidRPr="00322D9C">
        <w:rPr>
          <w:rFonts w:asciiTheme="minorHAnsi" w:hAnsiTheme="minorHAnsi" w:cstheme="minorHAnsi"/>
          <w:sz w:val="20"/>
          <w:szCs w:val="20"/>
        </w:rPr>
        <w:t>5</w:t>
      </w:r>
      <w:r w:rsidRPr="00322D9C">
        <w:rPr>
          <w:rFonts w:asciiTheme="minorHAnsi" w:hAnsiTheme="minorHAnsi" w:cstheme="minorHAnsi"/>
          <w:sz w:val="20"/>
          <w:szCs w:val="20"/>
        </w:rPr>
        <w:t xml:space="preserve">. Since the </w:t>
      </w:r>
      <w:r w:rsidR="001C0A5F" w:rsidRPr="00322D9C">
        <w:rPr>
          <w:rFonts w:asciiTheme="minorHAnsi" w:hAnsiTheme="minorHAnsi" w:cstheme="minorHAnsi"/>
          <w:sz w:val="20"/>
          <w:szCs w:val="20"/>
        </w:rPr>
        <w:t>year</w:t>
      </w:r>
      <w:r w:rsidRPr="00322D9C">
        <w:rPr>
          <w:rFonts w:asciiTheme="minorHAnsi" w:hAnsiTheme="minorHAnsi" w:cstheme="minorHAnsi"/>
          <w:sz w:val="20"/>
          <w:szCs w:val="20"/>
        </w:rPr>
        <w:t xml:space="preserve"> end, the Group have renegotiated repayment terms with suppliers and have arranged a further funding agreement to ensure that operating costs and legacy liabilities can be settled.</w:t>
      </w:r>
    </w:p>
    <w:p w14:paraId="4ED6FDC2" w14:textId="28D1EA72" w:rsidR="00B271A1" w:rsidRPr="00322D9C" w:rsidRDefault="00B271A1" w:rsidP="00AF590D">
      <w:pPr>
        <w:widowControl w:val="0"/>
        <w:ind w:left="567"/>
        <w:jc w:val="both"/>
        <w:rPr>
          <w:rFonts w:asciiTheme="minorHAnsi" w:hAnsiTheme="minorHAnsi" w:cstheme="minorHAnsi"/>
          <w:sz w:val="20"/>
          <w:szCs w:val="20"/>
        </w:rPr>
      </w:pPr>
    </w:p>
    <w:p w14:paraId="181BF1A1" w14:textId="464D36FE" w:rsidR="00B271A1" w:rsidRPr="00322D9C" w:rsidRDefault="00B271A1" w:rsidP="00AF590D">
      <w:pPr>
        <w:widowControl w:val="0"/>
        <w:ind w:left="567"/>
        <w:jc w:val="both"/>
        <w:rPr>
          <w:rFonts w:asciiTheme="minorHAnsi" w:hAnsiTheme="minorHAnsi" w:cstheme="minorHAnsi"/>
          <w:sz w:val="20"/>
          <w:szCs w:val="20"/>
        </w:rPr>
      </w:pPr>
      <w:r w:rsidRPr="00322D9C">
        <w:rPr>
          <w:rFonts w:asciiTheme="minorHAnsi" w:hAnsiTheme="minorHAnsi" w:cstheme="minorHAnsi"/>
          <w:sz w:val="20"/>
          <w:szCs w:val="20"/>
        </w:rPr>
        <w:t>£</w:t>
      </w:r>
      <w:r w:rsidR="008563B7" w:rsidRPr="00322D9C">
        <w:rPr>
          <w:rFonts w:asciiTheme="minorHAnsi" w:hAnsiTheme="minorHAnsi" w:cstheme="minorHAnsi"/>
          <w:sz w:val="20"/>
          <w:szCs w:val="20"/>
        </w:rPr>
        <w:t>2</w:t>
      </w:r>
      <w:r w:rsidRPr="00322D9C">
        <w:rPr>
          <w:rFonts w:asciiTheme="minorHAnsi" w:hAnsiTheme="minorHAnsi" w:cstheme="minorHAnsi"/>
          <w:sz w:val="20"/>
          <w:szCs w:val="20"/>
        </w:rPr>
        <w:t>,</w:t>
      </w:r>
      <w:r w:rsidR="008563B7" w:rsidRPr="00322D9C">
        <w:rPr>
          <w:rFonts w:asciiTheme="minorHAnsi" w:hAnsiTheme="minorHAnsi" w:cstheme="minorHAnsi"/>
          <w:sz w:val="20"/>
          <w:szCs w:val="20"/>
        </w:rPr>
        <w:t>41</w:t>
      </w:r>
      <w:r w:rsidRPr="00322D9C">
        <w:rPr>
          <w:rFonts w:asciiTheme="minorHAnsi" w:hAnsiTheme="minorHAnsi" w:cstheme="minorHAnsi"/>
          <w:sz w:val="20"/>
          <w:szCs w:val="20"/>
        </w:rPr>
        <w:t xml:space="preserve">5,000 of borrowings </w:t>
      </w:r>
      <w:r w:rsidR="008563B7" w:rsidRPr="00322D9C">
        <w:rPr>
          <w:rFonts w:asciiTheme="minorHAnsi" w:hAnsiTheme="minorHAnsi" w:cstheme="minorHAnsi"/>
          <w:sz w:val="20"/>
          <w:szCs w:val="20"/>
        </w:rPr>
        <w:t>a</w:t>
      </w:r>
      <w:r w:rsidRPr="00322D9C">
        <w:rPr>
          <w:rFonts w:asciiTheme="minorHAnsi" w:hAnsiTheme="minorHAnsi" w:cstheme="minorHAnsi"/>
          <w:sz w:val="20"/>
          <w:szCs w:val="20"/>
        </w:rPr>
        <w:t>re</w:t>
      </w:r>
      <w:r w:rsidR="00373EB4" w:rsidRPr="00322D9C">
        <w:rPr>
          <w:rFonts w:asciiTheme="minorHAnsi" w:hAnsiTheme="minorHAnsi" w:cstheme="minorHAnsi"/>
          <w:sz w:val="20"/>
          <w:szCs w:val="20"/>
        </w:rPr>
        <w:t xml:space="preserve"> </w:t>
      </w:r>
      <w:r w:rsidRPr="00322D9C">
        <w:rPr>
          <w:rFonts w:asciiTheme="minorHAnsi" w:hAnsiTheme="minorHAnsi" w:cstheme="minorHAnsi"/>
          <w:sz w:val="20"/>
          <w:szCs w:val="20"/>
        </w:rPr>
        <w:t>convertible loan notes which can be settled by way of an issue of share capital.</w:t>
      </w:r>
    </w:p>
    <w:p w14:paraId="382C13C0" w14:textId="77777777" w:rsidR="008F0C3C" w:rsidRPr="00786C36" w:rsidRDefault="008F0C3C" w:rsidP="00253A91">
      <w:pPr>
        <w:widowControl w:val="0"/>
        <w:jc w:val="both"/>
        <w:rPr>
          <w:rFonts w:asciiTheme="minorHAnsi" w:hAnsiTheme="minorHAnsi" w:cstheme="minorHAnsi"/>
          <w:b/>
          <w:sz w:val="20"/>
          <w:szCs w:val="20"/>
          <w:highlight w:val="yellow"/>
        </w:rPr>
      </w:pPr>
    </w:p>
    <w:p w14:paraId="0970C57E" w14:textId="19B8CC57" w:rsidR="001172B3" w:rsidRPr="00322D9C" w:rsidRDefault="001172B3" w:rsidP="00034844">
      <w:pPr>
        <w:widowControl w:val="0"/>
        <w:ind w:left="567"/>
        <w:jc w:val="both"/>
        <w:rPr>
          <w:rFonts w:asciiTheme="minorHAnsi" w:hAnsiTheme="minorHAnsi" w:cstheme="minorHAnsi"/>
          <w:b/>
          <w:sz w:val="20"/>
          <w:szCs w:val="20"/>
        </w:rPr>
      </w:pPr>
      <w:r w:rsidRPr="00322D9C">
        <w:rPr>
          <w:rFonts w:asciiTheme="minorHAnsi" w:hAnsiTheme="minorHAnsi" w:cstheme="minorHAnsi"/>
          <w:b/>
          <w:sz w:val="20"/>
          <w:szCs w:val="20"/>
        </w:rPr>
        <w:t>Capital risk management</w:t>
      </w:r>
    </w:p>
    <w:p w14:paraId="2BBF5D14" w14:textId="77777777" w:rsidR="001B7E01" w:rsidRPr="00322D9C" w:rsidRDefault="001B7E01" w:rsidP="001B7E01">
      <w:pPr>
        <w:ind w:left="567"/>
        <w:jc w:val="both"/>
        <w:rPr>
          <w:rFonts w:asciiTheme="minorHAnsi" w:hAnsiTheme="minorHAnsi" w:cstheme="minorHAnsi"/>
          <w:color w:val="000000"/>
        </w:rPr>
      </w:pPr>
      <w:r w:rsidRPr="00322D9C">
        <w:rPr>
          <w:rFonts w:asciiTheme="minorHAnsi" w:hAnsiTheme="minorHAnsi" w:cstheme="minorHAnsi"/>
          <w:color w:val="000000"/>
          <w:sz w:val="20"/>
          <w:szCs w:val="20"/>
        </w:rPr>
        <w:t>The group monitors capital which comprises all components of equity (i.e. share capital, share premium and accumulated deficit).</w:t>
      </w:r>
    </w:p>
    <w:p w14:paraId="67628748" w14:textId="77777777" w:rsidR="001B7E01" w:rsidRPr="00322D9C" w:rsidRDefault="001B7E01" w:rsidP="001B7E01">
      <w:pPr>
        <w:ind w:left="567"/>
        <w:jc w:val="both"/>
        <w:rPr>
          <w:rFonts w:asciiTheme="minorHAnsi" w:hAnsiTheme="minorHAnsi" w:cstheme="minorHAnsi"/>
          <w:color w:val="000000"/>
        </w:rPr>
      </w:pPr>
      <w:r w:rsidRPr="00322D9C">
        <w:rPr>
          <w:rFonts w:asciiTheme="minorHAnsi" w:hAnsiTheme="minorHAnsi" w:cstheme="minorHAnsi"/>
          <w:color w:val="000000"/>
          <w:sz w:val="20"/>
          <w:szCs w:val="20"/>
        </w:rPr>
        <w:t> </w:t>
      </w:r>
    </w:p>
    <w:p w14:paraId="49ECBCC8" w14:textId="77777777" w:rsidR="001B7E01" w:rsidRPr="00322D9C" w:rsidRDefault="001B7E01" w:rsidP="001B7E01">
      <w:pPr>
        <w:ind w:left="567"/>
        <w:jc w:val="both"/>
        <w:rPr>
          <w:rFonts w:asciiTheme="minorHAnsi" w:hAnsiTheme="minorHAnsi" w:cstheme="minorHAnsi"/>
          <w:color w:val="000000"/>
        </w:rPr>
      </w:pPr>
      <w:r w:rsidRPr="00322D9C">
        <w:rPr>
          <w:rFonts w:asciiTheme="minorHAnsi" w:hAnsiTheme="minorHAnsi" w:cstheme="minorHAnsi"/>
          <w:color w:val="000000"/>
          <w:sz w:val="20"/>
          <w:szCs w:val="20"/>
        </w:rPr>
        <w:t>The directors are aware of the need for the Company to obtain capital in order to fund the growth of the business and are in continual discussions with providers of both debt and equity capital.  The directors regularly review the status of such discussions and aim at all times to have offers of capital funding available to the Company which more than exceed the needs of the Company over the coming period.</w:t>
      </w:r>
    </w:p>
    <w:p w14:paraId="1A132684" w14:textId="77777777" w:rsidR="001B7E01" w:rsidRPr="00322D9C" w:rsidRDefault="001B7E01" w:rsidP="001B7E01">
      <w:pPr>
        <w:ind w:left="567"/>
        <w:jc w:val="both"/>
        <w:rPr>
          <w:rFonts w:asciiTheme="minorHAnsi" w:hAnsiTheme="minorHAnsi" w:cstheme="minorHAnsi"/>
          <w:color w:val="000000"/>
        </w:rPr>
      </w:pPr>
      <w:r w:rsidRPr="00322D9C">
        <w:rPr>
          <w:rFonts w:asciiTheme="minorHAnsi" w:hAnsiTheme="minorHAnsi" w:cstheme="minorHAnsi"/>
          <w:color w:val="000000"/>
          <w:sz w:val="20"/>
          <w:szCs w:val="20"/>
        </w:rPr>
        <w:t> </w:t>
      </w:r>
    </w:p>
    <w:p w14:paraId="6BB951F8" w14:textId="43ADB969" w:rsidR="001B7E01" w:rsidRPr="00322D9C" w:rsidRDefault="001B7E01" w:rsidP="001B7E01">
      <w:pPr>
        <w:ind w:left="567"/>
        <w:jc w:val="both"/>
        <w:rPr>
          <w:rFonts w:asciiTheme="minorHAnsi" w:hAnsiTheme="minorHAnsi" w:cstheme="minorHAnsi"/>
          <w:color w:val="000000"/>
          <w:sz w:val="20"/>
          <w:szCs w:val="20"/>
        </w:rPr>
      </w:pPr>
      <w:r w:rsidRPr="00322D9C">
        <w:rPr>
          <w:rFonts w:asciiTheme="minorHAnsi" w:hAnsiTheme="minorHAnsi" w:cstheme="minorHAnsi"/>
          <w:color w:val="000000"/>
          <w:sz w:val="20"/>
          <w:szCs w:val="20"/>
        </w:rPr>
        <w:t xml:space="preserve">In the medium term and in addition to the need to safeguard the entity’s ability to continue as a going concern, the directors are aware of the views of members on certain financing structures and therefore have set an objective to move towards a conventional, simplified capital structure based on equity </w:t>
      </w:r>
      <w:r w:rsidR="009F6E5E" w:rsidRPr="00322D9C">
        <w:rPr>
          <w:rFonts w:asciiTheme="minorHAnsi" w:hAnsiTheme="minorHAnsi" w:cstheme="minorHAnsi"/>
          <w:color w:val="000000"/>
          <w:sz w:val="20"/>
          <w:szCs w:val="20"/>
        </w:rPr>
        <w:t>capital.</w:t>
      </w:r>
    </w:p>
    <w:p w14:paraId="747BB225" w14:textId="77777777" w:rsidR="00FA1231" w:rsidRPr="00322D9C" w:rsidRDefault="00FA1231" w:rsidP="001B7E01">
      <w:pPr>
        <w:ind w:left="567"/>
        <w:jc w:val="both"/>
        <w:rPr>
          <w:rFonts w:asciiTheme="minorHAnsi" w:hAnsiTheme="minorHAnsi" w:cstheme="minorHAnsi"/>
          <w:color w:val="000000"/>
          <w:sz w:val="20"/>
          <w:szCs w:val="20"/>
        </w:rPr>
      </w:pPr>
    </w:p>
    <w:p w14:paraId="52163E9A" w14:textId="363833BA" w:rsidR="006D0EAD" w:rsidRPr="00322D9C" w:rsidRDefault="00BA2D27" w:rsidP="00322D9C">
      <w:pPr>
        <w:ind w:left="567"/>
        <w:jc w:val="both"/>
        <w:rPr>
          <w:rFonts w:asciiTheme="minorHAnsi" w:hAnsiTheme="minorHAnsi" w:cstheme="minorHAnsi"/>
          <w:color w:val="000000"/>
          <w:sz w:val="20"/>
          <w:szCs w:val="20"/>
        </w:rPr>
      </w:pPr>
      <w:r w:rsidRPr="00322D9C">
        <w:rPr>
          <w:rFonts w:asciiTheme="minorHAnsi" w:hAnsiTheme="minorHAnsi" w:cstheme="minorHAnsi"/>
          <w:color w:val="000000"/>
          <w:sz w:val="20"/>
          <w:szCs w:val="20"/>
        </w:rPr>
        <w:t>Further details about the directors’ assessment of the Group’s ability to continue as a going concern and the key considerations there to are set out in the Corporate Governance Report on page</w:t>
      </w:r>
      <w:r w:rsidR="00D52978">
        <w:rPr>
          <w:rFonts w:asciiTheme="minorHAnsi" w:hAnsiTheme="minorHAnsi" w:cstheme="minorHAnsi"/>
          <w:color w:val="000000"/>
          <w:sz w:val="20"/>
          <w:szCs w:val="20"/>
        </w:rPr>
        <w:t>s</w:t>
      </w:r>
      <w:r w:rsidRPr="00322D9C">
        <w:rPr>
          <w:rFonts w:asciiTheme="minorHAnsi" w:hAnsiTheme="minorHAnsi" w:cstheme="minorHAnsi"/>
          <w:color w:val="000000"/>
          <w:sz w:val="20"/>
          <w:szCs w:val="20"/>
        </w:rPr>
        <w:t xml:space="preserve"> </w:t>
      </w:r>
      <w:r w:rsidR="00322D9C" w:rsidRPr="00322D9C">
        <w:rPr>
          <w:rFonts w:asciiTheme="minorHAnsi" w:hAnsiTheme="minorHAnsi" w:cstheme="minorHAnsi"/>
          <w:color w:val="000000"/>
          <w:sz w:val="20"/>
          <w:szCs w:val="20"/>
        </w:rPr>
        <w:t>1</w:t>
      </w:r>
      <w:r w:rsidR="002B7D69">
        <w:rPr>
          <w:rFonts w:asciiTheme="minorHAnsi" w:hAnsiTheme="minorHAnsi" w:cstheme="minorHAnsi"/>
          <w:color w:val="000000"/>
          <w:sz w:val="20"/>
          <w:szCs w:val="20"/>
        </w:rPr>
        <w:t>2</w:t>
      </w:r>
      <w:r w:rsidR="00D52978">
        <w:rPr>
          <w:rFonts w:asciiTheme="minorHAnsi" w:hAnsiTheme="minorHAnsi" w:cstheme="minorHAnsi"/>
          <w:color w:val="000000"/>
          <w:sz w:val="20"/>
          <w:szCs w:val="20"/>
        </w:rPr>
        <w:t xml:space="preserve"> to 17</w:t>
      </w:r>
      <w:r w:rsidRPr="00322D9C">
        <w:rPr>
          <w:rFonts w:asciiTheme="minorHAnsi" w:hAnsiTheme="minorHAnsi" w:cstheme="minorHAnsi"/>
          <w:color w:val="000000"/>
          <w:sz w:val="20"/>
          <w:szCs w:val="20"/>
        </w:rPr>
        <w:t>.</w:t>
      </w:r>
    </w:p>
    <w:p w14:paraId="6149BDD9" w14:textId="77777777" w:rsidR="00322D9C" w:rsidRPr="00322D9C" w:rsidRDefault="00322D9C" w:rsidP="00322D9C">
      <w:pPr>
        <w:ind w:left="567"/>
        <w:jc w:val="both"/>
        <w:rPr>
          <w:rFonts w:asciiTheme="minorHAnsi" w:hAnsiTheme="minorHAnsi" w:cstheme="minorHAnsi"/>
          <w:color w:val="000000"/>
          <w:sz w:val="20"/>
          <w:szCs w:val="20"/>
        </w:rPr>
      </w:pPr>
    </w:p>
    <w:p w14:paraId="53936900" w14:textId="055AF26A" w:rsidR="003256A6" w:rsidRDefault="003256A6" w:rsidP="003256A6">
      <w:pPr>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18.       </w:t>
      </w:r>
      <w:r w:rsidRPr="00DE18F5">
        <w:rPr>
          <w:rFonts w:asciiTheme="minorHAnsi" w:hAnsiTheme="minorHAnsi" w:cstheme="minorHAnsi"/>
          <w:b/>
          <w:sz w:val="20"/>
          <w:szCs w:val="20"/>
        </w:rPr>
        <w:t>Financial Instruments – Risk Management (continued)</w:t>
      </w:r>
    </w:p>
    <w:p w14:paraId="0D128349" w14:textId="77777777" w:rsidR="003256A6" w:rsidRDefault="003256A6" w:rsidP="003256A6">
      <w:pPr>
        <w:jc w:val="both"/>
        <w:rPr>
          <w:rFonts w:asciiTheme="minorHAnsi" w:hAnsiTheme="minorHAnsi" w:cstheme="minorHAnsi"/>
          <w:color w:val="000000"/>
          <w:sz w:val="20"/>
          <w:szCs w:val="20"/>
        </w:rPr>
      </w:pPr>
    </w:p>
    <w:p w14:paraId="1CFE32AF" w14:textId="5D6A56DE" w:rsidR="009F6E5E" w:rsidRPr="00322D9C" w:rsidRDefault="001B7E01" w:rsidP="006D0EAD">
      <w:pPr>
        <w:ind w:left="567"/>
        <w:jc w:val="both"/>
        <w:rPr>
          <w:rFonts w:asciiTheme="minorHAnsi" w:hAnsiTheme="minorHAnsi" w:cstheme="minorHAnsi"/>
          <w:color w:val="000000"/>
        </w:rPr>
      </w:pPr>
      <w:r w:rsidRPr="00322D9C">
        <w:rPr>
          <w:rFonts w:asciiTheme="minorHAnsi" w:hAnsiTheme="minorHAnsi" w:cstheme="minorHAnsi"/>
          <w:color w:val="000000"/>
          <w:sz w:val="20"/>
          <w:szCs w:val="20"/>
        </w:rPr>
        <w:t>At present the directors do not intend to pay dividends but will reconsider the position in future periods, as the group becomes profitable.</w:t>
      </w:r>
    </w:p>
    <w:p w14:paraId="6CC215B5" w14:textId="65050F76" w:rsidR="009F6E5E" w:rsidRPr="00322D9C" w:rsidRDefault="009F6E5E" w:rsidP="00322D9C">
      <w:pPr>
        <w:widowControl w:val="0"/>
        <w:spacing w:before="120" w:line="276" w:lineRule="auto"/>
        <w:jc w:val="both"/>
        <w:rPr>
          <w:rFonts w:asciiTheme="minorHAnsi" w:hAnsiTheme="minorHAnsi" w:cstheme="minorHAnsi"/>
          <w:b/>
          <w:sz w:val="20"/>
          <w:szCs w:val="20"/>
        </w:rPr>
      </w:pPr>
    </w:p>
    <w:p w14:paraId="65938642" w14:textId="2DC3B9CE" w:rsidR="00357C0E" w:rsidRPr="00322D9C" w:rsidRDefault="00357C0E" w:rsidP="00034844">
      <w:pPr>
        <w:widowControl w:val="0"/>
        <w:ind w:firstLine="567"/>
        <w:rPr>
          <w:rFonts w:asciiTheme="minorHAnsi" w:hAnsiTheme="minorHAnsi" w:cstheme="minorHAnsi"/>
          <w:b/>
          <w:sz w:val="20"/>
          <w:szCs w:val="20"/>
        </w:rPr>
      </w:pPr>
      <w:r w:rsidRPr="00322D9C">
        <w:rPr>
          <w:rFonts w:asciiTheme="minorHAnsi" w:hAnsiTheme="minorHAnsi" w:cstheme="minorHAnsi"/>
          <w:b/>
          <w:sz w:val="20"/>
          <w:szCs w:val="20"/>
        </w:rPr>
        <w:t>Reconciliation of movement in net cash</w:t>
      </w:r>
    </w:p>
    <w:tbl>
      <w:tblPr>
        <w:tblW w:w="9214" w:type="dxa"/>
        <w:tblInd w:w="284" w:type="dxa"/>
        <w:tblLayout w:type="fixed"/>
        <w:tblLook w:val="04A0" w:firstRow="1" w:lastRow="0" w:firstColumn="1" w:lastColumn="0" w:noHBand="0" w:noVBand="1"/>
      </w:tblPr>
      <w:tblGrid>
        <w:gridCol w:w="1417"/>
        <w:gridCol w:w="1276"/>
        <w:gridCol w:w="1134"/>
        <w:gridCol w:w="1276"/>
        <w:gridCol w:w="1559"/>
        <w:gridCol w:w="1276"/>
        <w:gridCol w:w="1276"/>
      </w:tblGrid>
      <w:tr w:rsidR="00196355" w:rsidRPr="00322D9C" w14:paraId="4902D950" w14:textId="77777777" w:rsidTr="00196355">
        <w:trPr>
          <w:trHeight w:val="101"/>
        </w:trPr>
        <w:tc>
          <w:tcPr>
            <w:tcW w:w="1417" w:type="dxa"/>
          </w:tcPr>
          <w:p w14:paraId="679277E0"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tcPr>
          <w:p w14:paraId="2DD18946"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4A004D70"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790DCDC6" w14:textId="06962B8F"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Net cash at 01 July 2021</w:t>
            </w:r>
          </w:p>
        </w:tc>
        <w:tc>
          <w:tcPr>
            <w:tcW w:w="1134" w:type="dxa"/>
          </w:tcPr>
          <w:p w14:paraId="219C195F"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7C860F79"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3AEA8F93"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3E0C9D7A" w14:textId="6AB8498D"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Cash flow</w:t>
            </w:r>
          </w:p>
        </w:tc>
        <w:tc>
          <w:tcPr>
            <w:tcW w:w="1276" w:type="dxa"/>
          </w:tcPr>
          <w:p w14:paraId="573D6E2B" w14:textId="77777777" w:rsidR="00196355" w:rsidRPr="00322D9C" w:rsidRDefault="00196355" w:rsidP="003256A6">
            <w:pPr>
              <w:pStyle w:val="Thead"/>
              <w:keepNext w:val="0"/>
              <w:widowControl w:val="0"/>
              <w:spacing w:line="256" w:lineRule="auto"/>
              <w:ind w:left="284" w:right="0"/>
              <w:rPr>
                <w:rFonts w:asciiTheme="minorHAnsi" w:hAnsiTheme="minorHAnsi" w:cstheme="minorHAnsi"/>
                <w:bCs w:val="0"/>
                <w:sz w:val="16"/>
                <w:szCs w:val="16"/>
                <w:lang w:eastAsia="en-GB"/>
              </w:rPr>
            </w:pPr>
          </w:p>
          <w:p w14:paraId="3DBC9B97" w14:textId="57AC0D5B" w:rsidR="00196355" w:rsidRPr="00322D9C" w:rsidRDefault="00196355" w:rsidP="003256A6">
            <w:pPr>
              <w:pStyle w:val="Thead"/>
              <w:keepNext w:val="0"/>
              <w:widowControl w:val="0"/>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Loan notes issued in the</w:t>
            </w:r>
          </w:p>
          <w:p w14:paraId="5363D684" w14:textId="3B300F02" w:rsidR="00196355" w:rsidRPr="00322D9C" w:rsidRDefault="00196355" w:rsidP="003256A6">
            <w:pPr>
              <w:pStyle w:val="Thead"/>
              <w:keepNext w:val="0"/>
              <w:widowControl w:val="0"/>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 xml:space="preserve"> period</w:t>
            </w:r>
          </w:p>
        </w:tc>
        <w:tc>
          <w:tcPr>
            <w:tcW w:w="1559" w:type="dxa"/>
          </w:tcPr>
          <w:p w14:paraId="1DB5AA5D" w14:textId="77777777" w:rsidR="00196355" w:rsidRPr="00322D9C" w:rsidRDefault="00196355" w:rsidP="003256A6">
            <w:pPr>
              <w:pStyle w:val="Thead"/>
              <w:keepNext w:val="0"/>
              <w:widowControl w:val="0"/>
              <w:spacing w:line="256" w:lineRule="auto"/>
              <w:ind w:left="284" w:right="0"/>
              <w:rPr>
                <w:rFonts w:asciiTheme="minorHAnsi" w:hAnsiTheme="minorHAnsi" w:cstheme="minorHAnsi"/>
                <w:bCs w:val="0"/>
                <w:sz w:val="16"/>
                <w:szCs w:val="16"/>
                <w:lang w:eastAsia="en-GB"/>
              </w:rPr>
            </w:pPr>
          </w:p>
          <w:p w14:paraId="5A55F3AD" w14:textId="5D5564CF" w:rsidR="00196355" w:rsidRPr="00322D9C" w:rsidRDefault="00196355" w:rsidP="003256A6">
            <w:pPr>
              <w:pStyle w:val="Thead"/>
              <w:keepNext w:val="0"/>
              <w:widowControl w:val="0"/>
              <w:tabs>
                <w:tab w:val="left" w:pos="602"/>
              </w:tabs>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Loan notes converted in the period</w:t>
            </w:r>
          </w:p>
        </w:tc>
        <w:tc>
          <w:tcPr>
            <w:tcW w:w="1276" w:type="dxa"/>
          </w:tcPr>
          <w:p w14:paraId="4C76F6C3" w14:textId="1B4C7EE6" w:rsidR="00196355" w:rsidRPr="00322D9C" w:rsidRDefault="00196355" w:rsidP="00322D9C">
            <w:pPr>
              <w:pStyle w:val="Thead"/>
              <w:keepNext w:val="0"/>
              <w:widowControl w:val="0"/>
              <w:tabs>
                <w:tab w:val="left" w:pos="602"/>
              </w:tabs>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Repayment of borrowings</w:t>
            </w:r>
          </w:p>
          <w:p w14:paraId="0502295D" w14:textId="58A76A47" w:rsidR="00196355" w:rsidRPr="00322D9C" w:rsidRDefault="00196355" w:rsidP="00322D9C">
            <w:pPr>
              <w:pStyle w:val="Thead"/>
              <w:keepNext w:val="0"/>
              <w:widowControl w:val="0"/>
              <w:tabs>
                <w:tab w:val="left" w:pos="602"/>
              </w:tabs>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(continuing activities)</w:t>
            </w:r>
          </w:p>
        </w:tc>
        <w:tc>
          <w:tcPr>
            <w:tcW w:w="1276" w:type="dxa"/>
          </w:tcPr>
          <w:p w14:paraId="1727F4EC" w14:textId="77777777"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p>
          <w:p w14:paraId="00170F4E" w14:textId="77777777"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p>
          <w:p w14:paraId="0862C7B1" w14:textId="7CC080B8"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Net cash</w:t>
            </w:r>
          </w:p>
          <w:p w14:paraId="50939689" w14:textId="264F246D"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at 30 June 2022</w:t>
            </w:r>
          </w:p>
        </w:tc>
      </w:tr>
      <w:tr w:rsidR="00196355" w:rsidRPr="00322D9C" w14:paraId="6308EBA9" w14:textId="77777777" w:rsidTr="00196355">
        <w:trPr>
          <w:trHeight w:val="101"/>
        </w:trPr>
        <w:tc>
          <w:tcPr>
            <w:tcW w:w="1417" w:type="dxa"/>
          </w:tcPr>
          <w:p w14:paraId="0D57C036"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tcPr>
          <w:p w14:paraId="7A758B8A" w14:textId="376D20F0"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c>
          <w:tcPr>
            <w:tcW w:w="1134" w:type="dxa"/>
          </w:tcPr>
          <w:p w14:paraId="0A77289E" w14:textId="5FF01252"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c>
          <w:tcPr>
            <w:tcW w:w="1276" w:type="dxa"/>
          </w:tcPr>
          <w:p w14:paraId="283B2A2D" w14:textId="4E047E9A" w:rsidR="00196355" w:rsidRPr="00322D9C" w:rsidRDefault="00196355" w:rsidP="003256A6">
            <w:pPr>
              <w:pStyle w:val="Thead"/>
              <w:keepNext w:val="0"/>
              <w:widowControl w:val="0"/>
              <w:spacing w:line="256" w:lineRule="auto"/>
              <w:ind w:left="284" w:right="0"/>
              <w:rPr>
                <w:rFonts w:asciiTheme="minorHAnsi" w:hAnsiTheme="minorHAnsi" w:cstheme="minorHAnsi"/>
                <w:snapToGrid w:val="0"/>
                <w:sz w:val="16"/>
                <w:szCs w:val="16"/>
              </w:rPr>
            </w:pPr>
            <w:r w:rsidRPr="00322D9C">
              <w:rPr>
                <w:rFonts w:asciiTheme="minorHAnsi" w:hAnsiTheme="minorHAnsi" w:cstheme="minorHAnsi"/>
                <w:snapToGrid w:val="0"/>
                <w:sz w:val="16"/>
                <w:szCs w:val="16"/>
              </w:rPr>
              <w:t>£</w:t>
            </w:r>
          </w:p>
        </w:tc>
        <w:tc>
          <w:tcPr>
            <w:tcW w:w="1559" w:type="dxa"/>
          </w:tcPr>
          <w:p w14:paraId="6CA5BB04" w14:textId="30094DCA" w:rsidR="00196355" w:rsidRPr="00322D9C" w:rsidRDefault="00196355" w:rsidP="003256A6">
            <w:pPr>
              <w:pStyle w:val="Thead"/>
              <w:keepNext w:val="0"/>
              <w:widowControl w:val="0"/>
              <w:spacing w:line="256" w:lineRule="auto"/>
              <w:ind w:left="284" w:right="0"/>
              <w:rPr>
                <w:rFonts w:asciiTheme="minorHAnsi" w:hAnsiTheme="minorHAnsi" w:cstheme="minorHAnsi"/>
                <w:snapToGrid w:val="0"/>
                <w:sz w:val="16"/>
                <w:szCs w:val="16"/>
              </w:rPr>
            </w:pPr>
            <w:r w:rsidRPr="00322D9C">
              <w:rPr>
                <w:rFonts w:asciiTheme="minorHAnsi" w:hAnsiTheme="minorHAnsi" w:cstheme="minorHAnsi"/>
                <w:snapToGrid w:val="0"/>
                <w:sz w:val="16"/>
                <w:szCs w:val="16"/>
              </w:rPr>
              <w:t>£</w:t>
            </w:r>
          </w:p>
        </w:tc>
        <w:tc>
          <w:tcPr>
            <w:tcW w:w="1276" w:type="dxa"/>
          </w:tcPr>
          <w:p w14:paraId="185DF610" w14:textId="687BF0FC"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c>
          <w:tcPr>
            <w:tcW w:w="1276" w:type="dxa"/>
          </w:tcPr>
          <w:p w14:paraId="3C069182" w14:textId="3C4DD402"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r>
      <w:tr w:rsidR="00196355" w:rsidRPr="00322D9C" w14:paraId="57819FCB" w14:textId="77777777" w:rsidTr="00196355">
        <w:trPr>
          <w:trHeight w:val="101"/>
        </w:trPr>
        <w:tc>
          <w:tcPr>
            <w:tcW w:w="1417" w:type="dxa"/>
          </w:tcPr>
          <w:p w14:paraId="68459E84"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tcPr>
          <w:p w14:paraId="51DF0BEA"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snapToGrid w:val="0"/>
                <w:sz w:val="16"/>
                <w:szCs w:val="16"/>
              </w:rPr>
            </w:pPr>
          </w:p>
        </w:tc>
        <w:tc>
          <w:tcPr>
            <w:tcW w:w="1134" w:type="dxa"/>
          </w:tcPr>
          <w:p w14:paraId="74D8E14D"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snapToGrid w:val="0"/>
                <w:sz w:val="16"/>
                <w:szCs w:val="16"/>
              </w:rPr>
            </w:pPr>
          </w:p>
        </w:tc>
        <w:tc>
          <w:tcPr>
            <w:tcW w:w="1276" w:type="dxa"/>
          </w:tcPr>
          <w:p w14:paraId="71699570" w14:textId="77777777" w:rsidR="00196355" w:rsidRPr="00322D9C" w:rsidRDefault="00196355" w:rsidP="003256A6">
            <w:pPr>
              <w:pStyle w:val="Thead"/>
              <w:keepNext w:val="0"/>
              <w:widowControl w:val="0"/>
              <w:spacing w:line="256" w:lineRule="auto"/>
              <w:ind w:left="284" w:right="0"/>
              <w:rPr>
                <w:rFonts w:asciiTheme="minorHAnsi" w:hAnsiTheme="minorHAnsi" w:cstheme="minorHAnsi"/>
                <w:snapToGrid w:val="0"/>
                <w:sz w:val="16"/>
                <w:szCs w:val="16"/>
              </w:rPr>
            </w:pPr>
          </w:p>
        </w:tc>
        <w:tc>
          <w:tcPr>
            <w:tcW w:w="1559" w:type="dxa"/>
          </w:tcPr>
          <w:p w14:paraId="1EDC4ABC" w14:textId="77777777" w:rsidR="00196355" w:rsidRPr="00322D9C" w:rsidRDefault="00196355" w:rsidP="003256A6">
            <w:pPr>
              <w:pStyle w:val="Thead"/>
              <w:keepNext w:val="0"/>
              <w:widowControl w:val="0"/>
              <w:spacing w:line="256" w:lineRule="auto"/>
              <w:ind w:left="284" w:right="0"/>
              <w:rPr>
                <w:rFonts w:asciiTheme="minorHAnsi" w:hAnsiTheme="minorHAnsi" w:cstheme="minorHAnsi"/>
                <w:snapToGrid w:val="0"/>
                <w:sz w:val="16"/>
                <w:szCs w:val="16"/>
              </w:rPr>
            </w:pPr>
          </w:p>
        </w:tc>
        <w:tc>
          <w:tcPr>
            <w:tcW w:w="1276" w:type="dxa"/>
          </w:tcPr>
          <w:p w14:paraId="3F484A3F" w14:textId="1E9323DB"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snapToGrid w:val="0"/>
                <w:sz w:val="16"/>
                <w:szCs w:val="16"/>
              </w:rPr>
            </w:pPr>
          </w:p>
        </w:tc>
        <w:tc>
          <w:tcPr>
            <w:tcW w:w="1276" w:type="dxa"/>
          </w:tcPr>
          <w:p w14:paraId="06FA9DBA" w14:textId="77777777" w:rsidR="00196355" w:rsidRPr="00322D9C" w:rsidRDefault="00196355" w:rsidP="00322D9C">
            <w:pPr>
              <w:pStyle w:val="Thead"/>
              <w:keepNext w:val="0"/>
              <w:widowControl w:val="0"/>
              <w:spacing w:line="256" w:lineRule="auto"/>
              <w:ind w:left="284"/>
              <w:rPr>
                <w:rFonts w:asciiTheme="minorHAnsi" w:hAnsiTheme="minorHAnsi" w:cstheme="minorHAnsi"/>
                <w:snapToGrid w:val="0"/>
                <w:sz w:val="16"/>
                <w:szCs w:val="16"/>
              </w:rPr>
            </w:pPr>
          </w:p>
        </w:tc>
      </w:tr>
      <w:tr w:rsidR="00196355" w:rsidRPr="00322D9C" w14:paraId="286214F4" w14:textId="77777777" w:rsidTr="00196355">
        <w:trPr>
          <w:trHeight w:val="101"/>
        </w:trPr>
        <w:tc>
          <w:tcPr>
            <w:tcW w:w="1417" w:type="dxa"/>
          </w:tcPr>
          <w:p w14:paraId="22DC0391"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b/>
                <w:sz w:val="16"/>
                <w:szCs w:val="16"/>
              </w:rPr>
            </w:pPr>
            <w:r w:rsidRPr="00322D9C">
              <w:rPr>
                <w:rFonts w:asciiTheme="minorHAnsi" w:hAnsiTheme="minorHAnsi" w:cstheme="minorHAnsi"/>
                <w:sz w:val="16"/>
                <w:szCs w:val="16"/>
              </w:rPr>
              <w:t>Cash at bank and in hand</w:t>
            </w:r>
          </w:p>
        </w:tc>
        <w:tc>
          <w:tcPr>
            <w:tcW w:w="1276" w:type="dxa"/>
          </w:tcPr>
          <w:p w14:paraId="6D819CD4" w14:textId="2E718087"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50,929</w:t>
            </w:r>
          </w:p>
        </w:tc>
        <w:tc>
          <w:tcPr>
            <w:tcW w:w="1134" w:type="dxa"/>
          </w:tcPr>
          <w:p w14:paraId="206A51FA" w14:textId="791AC040" w:rsidR="00196355" w:rsidRPr="00322D9C" w:rsidRDefault="00196355" w:rsidP="00322D9C">
            <w:pPr>
              <w:pStyle w:val="Thead"/>
              <w:keepNext w:val="0"/>
              <w:widowControl w:val="0"/>
              <w:tabs>
                <w:tab w:val="left" w:pos="776"/>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(5</w:t>
            </w:r>
            <w:r w:rsidR="00044260" w:rsidRPr="00322D9C">
              <w:rPr>
                <w:rFonts w:asciiTheme="minorHAnsi" w:hAnsiTheme="minorHAnsi" w:cstheme="minorHAnsi"/>
                <w:b w:val="0"/>
                <w:bCs w:val="0"/>
                <w:sz w:val="16"/>
                <w:szCs w:val="16"/>
                <w:lang w:eastAsia="en-GB"/>
              </w:rPr>
              <w:t>0</w:t>
            </w:r>
            <w:r w:rsidRPr="00322D9C">
              <w:rPr>
                <w:rFonts w:asciiTheme="minorHAnsi" w:hAnsiTheme="minorHAnsi" w:cstheme="minorHAnsi"/>
                <w:b w:val="0"/>
                <w:bCs w:val="0"/>
                <w:sz w:val="16"/>
                <w:szCs w:val="16"/>
                <w:lang w:eastAsia="en-GB"/>
              </w:rPr>
              <w:t>,</w:t>
            </w:r>
            <w:r w:rsidR="00044260" w:rsidRPr="00322D9C">
              <w:rPr>
                <w:rFonts w:asciiTheme="minorHAnsi" w:hAnsiTheme="minorHAnsi" w:cstheme="minorHAnsi"/>
                <w:b w:val="0"/>
                <w:bCs w:val="0"/>
                <w:sz w:val="16"/>
                <w:szCs w:val="16"/>
                <w:lang w:eastAsia="en-GB"/>
              </w:rPr>
              <w:t>924</w:t>
            </w:r>
            <w:r w:rsidRPr="00322D9C">
              <w:rPr>
                <w:rFonts w:asciiTheme="minorHAnsi" w:hAnsiTheme="minorHAnsi" w:cstheme="minorHAnsi"/>
                <w:b w:val="0"/>
                <w:bCs w:val="0"/>
                <w:sz w:val="16"/>
                <w:szCs w:val="16"/>
                <w:lang w:eastAsia="en-GB"/>
              </w:rPr>
              <w:t>)</w:t>
            </w:r>
          </w:p>
        </w:tc>
        <w:tc>
          <w:tcPr>
            <w:tcW w:w="1276" w:type="dxa"/>
          </w:tcPr>
          <w:p w14:paraId="09B1B777" w14:textId="7649CFA9" w:rsidR="00196355" w:rsidRPr="00322D9C" w:rsidRDefault="00196355" w:rsidP="003256A6">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559" w:type="dxa"/>
          </w:tcPr>
          <w:p w14:paraId="1DE67868" w14:textId="6FFA0A22" w:rsidR="00196355" w:rsidRPr="00322D9C" w:rsidRDefault="00196355" w:rsidP="003256A6">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tcPr>
          <w:p w14:paraId="29D79919" w14:textId="7E92D5D5"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tcPr>
          <w:p w14:paraId="0F1B60ED" w14:textId="3431DBB3"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5</w:t>
            </w:r>
          </w:p>
        </w:tc>
      </w:tr>
      <w:tr w:rsidR="00196355" w:rsidRPr="00322D9C" w14:paraId="009DD529" w14:textId="77777777" w:rsidTr="00196355">
        <w:trPr>
          <w:trHeight w:val="101"/>
        </w:trPr>
        <w:tc>
          <w:tcPr>
            <w:tcW w:w="1417" w:type="dxa"/>
          </w:tcPr>
          <w:p w14:paraId="55CA9899"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b/>
                <w:sz w:val="16"/>
                <w:szCs w:val="16"/>
              </w:rPr>
            </w:pPr>
            <w:r w:rsidRPr="00322D9C">
              <w:rPr>
                <w:rFonts w:asciiTheme="minorHAnsi" w:hAnsiTheme="minorHAnsi" w:cstheme="minorHAnsi"/>
                <w:sz w:val="16"/>
                <w:szCs w:val="16"/>
              </w:rPr>
              <w:t>Borrowings</w:t>
            </w:r>
          </w:p>
        </w:tc>
        <w:tc>
          <w:tcPr>
            <w:tcW w:w="1276" w:type="dxa"/>
          </w:tcPr>
          <w:p w14:paraId="584D1C1E" w14:textId="4C5D3180"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(2,415,000)</w:t>
            </w:r>
          </w:p>
        </w:tc>
        <w:tc>
          <w:tcPr>
            <w:tcW w:w="1134" w:type="dxa"/>
          </w:tcPr>
          <w:p w14:paraId="213C9260" w14:textId="6038FA66"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tcPr>
          <w:p w14:paraId="5591D9C1" w14:textId="3F284CAA" w:rsidR="00196355" w:rsidRPr="00322D9C" w:rsidRDefault="00196355" w:rsidP="003256A6">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559" w:type="dxa"/>
          </w:tcPr>
          <w:p w14:paraId="50AE07EA" w14:textId="5E952708" w:rsidR="00196355" w:rsidRPr="00322D9C" w:rsidRDefault="00196355" w:rsidP="003256A6">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tcPr>
          <w:p w14:paraId="2BC840CC" w14:textId="3782394F"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tcPr>
          <w:p w14:paraId="60178032" w14:textId="0D4091CB"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(2,415,000)</w:t>
            </w:r>
          </w:p>
        </w:tc>
      </w:tr>
      <w:tr w:rsidR="00196355" w:rsidRPr="00322D9C" w14:paraId="17D840DE" w14:textId="77777777" w:rsidTr="00196355">
        <w:tc>
          <w:tcPr>
            <w:tcW w:w="1417" w:type="dxa"/>
          </w:tcPr>
          <w:p w14:paraId="420734F3"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tcPr>
          <w:p w14:paraId="29872AD1" w14:textId="7777777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c>
          <w:tcPr>
            <w:tcW w:w="1134" w:type="dxa"/>
          </w:tcPr>
          <w:p w14:paraId="41825F61" w14:textId="7777777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c>
          <w:tcPr>
            <w:tcW w:w="1276" w:type="dxa"/>
          </w:tcPr>
          <w:p w14:paraId="7287D1F7" w14:textId="77777777" w:rsidR="00196355" w:rsidRPr="00322D9C" w:rsidRDefault="00196355" w:rsidP="003256A6">
            <w:pPr>
              <w:pStyle w:val="S9"/>
              <w:widowControl w:val="0"/>
              <w:ind w:left="284" w:right="0"/>
              <w:rPr>
                <w:rFonts w:asciiTheme="minorHAnsi" w:hAnsiTheme="minorHAnsi" w:cstheme="minorHAnsi"/>
                <w:sz w:val="16"/>
                <w:szCs w:val="16"/>
                <w:lang w:eastAsia="en-GB"/>
              </w:rPr>
            </w:pPr>
          </w:p>
        </w:tc>
        <w:tc>
          <w:tcPr>
            <w:tcW w:w="1559" w:type="dxa"/>
          </w:tcPr>
          <w:p w14:paraId="258A32B9" w14:textId="77777777" w:rsidR="00196355" w:rsidRPr="00322D9C" w:rsidRDefault="00196355" w:rsidP="003256A6">
            <w:pPr>
              <w:pStyle w:val="S9"/>
              <w:widowControl w:val="0"/>
              <w:ind w:left="284" w:right="0"/>
              <w:rPr>
                <w:rFonts w:asciiTheme="minorHAnsi" w:hAnsiTheme="minorHAnsi" w:cstheme="minorHAnsi"/>
                <w:sz w:val="16"/>
                <w:szCs w:val="16"/>
                <w:lang w:eastAsia="en-GB"/>
              </w:rPr>
            </w:pPr>
          </w:p>
        </w:tc>
        <w:tc>
          <w:tcPr>
            <w:tcW w:w="1276" w:type="dxa"/>
          </w:tcPr>
          <w:p w14:paraId="4191E2B5" w14:textId="35A8774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c>
          <w:tcPr>
            <w:tcW w:w="1276" w:type="dxa"/>
          </w:tcPr>
          <w:p w14:paraId="32CA5980" w14:textId="7777777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r>
      <w:tr w:rsidR="00196355" w:rsidRPr="00322D9C" w14:paraId="30FF69A8" w14:textId="77777777" w:rsidTr="00196355">
        <w:tc>
          <w:tcPr>
            <w:tcW w:w="1417" w:type="dxa"/>
            <w:hideMark/>
          </w:tcPr>
          <w:p w14:paraId="5E3D556B"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b/>
                <w:sz w:val="16"/>
                <w:szCs w:val="16"/>
              </w:rPr>
            </w:pPr>
            <w:r w:rsidRPr="00322D9C">
              <w:rPr>
                <w:rFonts w:asciiTheme="minorHAnsi" w:hAnsiTheme="minorHAnsi" w:cstheme="minorHAnsi"/>
                <w:b/>
                <w:sz w:val="16"/>
                <w:szCs w:val="16"/>
              </w:rPr>
              <w:t xml:space="preserve">Total financial liabilities </w:t>
            </w:r>
          </w:p>
        </w:tc>
        <w:tc>
          <w:tcPr>
            <w:tcW w:w="1276" w:type="dxa"/>
          </w:tcPr>
          <w:p w14:paraId="7202E2BA" w14:textId="04FB7FE6"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(2,364,071)</w:t>
            </w:r>
          </w:p>
        </w:tc>
        <w:tc>
          <w:tcPr>
            <w:tcW w:w="1134" w:type="dxa"/>
          </w:tcPr>
          <w:p w14:paraId="73C0F93F" w14:textId="5C849EF6"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w:t>
            </w:r>
            <w:r w:rsidR="00044260" w:rsidRPr="00322D9C">
              <w:rPr>
                <w:rFonts w:asciiTheme="minorHAnsi" w:hAnsiTheme="minorHAnsi" w:cstheme="minorHAnsi"/>
                <w:sz w:val="16"/>
                <w:szCs w:val="16"/>
                <w:lang w:eastAsia="en-GB"/>
              </w:rPr>
              <w:t>50,924</w:t>
            </w:r>
            <w:r w:rsidRPr="00322D9C">
              <w:rPr>
                <w:rFonts w:asciiTheme="minorHAnsi" w:hAnsiTheme="minorHAnsi" w:cstheme="minorHAnsi"/>
                <w:sz w:val="16"/>
                <w:szCs w:val="16"/>
                <w:lang w:eastAsia="en-GB"/>
              </w:rPr>
              <w:t>)</w:t>
            </w:r>
          </w:p>
        </w:tc>
        <w:tc>
          <w:tcPr>
            <w:tcW w:w="1276" w:type="dxa"/>
          </w:tcPr>
          <w:p w14:paraId="0800468C" w14:textId="2E75E5DD" w:rsidR="00196355" w:rsidRPr="00322D9C" w:rsidRDefault="00196355" w:rsidP="003256A6">
            <w:pPr>
              <w:pStyle w:val="Tdec"/>
              <w:widowControl w:val="0"/>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w:t>
            </w:r>
          </w:p>
        </w:tc>
        <w:tc>
          <w:tcPr>
            <w:tcW w:w="1559" w:type="dxa"/>
          </w:tcPr>
          <w:p w14:paraId="475DA857" w14:textId="6791892D" w:rsidR="00196355" w:rsidRPr="00322D9C" w:rsidRDefault="00196355" w:rsidP="003256A6">
            <w:pPr>
              <w:pStyle w:val="Tdec"/>
              <w:widowControl w:val="0"/>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w:t>
            </w:r>
          </w:p>
        </w:tc>
        <w:tc>
          <w:tcPr>
            <w:tcW w:w="1276" w:type="dxa"/>
          </w:tcPr>
          <w:p w14:paraId="4D26D382" w14:textId="29E13A54"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w:t>
            </w:r>
          </w:p>
        </w:tc>
        <w:tc>
          <w:tcPr>
            <w:tcW w:w="1276" w:type="dxa"/>
            <w:hideMark/>
          </w:tcPr>
          <w:p w14:paraId="6B337AEB" w14:textId="2809E93F"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(2,4</w:t>
            </w:r>
            <w:r w:rsidR="00044260" w:rsidRPr="00322D9C">
              <w:rPr>
                <w:rFonts w:asciiTheme="minorHAnsi" w:hAnsiTheme="minorHAnsi" w:cstheme="minorHAnsi"/>
                <w:sz w:val="16"/>
                <w:szCs w:val="16"/>
                <w:lang w:eastAsia="en-GB"/>
              </w:rPr>
              <w:t>14,995</w:t>
            </w:r>
            <w:r w:rsidRPr="00322D9C">
              <w:rPr>
                <w:rFonts w:asciiTheme="minorHAnsi" w:hAnsiTheme="minorHAnsi" w:cstheme="minorHAnsi"/>
                <w:sz w:val="16"/>
                <w:szCs w:val="16"/>
                <w:lang w:eastAsia="en-GB"/>
              </w:rPr>
              <w:t>)</w:t>
            </w:r>
          </w:p>
        </w:tc>
      </w:tr>
      <w:tr w:rsidR="00196355" w:rsidRPr="00322D9C" w14:paraId="25262295" w14:textId="77777777" w:rsidTr="00196355">
        <w:tc>
          <w:tcPr>
            <w:tcW w:w="1417" w:type="dxa"/>
          </w:tcPr>
          <w:p w14:paraId="5185153E"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tcPr>
          <w:p w14:paraId="798CC2BD" w14:textId="77777777" w:rsidR="00196355" w:rsidRPr="00322D9C" w:rsidRDefault="00196355" w:rsidP="00322D9C">
            <w:pPr>
              <w:pStyle w:val="D9"/>
              <w:widowControl w:val="0"/>
              <w:tabs>
                <w:tab w:val="left" w:pos="882"/>
              </w:tabs>
              <w:ind w:left="284" w:right="0"/>
              <w:jc w:val="right"/>
              <w:rPr>
                <w:rFonts w:asciiTheme="minorHAnsi" w:hAnsiTheme="minorHAnsi" w:cstheme="minorHAnsi"/>
                <w:sz w:val="16"/>
                <w:szCs w:val="16"/>
                <w:lang w:eastAsia="en-GB"/>
              </w:rPr>
            </w:pPr>
          </w:p>
        </w:tc>
        <w:tc>
          <w:tcPr>
            <w:tcW w:w="1134" w:type="dxa"/>
          </w:tcPr>
          <w:p w14:paraId="2817B6FC" w14:textId="77777777" w:rsidR="00196355" w:rsidRPr="00322D9C" w:rsidRDefault="00196355" w:rsidP="00322D9C">
            <w:pPr>
              <w:pStyle w:val="D9"/>
              <w:widowControl w:val="0"/>
              <w:tabs>
                <w:tab w:val="left" w:pos="882"/>
              </w:tabs>
              <w:ind w:left="284" w:right="0"/>
              <w:jc w:val="right"/>
              <w:rPr>
                <w:rFonts w:asciiTheme="minorHAnsi" w:hAnsiTheme="minorHAnsi" w:cstheme="minorHAnsi"/>
                <w:sz w:val="16"/>
                <w:szCs w:val="16"/>
                <w:lang w:eastAsia="en-GB"/>
              </w:rPr>
            </w:pPr>
          </w:p>
        </w:tc>
        <w:tc>
          <w:tcPr>
            <w:tcW w:w="1276" w:type="dxa"/>
          </w:tcPr>
          <w:p w14:paraId="29FB18D7" w14:textId="77777777" w:rsidR="00196355" w:rsidRPr="00322D9C" w:rsidRDefault="00196355" w:rsidP="003256A6">
            <w:pPr>
              <w:pStyle w:val="D9"/>
              <w:widowControl w:val="0"/>
              <w:ind w:left="284" w:right="0"/>
              <w:jc w:val="right"/>
              <w:rPr>
                <w:rFonts w:asciiTheme="minorHAnsi" w:hAnsiTheme="minorHAnsi" w:cstheme="minorHAnsi"/>
                <w:sz w:val="16"/>
                <w:szCs w:val="16"/>
                <w:lang w:eastAsia="en-GB"/>
              </w:rPr>
            </w:pPr>
          </w:p>
        </w:tc>
        <w:tc>
          <w:tcPr>
            <w:tcW w:w="1559" w:type="dxa"/>
          </w:tcPr>
          <w:p w14:paraId="52241670" w14:textId="77777777" w:rsidR="00196355" w:rsidRPr="00322D9C" w:rsidRDefault="00196355" w:rsidP="003256A6">
            <w:pPr>
              <w:pStyle w:val="D9"/>
              <w:widowControl w:val="0"/>
              <w:ind w:left="284" w:right="0"/>
              <w:jc w:val="right"/>
              <w:rPr>
                <w:rFonts w:asciiTheme="minorHAnsi" w:hAnsiTheme="minorHAnsi" w:cstheme="minorHAnsi"/>
                <w:sz w:val="16"/>
                <w:szCs w:val="16"/>
                <w:lang w:eastAsia="en-GB"/>
              </w:rPr>
            </w:pPr>
          </w:p>
        </w:tc>
        <w:tc>
          <w:tcPr>
            <w:tcW w:w="1276" w:type="dxa"/>
          </w:tcPr>
          <w:p w14:paraId="30D3B1CC" w14:textId="4CEC36EE" w:rsidR="00196355" w:rsidRPr="00322D9C" w:rsidRDefault="00196355" w:rsidP="00322D9C">
            <w:pPr>
              <w:pStyle w:val="D9"/>
              <w:widowControl w:val="0"/>
              <w:tabs>
                <w:tab w:val="left" w:pos="882"/>
              </w:tabs>
              <w:ind w:left="284" w:right="0"/>
              <w:jc w:val="right"/>
              <w:rPr>
                <w:rFonts w:asciiTheme="minorHAnsi" w:hAnsiTheme="minorHAnsi" w:cstheme="minorHAnsi"/>
                <w:sz w:val="16"/>
                <w:szCs w:val="16"/>
                <w:lang w:eastAsia="en-GB"/>
              </w:rPr>
            </w:pPr>
          </w:p>
        </w:tc>
        <w:tc>
          <w:tcPr>
            <w:tcW w:w="1276" w:type="dxa"/>
            <w:hideMark/>
          </w:tcPr>
          <w:p w14:paraId="1812D29A" w14:textId="77777777" w:rsidR="00196355" w:rsidRPr="00322D9C" w:rsidRDefault="00196355" w:rsidP="00322D9C">
            <w:pPr>
              <w:pStyle w:val="D9"/>
              <w:widowControl w:val="0"/>
              <w:tabs>
                <w:tab w:val="left" w:pos="882"/>
              </w:tabs>
              <w:ind w:left="284" w:right="0"/>
              <w:jc w:val="right"/>
              <w:rPr>
                <w:rFonts w:asciiTheme="minorHAnsi" w:hAnsiTheme="minorHAnsi" w:cstheme="minorHAnsi"/>
                <w:sz w:val="16"/>
                <w:szCs w:val="16"/>
                <w:lang w:eastAsia="en-GB"/>
              </w:rPr>
            </w:pPr>
          </w:p>
        </w:tc>
      </w:tr>
    </w:tbl>
    <w:p w14:paraId="4D5F031A" w14:textId="5106D130" w:rsidR="00C74A3A" w:rsidRPr="00322D9C" w:rsidRDefault="00C74A3A" w:rsidP="00322D9C">
      <w:pPr>
        <w:ind w:left="284"/>
        <w:rPr>
          <w:rFonts w:asciiTheme="minorHAnsi" w:hAnsiTheme="minorHAnsi" w:cstheme="minorHAnsi"/>
          <w:b/>
          <w:sz w:val="20"/>
        </w:rPr>
      </w:pPr>
    </w:p>
    <w:tbl>
      <w:tblPr>
        <w:tblW w:w="9072" w:type="dxa"/>
        <w:tblInd w:w="284" w:type="dxa"/>
        <w:tblLayout w:type="fixed"/>
        <w:tblLook w:val="04A0" w:firstRow="1" w:lastRow="0" w:firstColumn="1" w:lastColumn="0" w:noHBand="0" w:noVBand="1"/>
      </w:tblPr>
      <w:tblGrid>
        <w:gridCol w:w="1417"/>
        <w:gridCol w:w="993"/>
        <w:gridCol w:w="283"/>
        <w:gridCol w:w="567"/>
        <w:gridCol w:w="567"/>
        <w:gridCol w:w="425"/>
        <w:gridCol w:w="851"/>
        <w:gridCol w:w="992"/>
        <w:gridCol w:w="425"/>
        <w:gridCol w:w="560"/>
        <w:gridCol w:w="716"/>
        <w:gridCol w:w="1276"/>
      </w:tblGrid>
      <w:tr w:rsidR="00196355" w:rsidRPr="00322D9C" w14:paraId="008D3F92" w14:textId="77777777" w:rsidTr="003256A6">
        <w:trPr>
          <w:trHeight w:val="101"/>
        </w:trPr>
        <w:tc>
          <w:tcPr>
            <w:tcW w:w="1417" w:type="dxa"/>
          </w:tcPr>
          <w:p w14:paraId="600E4E23"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gridSpan w:val="2"/>
          </w:tcPr>
          <w:p w14:paraId="1FD89153"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524BD340"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41F41DA2" w14:textId="6349F27C"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Net cash at 01 July 2020</w:t>
            </w:r>
          </w:p>
        </w:tc>
        <w:tc>
          <w:tcPr>
            <w:tcW w:w="1134" w:type="dxa"/>
            <w:gridSpan w:val="2"/>
          </w:tcPr>
          <w:p w14:paraId="4D21B275"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20C80DD8"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35C7DB0E"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p>
          <w:p w14:paraId="4F2B7BC8"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Cash flow</w:t>
            </w:r>
          </w:p>
        </w:tc>
        <w:tc>
          <w:tcPr>
            <w:tcW w:w="1276" w:type="dxa"/>
            <w:gridSpan w:val="2"/>
          </w:tcPr>
          <w:p w14:paraId="52387D60" w14:textId="77777777" w:rsidR="00196355" w:rsidRPr="00322D9C" w:rsidRDefault="00196355" w:rsidP="003F124B">
            <w:pPr>
              <w:pStyle w:val="Thead"/>
              <w:keepNext w:val="0"/>
              <w:widowControl w:val="0"/>
              <w:spacing w:line="256" w:lineRule="auto"/>
              <w:ind w:left="284" w:right="0"/>
              <w:rPr>
                <w:rFonts w:asciiTheme="minorHAnsi" w:hAnsiTheme="minorHAnsi" w:cstheme="minorHAnsi"/>
                <w:bCs w:val="0"/>
                <w:sz w:val="16"/>
                <w:szCs w:val="16"/>
                <w:lang w:eastAsia="en-GB"/>
              </w:rPr>
            </w:pPr>
          </w:p>
          <w:p w14:paraId="5C2E9DEC" w14:textId="77777777" w:rsidR="00196355" w:rsidRPr="00322D9C" w:rsidRDefault="00196355" w:rsidP="003F124B">
            <w:pPr>
              <w:pStyle w:val="Thead"/>
              <w:keepNext w:val="0"/>
              <w:widowControl w:val="0"/>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Loan notes issued in the</w:t>
            </w:r>
          </w:p>
          <w:p w14:paraId="036D3C9B" w14:textId="77777777" w:rsidR="00196355" w:rsidRPr="00322D9C" w:rsidRDefault="00196355" w:rsidP="003F124B">
            <w:pPr>
              <w:pStyle w:val="Thead"/>
              <w:keepNext w:val="0"/>
              <w:widowControl w:val="0"/>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 xml:space="preserve"> period</w:t>
            </w:r>
          </w:p>
        </w:tc>
        <w:tc>
          <w:tcPr>
            <w:tcW w:w="1417" w:type="dxa"/>
            <w:gridSpan w:val="2"/>
          </w:tcPr>
          <w:p w14:paraId="10BABFEF" w14:textId="77777777" w:rsidR="00196355" w:rsidRPr="00322D9C" w:rsidRDefault="00196355" w:rsidP="003F124B">
            <w:pPr>
              <w:pStyle w:val="Thead"/>
              <w:keepNext w:val="0"/>
              <w:widowControl w:val="0"/>
              <w:spacing w:line="256" w:lineRule="auto"/>
              <w:ind w:left="284" w:right="0"/>
              <w:rPr>
                <w:rFonts w:asciiTheme="minorHAnsi" w:hAnsiTheme="minorHAnsi" w:cstheme="minorHAnsi"/>
                <w:bCs w:val="0"/>
                <w:sz w:val="16"/>
                <w:szCs w:val="16"/>
                <w:lang w:eastAsia="en-GB"/>
              </w:rPr>
            </w:pPr>
          </w:p>
          <w:p w14:paraId="6761DB16" w14:textId="77777777" w:rsidR="00196355" w:rsidRPr="00322D9C" w:rsidRDefault="00196355" w:rsidP="003F124B">
            <w:pPr>
              <w:pStyle w:val="Thead"/>
              <w:keepNext w:val="0"/>
              <w:widowControl w:val="0"/>
              <w:tabs>
                <w:tab w:val="left" w:pos="602"/>
              </w:tabs>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Loan notes converted in the period</w:t>
            </w:r>
          </w:p>
        </w:tc>
        <w:tc>
          <w:tcPr>
            <w:tcW w:w="1276" w:type="dxa"/>
            <w:gridSpan w:val="2"/>
          </w:tcPr>
          <w:p w14:paraId="301EBBBA" w14:textId="77777777" w:rsidR="00196355" w:rsidRPr="00322D9C" w:rsidRDefault="00196355" w:rsidP="00322D9C">
            <w:pPr>
              <w:pStyle w:val="Thead"/>
              <w:keepNext w:val="0"/>
              <w:widowControl w:val="0"/>
              <w:tabs>
                <w:tab w:val="left" w:pos="602"/>
              </w:tabs>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Repayment of borrowings</w:t>
            </w:r>
          </w:p>
          <w:p w14:paraId="26149528" w14:textId="77777777" w:rsidR="00196355" w:rsidRPr="00322D9C" w:rsidRDefault="00196355" w:rsidP="00322D9C">
            <w:pPr>
              <w:pStyle w:val="Thead"/>
              <w:keepNext w:val="0"/>
              <w:widowControl w:val="0"/>
              <w:tabs>
                <w:tab w:val="left" w:pos="602"/>
              </w:tabs>
              <w:spacing w:line="256" w:lineRule="auto"/>
              <w:ind w:left="284" w:right="0"/>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(continuing activities)</w:t>
            </w:r>
          </w:p>
        </w:tc>
        <w:tc>
          <w:tcPr>
            <w:tcW w:w="1276" w:type="dxa"/>
          </w:tcPr>
          <w:p w14:paraId="791BD5A9" w14:textId="77777777"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p>
          <w:p w14:paraId="3BE0AF21" w14:textId="77777777"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p>
          <w:p w14:paraId="35AB4CD8" w14:textId="77777777"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Net cash</w:t>
            </w:r>
          </w:p>
          <w:p w14:paraId="07AFDBBB" w14:textId="3D500F7D"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bCs w:val="0"/>
                <w:sz w:val="16"/>
                <w:szCs w:val="16"/>
                <w:lang w:eastAsia="en-GB"/>
              </w:rPr>
              <w:t>at 30 June 2021</w:t>
            </w:r>
          </w:p>
        </w:tc>
      </w:tr>
      <w:tr w:rsidR="00196355" w:rsidRPr="00322D9C" w14:paraId="2DBEEFAF" w14:textId="77777777" w:rsidTr="003256A6">
        <w:trPr>
          <w:trHeight w:val="101"/>
        </w:trPr>
        <w:tc>
          <w:tcPr>
            <w:tcW w:w="1417" w:type="dxa"/>
          </w:tcPr>
          <w:p w14:paraId="45CC8514"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gridSpan w:val="2"/>
          </w:tcPr>
          <w:p w14:paraId="521A1D38"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c>
          <w:tcPr>
            <w:tcW w:w="1134" w:type="dxa"/>
            <w:gridSpan w:val="2"/>
          </w:tcPr>
          <w:p w14:paraId="4EDFC130"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c>
          <w:tcPr>
            <w:tcW w:w="1276" w:type="dxa"/>
            <w:gridSpan w:val="2"/>
          </w:tcPr>
          <w:p w14:paraId="79033217" w14:textId="77777777" w:rsidR="00196355" w:rsidRPr="00322D9C" w:rsidRDefault="00196355" w:rsidP="003F124B">
            <w:pPr>
              <w:pStyle w:val="Thead"/>
              <w:keepNext w:val="0"/>
              <w:widowControl w:val="0"/>
              <w:spacing w:line="256" w:lineRule="auto"/>
              <w:ind w:left="284" w:right="0"/>
              <w:rPr>
                <w:rFonts w:asciiTheme="minorHAnsi" w:hAnsiTheme="minorHAnsi" w:cstheme="minorHAnsi"/>
                <w:snapToGrid w:val="0"/>
                <w:sz w:val="16"/>
                <w:szCs w:val="16"/>
              </w:rPr>
            </w:pPr>
            <w:r w:rsidRPr="00322D9C">
              <w:rPr>
                <w:rFonts w:asciiTheme="minorHAnsi" w:hAnsiTheme="minorHAnsi" w:cstheme="minorHAnsi"/>
                <w:snapToGrid w:val="0"/>
                <w:sz w:val="16"/>
                <w:szCs w:val="16"/>
              </w:rPr>
              <w:t>£</w:t>
            </w:r>
          </w:p>
        </w:tc>
        <w:tc>
          <w:tcPr>
            <w:tcW w:w="1417" w:type="dxa"/>
            <w:gridSpan w:val="2"/>
          </w:tcPr>
          <w:p w14:paraId="0AA58C87" w14:textId="77777777" w:rsidR="00196355" w:rsidRPr="00322D9C" w:rsidRDefault="00196355" w:rsidP="003F124B">
            <w:pPr>
              <w:pStyle w:val="Thead"/>
              <w:keepNext w:val="0"/>
              <w:widowControl w:val="0"/>
              <w:spacing w:line="256" w:lineRule="auto"/>
              <w:ind w:left="284" w:right="0"/>
              <w:rPr>
                <w:rFonts w:asciiTheme="minorHAnsi" w:hAnsiTheme="minorHAnsi" w:cstheme="minorHAnsi"/>
                <w:snapToGrid w:val="0"/>
                <w:sz w:val="16"/>
                <w:szCs w:val="16"/>
              </w:rPr>
            </w:pPr>
            <w:r w:rsidRPr="00322D9C">
              <w:rPr>
                <w:rFonts w:asciiTheme="minorHAnsi" w:hAnsiTheme="minorHAnsi" w:cstheme="minorHAnsi"/>
                <w:snapToGrid w:val="0"/>
                <w:sz w:val="16"/>
                <w:szCs w:val="16"/>
              </w:rPr>
              <w:t>£</w:t>
            </w:r>
          </w:p>
        </w:tc>
        <w:tc>
          <w:tcPr>
            <w:tcW w:w="1276" w:type="dxa"/>
            <w:gridSpan w:val="2"/>
          </w:tcPr>
          <w:p w14:paraId="0C0CC760"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c>
          <w:tcPr>
            <w:tcW w:w="1276" w:type="dxa"/>
          </w:tcPr>
          <w:p w14:paraId="581160E4" w14:textId="77777777" w:rsidR="00196355" w:rsidRPr="00322D9C" w:rsidRDefault="00196355" w:rsidP="00322D9C">
            <w:pPr>
              <w:pStyle w:val="Thead"/>
              <w:keepNext w:val="0"/>
              <w:widowControl w:val="0"/>
              <w:spacing w:line="256" w:lineRule="auto"/>
              <w:ind w:left="284"/>
              <w:rPr>
                <w:rFonts w:asciiTheme="minorHAnsi" w:hAnsiTheme="minorHAnsi" w:cstheme="minorHAnsi"/>
                <w:bCs w:val="0"/>
                <w:sz w:val="16"/>
                <w:szCs w:val="16"/>
                <w:lang w:eastAsia="en-GB"/>
              </w:rPr>
            </w:pPr>
            <w:r w:rsidRPr="00322D9C">
              <w:rPr>
                <w:rFonts w:asciiTheme="minorHAnsi" w:hAnsiTheme="minorHAnsi" w:cstheme="minorHAnsi"/>
                <w:snapToGrid w:val="0"/>
                <w:sz w:val="16"/>
                <w:szCs w:val="16"/>
              </w:rPr>
              <w:t>£</w:t>
            </w:r>
          </w:p>
        </w:tc>
      </w:tr>
      <w:tr w:rsidR="00196355" w:rsidRPr="00322D9C" w14:paraId="224F30F7" w14:textId="77777777" w:rsidTr="003256A6">
        <w:trPr>
          <w:trHeight w:val="101"/>
        </w:trPr>
        <w:tc>
          <w:tcPr>
            <w:tcW w:w="1417" w:type="dxa"/>
          </w:tcPr>
          <w:p w14:paraId="10FDD2C9"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gridSpan w:val="2"/>
          </w:tcPr>
          <w:p w14:paraId="748C240F"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snapToGrid w:val="0"/>
                <w:sz w:val="16"/>
                <w:szCs w:val="16"/>
              </w:rPr>
            </w:pPr>
          </w:p>
        </w:tc>
        <w:tc>
          <w:tcPr>
            <w:tcW w:w="1134" w:type="dxa"/>
            <w:gridSpan w:val="2"/>
          </w:tcPr>
          <w:p w14:paraId="3F5058BF"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snapToGrid w:val="0"/>
                <w:sz w:val="16"/>
                <w:szCs w:val="16"/>
              </w:rPr>
            </w:pPr>
          </w:p>
        </w:tc>
        <w:tc>
          <w:tcPr>
            <w:tcW w:w="1276" w:type="dxa"/>
            <w:gridSpan w:val="2"/>
          </w:tcPr>
          <w:p w14:paraId="086976A0" w14:textId="77777777" w:rsidR="00196355" w:rsidRPr="00322D9C" w:rsidRDefault="00196355" w:rsidP="003F124B">
            <w:pPr>
              <w:pStyle w:val="Thead"/>
              <w:keepNext w:val="0"/>
              <w:widowControl w:val="0"/>
              <w:spacing w:line="256" w:lineRule="auto"/>
              <w:ind w:left="38" w:right="0"/>
              <w:rPr>
                <w:rFonts w:asciiTheme="minorHAnsi" w:hAnsiTheme="minorHAnsi" w:cstheme="minorHAnsi"/>
                <w:snapToGrid w:val="0"/>
                <w:sz w:val="16"/>
                <w:szCs w:val="16"/>
              </w:rPr>
            </w:pPr>
          </w:p>
        </w:tc>
        <w:tc>
          <w:tcPr>
            <w:tcW w:w="1417" w:type="dxa"/>
            <w:gridSpan w:val="2"/>
          </w:tcPr>
          <w:p w14:paraId="50F8866E" w14:textId="77777777" w:rsidR="00196355" w:rsidRPr="00322D9C" w:rsidRDefault="00196355" w:rsidP="003F124B">
            <w:pPr>
              <w:pStyle w:val="Thead"/>
              <w:keepNext w:val="0"/>
              <w:widowControl w:val="0"/>
              <w:spacing w:line="256" w:lineRule="auto"/>
              <w:ind w:left="284" w:right="0"/>
              <w:rPr>
                <w:rFonts w:asciiTheme="minorHAnsi" w:hAnsiTheme="minorHAnsi" w:cstheme="minorHAnsi"/>
                <w:snapToGrid w:val="0"/>
                <w:sz w:val="16"/>
                <w:szCs w:val="16"/>
              </w:rPr>
            </w:pPr>
          </w:p>
        </w:tc>
        <w:tc>
          <w:tcPr>
            <w:tcW w:w="1276" w:type="dxa"/>
            <w:gridSpan w:val="2"/>
          </w:tcPr>
          <w:p w14:paraId="694A0D8A" w14:textId="77777777" w:rsidR="00196355" w:rsidRPr="00322D9C" w:rsidRDefault="00196355" w:rsidP="00322D9C">
            <w:pPr>
              <w:pStyle w:val="Thead"/>
              <w:keepNext w:val="0"/>
              <w:widowControl w:val="0"/>
              <w:tabs>
                <w:tab w:val="left" w:pos="882"/>
              </w:tabs>
              <w:spacing w:line="256" w:lineRule="auto"/>
              <w:ind w:left="284"/>
              <w:rPr>
                <w:rFonts w:asciiTheme="minorHAnsi" w:hAnsiTheme="minorHAnsi" w:cstheme="minorHAnsi"/>
                <w:snapToGrid w:val="0"/>
                <w:sz w:val="16"/>
                <w:szCs w:val="16"/>
              </w:rPr>
            </w:pPr>
          </w:p>
        </w:tc>
        <w:tc>
          <w:tcPr>
            <w:tcW w:w="1276" w:type="dxa"/>
          </w:tcPr>
          <w:p w14:paraId="7C74A79D" w14:textId="77777777" w:rsidR="00196355" w:rsidRPr="00322D9C" w:rsidRDefault="00196355" w:rsidP="00322D9C">
            <w:pPr>
              <w:pStyle w:val="Thead"/>
              <w:keepNext w:val="0"/>
              <w:widowControl w:val="0"/>
              <w:spacing w:line="256" w:lineRule="auto"/>
              <w:ind w:left="284"/>
              <w:rPr>
                <w:rFonts w:asciiTheme="minorHAnsi" w:hAnsiTheme="minorHAnsi" w:cstheme="minorHAnsi"/>
                <w:snapToGrid w:val="0"/>
                <w:sz w:val="16"/>
                <w:szCs w:val="16"/>
              </w:rPr>
            </w:pPr>
          </w:p>
        </w:tc>
      </w:tr>
      <w:tr w:rsidR="00196355" w:rsidRPr="00322D9C" w14:paraId="2F212BEC" w14:textId="77777777" w:rsidTr="003256A6">
        <w:trPr>
          <w:trHeight w:val="101"/>
        </w:trPr>
        <w:tc>
          <w:tcPr>
            <w:tcW w:w="1417" w:type="dxa"/>
          </w:tcPr>
          <w:p w14:paraId="5316422E"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b/>
                <w:sz w:val="16"/>
                <w:szCs w:val="16"/>
              </w:rPr>
            </w:pPr>
            <w:r w:rsidRPr="00322D9C">
              <w:rPr>
                <w:rFonts w:asciiTheme="minorHAnsi" w:hAnsiTheme="minorHAnsi" w:cstheme="minorHAnsi"/>
                <w:sz w:val="16"/>
                <w:szCs w:val="16"/>
              </w:rPr>
              <w:t>Cash at bank and in hand</w:t>
            </w:r>
          </w:p>
        </w:tc>
        <w:tc>
          <w:tcPr>
            <w:tcW w:w="1276" w:type="dxa"/>
            <w:gridSpan w:val="2"/>
          </w:tcPr>
          <w:p w14:paraId="17F5BF5F" w14:textId="6315F145"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180,397</w:t>
            </w:r>
          </w:p>
        </w:tc>
        <w:tc>
          <w:tcPr>
            <w:tcW w:w="1134" w:type="dxa"/>
            <w:gridSpan w:val="2"/>
          </w:tcPr>
          <w:p w14:paraId="49BB5F20" w14:textId="00BA5780" w:rsidR="00196355" w:rsidRPr="00322D9C" w:rsidRDefault="00196355" w:rsidP="00322D9C">
            <w:pPr>
              <w:pStyle w:val="Thead"/>
              <w:keepNext w:val="0"/>
              <w:widowControl w:val="0"/>
              <w:tabs>
                <w:tab w:val="left" w:pos="776"/>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(129,468)</w:t>
            </w:r>
          </w:p>
        </w:tc>
        <w:tc>
          <w:tcPr>
            <w:tcW w:w="1276" w:type="dxa"/>
            <w:gridSpan w:val="2"/>
          </w:tcPr>
          <w:p w14:paraId="343D30A2" w14:textId="77777777" w:rsidR="00196355" w:rsidRPr="00322D9C" w:rsidRDefault="00196355" w:rsidP="003F124B">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417" w:type="dxa"/>
            <w:gridSpan w:val="2"/>
          </w:tcPr>
          <w:p w14:paraId="2A7F80CF" w14:textId="77777777" w:rsidR="00196355" w:rsidRPr="00322D9C" w:rsidRDefault="00196355" w:rsidP="003F124B">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gridSpan w:val="2"/>
          </w:tcPr>
          <w:p w14:paraId="787D4363" w14:textId="77777777"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tcPr>
          <w:p w14:paraId="2665EC26" w14:textId="0BC8CA87" w:rsidR="00196355" w:rsidRPr="00322D9C" w:rsidRDefault="00F0388A"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5</w:t>
            </w:r>
            <w:r w:rsidR="00196355" w:rsidRPr="00322D9C">
              <w:rPr>
                <w:rFonts w:asciiTheme="minorHAnsi" w:hAnsiTheme="minorHAnsi" w:cstheme="minorHAnsi"/>
                <w:b w:val="0"/>
                <w:bCs w:val="0"/>
                <w:sz w:val="16"/>
                <w:szCs w:val="16"/>
                <w:lang w:eastAsia="en-GB"/>
              </w:rPr>
              <w:t>0,9</w:t>
            </w:r>
            <w:r w:rsidRPr="00322D9C">
              <w:rPr>
                <w:rFonts w:asciiTheme="minorHAnsi" w:hAnsiTheme="minorHAnsi" w:cstheme="minorHAnsi"/>
                <w:b w:val="0"/>
                <w:bCs w:val="0"/>
                <w:sz w:val="16"/>
                <w:szCs w:val="16"/>
                <w:lang w:eastAsia="en-GB"/>
              </w:rPr>
              <w:t>29</w:t>
            </w:r>
          </w:p>
        </w:tc>
      </w:tr>
      <w:tr w:rsidR="00196355" w:rsidRPr="00322D9C" w14:paraId="2D11C058" w14:textId="77777777" w:rsidTr="003256A6">
        <w:trPr>
          <w:trHeight w:val="101"/>
        </w:trPr>
        <w:tc>
          <w:tcPr>
            <w:tcW w:w="1417" w:type="dxa"/>
          </w:tcPr>
          <w:p w14:paraId="269EC677"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b/>
                <w:sz w:val="16"/>
                <w:szCs w:val="16"/>
              </w:rPr>
            </w:pPr>
            <w:r w:rsidRPr="00322D9C">
              <w:rPr>
                <w:rFonts w:asciiTheme="minorHAnsi" w:hAnsiTheme="minorHAnsi" w:cstheme="minorHAnsi"/>
                <w:sz w:val="16"/>
                <w:szCs w:val="16"/>
              </w:rPr>
              <w:t>Borrowings</w:t>
            </w:r>
          </w:p>
        </w:tc>
        <w:tc>
          <w:tcPr>
            <w:tcW w:w="1276" w:type="dxa"/>
            <w:gridSpan w:val="2"/>
          </w:tcPr>
          <w:p w14:paraId="343092E1" w14:textId="274E3997"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(1,739,594)</w:t>
            </w:r>
          </w:p>
        </w:tc>
        <w:tc>
          <w:tcPr>
            <w:tcW w:w="1134" w:type="dxa"/>
            <w:gridSpan w:val="2"/>
          </w:tcPr>
          <w:p w14:paraId="467F9ECD" w14:textId="77777777"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gridSpan w:val="2"/>
          </w:tcPr>
          <w:p w14:paraId="28FBE8E1" w14:textId="501BDF9F" w:rsidR="00196355" w:rsidRPr="00322D9C" w:rsidRDefault="00196355" w:rsidP="003F124B">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r w:rsidR="00F0388A" w:rsidRPr="00322D9C">
              <w:rPr>
                <w:rFonts w:asciiTheme="minorHAnsi" w:hAnsiTheme="minorHAnsi" w:cstheme="minorHAnsi"/>
                <w:b w:val="0"/>
                <w:bCs w:val="0"/>
                <w:sz w:val="16"/>
                <w:szCs w:val="16"/>
                <w:lang w:eastAsia="en-GB"/>
              </w:rPr>
              <w:t>7</w:t>
            </w:r>
            <w:r w:rsidRPr="00322D9C">
              <w:rPr>
                <w:rFonts w:asciiTheme="minorHAnsi" w:hAnsiTheme="minorHAnsi" w:cstheme="minorHAnsi"/>
                <w:b w:val="0"/>
                <w:bCs w:val="0"/>
                <w:sz w:val="16"/>
                <w:szCs w:val="16"/>
                <w:lang w:eastAsia="en-GB"/>
              </w:rPr>
              <w:t>2</w:t>
            </w:r>
            <w:r w:rsidR="00F0388A" w:rsidRPr="00322D9C">
              <w:rPr>
                <w:rFonts w:asciiTheme="minorHAnsi" w:hAnsiTheme="minorHAnsi" w:cstheme="minorHAnsi"/>
                <w:b w:val="0"/>
                <w:bCs w:val="0"/>
                <w:sz w:val="16"/>
                <w:szCs w:val="16"/>
                <w:lang w:eastAsia="en-GB"/>
              </w:rPr>
              <w:t>0</w:t>
            </w:r>
            <w:r w:rsidRPr="00322D9C">
              <w:rPr>
                <w:rFonts w:asciiTheme="minorHAnsi" w:hAnsiTheme="minorHAnsi" w:cstheme="minorHAnsi"/>
                <w:b w:val="0"/>
                <w:bCs w:val="0"/>
                <w:sz w:val="16"/>
                <w:szCs w:val="16"/>
                <w:lang w:eastAsia="en-GB"/>
              </w:rPr>
              <w:t>,000)</w:t>
            </w:r>
          </w:p>
        </w:tc>
        <w:tc>
          <w:tcPr>
            <w:tcW w:w="1417" w:type="dxa"/>
            <w:gridSpan w:val="2"/>
          </w:tcPr>
          <w:p w14:paraId="6321C160" w14:textId="41D1B627" w:rsidR="00196355" w:rsidRPr="00322D9C" w:rsidRDefault="00F0388A" w:rsidP="003F124B">
            <w:pPr>
              <w:pStyle w:val="Thead"/>
              <w:keepNext w:val="0"/>
              <w:widowControl w:val="0"/>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p>
        </w:tc>
        <w:tc>
          <w:tcPr>
            <w:tcW w:w="1276" w:type="dxa"/>
            <w:gridSpan w:val="2"/>
          </w:tcPr>
          <w:p w14:paraId="21045E36" w14:textId="38971EF1"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4</w:t>
            </w:r>
            <w:r w:rsidR="00F0388A" w:rsidRPr="00322D9C">
              <w:rPr>
                <w:rFonts w:asciiTheme="minorHAnsi" w:hAnsiTheme="minorHAnsi" w:cstheme="minorHAnsi"/>
                <w:b w:val="0"/>
                <w:bCs w:val="0"/>
                <w:sz w:val="16"/>
                <w:szCs w:val="16"/>
                <w:lang w:eastAsia="en-GB"/>
              </w:rPr>
              <w:t>4</w:t>
            </w:r>
            <w:r w:rsidRPr="00322D9C">
              <w:rPr>
                <w:rFonts w:asciiTheme="minorHAnsi" w:hAnsiTheme="minorHAnsi" w:cstheme="minorHAnsi"/>
                <w:b w:val="0"/>
                <w:bCs w:val="0"/>
                <w:sz w:val="16"/>
                <w:szCs w:val="16"/>
                <w:lang w:eastAsia="en-GB"/>
              </w:rPr>
              <w:t>,</w:t>
            </w:r>
            <w:r w:rsidR="00F0388A" w:rsidRPr="00322D9C">
              <w:rPr>
                <w:rFonts w:asciiTheme="minorHAnsi" w:hAnsiTheme="minorHAnsi" w:cstheme="minorHAnsi"/>
                <w:b w:val="0"/>
                <w:bCs w:val="0"/>
                <w:sz w:val="16"/>
                <w:szCs w:val="16"/>
                <w:lang w:eastAsia="en-GB"/>
              </w:rPr>
              <w:t>59</w:t>
            </w:r>
            <w:r w:rsidRPr="00322D9C">
              <w:rPr>
                <w:rFonts w:asciiTheme="minorHAnsi" w:hAnsiTheme="minorHAnsi" w:cstheme="minorHAnsi"/>
                <w:b w:val="0"/>
                <w:bCs w:val="0"/>
                <w:sz w:val="16"/>
                <w:szCs w:val="16"/>
                <w:lang w:eastAsia="en-GB"/>
              </w:rPr>
              <w:t>4</w:t>
            </w:r>
          </w:p>
        </w:tc>
        <w:tc>
          <w:tcPr>
            <w:tcW w:w="1276" w:type="dxa"/>
          </w:tcPr>
          <w:p w14:paraId="5384E9FF" w14:textId="7DCD2224" w:rsidR="00196355" w:rsidRPr="00322D9C" w:rsidRDefault="00196355" w:rsidP="00322D9C">
            <w:pPr>
              <w:pStyle w:val="Thead"/>
              <w:keepNext w:val="0"/>
              <w:widowControl w:val="0"/>
              <w:tabs>
                <w:tab w:val="left" w:pos="882"/>
              </w:tabs>
              <w:spacing w:line="256" w:lineRule="auto"/>
              <w:ind w:left="284" w:right="0"/>
              <w:rPr>
                <w:rFonts w:asciiTheme="minorHAnsi" w:hAnsiTheme="minorHAnsi" w:cstheme="minorHAnsi"/>
                <w:b w:val="0"/>
                <w:bCs w:val="0"/>
                <w:sz w:val="16"/>
                <w:szCs w:val="16"/>
                <w:lang w:eastAsia="en-GB"/>
              </w:rPr>
            </w:pPr>
            <w:r w:rsidRPr="00322D9C">
              <w:rPr>
                <w:rFonts w:asciiTheme="minorHAnsi" w:hAnsiTheme="minorHAnsi" w:cstheme="minorHAnsi"/>
                <w:b w:val="0"/>
                <w:bCs w:val="0"/>
                <w:sz w:val="16"/>
                <w:szCs w:val="16"/>
                <w:lang w:eastAsia="en-GB"/>
              </w:rPr>
              <w:t>(</w:t>
            </w:r>
            <w:r w:rsidR="00F0388A" w:rsidRPr="00322D9C">
              <w:rPr>
                <w:rFonts w:asciiTheme="minorHAnsi" w:hAnsiTheme="minorHAnsi" w:cstheme="minorHAnsi"/>
                <w:b w:val="0"/>
                <w:bCs w:val="0"/>
                <w:sz w:val="16"/>
                <w:szCs w:val="16"/>
                <w:lang w:eastAsia="en-GB"/>
              </w:rPr>
              <w:t>2</w:t>
            </w:r>
            <w:r w:rsidRPr="00322D9C">
              <w:rPr>
                <w:rFonts w:asciiTheme="minorHAnsi" w:hAnsiTheme="minorHAnsi" w:cstheme="minorHAnsi"/>
                <w:b w:val="0"/>
                <w:bCs w:val="0"/>
                <w:sz w:val="16"/>
                <w:szCs w:val="16"/>
                <w:lang w:eastAsia="en-GB"/>
              </w:rPr>
              <w:t>,</w:t>
            </w:r>
            <w:r w:rsidR="00F0388A" w:rsidRPr="00322D9C">
              <w:rPr>
                <w:rFonts w:asciiTheme="minorHAnsi" w:hAnsiTheme="minorHAnsi" w:cstheme="minorHAnsi"/>
                <w:b w:val="0"/>
                <w:bCs w:val="0"/>
                <w:sz w:val="16"/>
                <w:szCs w:val="16"/>
                <w:lang w:eastAsia="en-GB"/>
              </w:rPr>
              <w:t>415</w:t>
            </w:r>
            <w:r w:rsidRPr="00322D9C">
              <w:rPr>
                <w:rFonts w:asciiTheme="minorHAnsi" w:hAnsiTheme="minorHAnsi" w:cstheme="minorHAnsi"/>
                <w:b w:val="0"/>
                <w:bCs w:val="0"/>
                <w:sz w:val="16"/>
                <w:szCs w:val="16"/>
                <w:lang w:eastAsia="en-GB"/>
              </w:rPr>
              <w:t>,</w:t>
            </w:r>
            <w:r w:rsidR="00F0388A" w:rsidRPr="00322D9C">
              <w:rPr>
                <w:rFonts w:asciiTheme="minorHAnsi" w:hAnsiTheme="minorHAnsi" w:cstheme="minorHAnsi"/>
                <w:b w:val="0"/>
                <w:bCs w:val="0"/>
                <w:sz w:val="16"/>
                <w:szCs w:val="16"/>
                <w:lang w:eastAsia="en-GB"/>
              </w:rPr>
              <w:t>000</w:t>
            </w:r>
            <w:r w:rsidRPr="00322D9C">
              <w:rPr>
                <w:rFonts w:asciiTheme="minorHAnsi" w:hAnsiTheme="minorHAnsi" w:cstheme="minorHAnsi"/>
                <w:b w:val="0"/>
                <w:bCs w:val="0"/>
                <w:sz w:val="16"/>
                <w:szCs w:val="16"/>
                <w:lang w:eastAsia="en-GB"/>
              </w:rPr>
              <w:t>)</w:t>
            </w:r>
          </w:p>
        </w:tc>
      </w:tr>
      <w:tr w:rsidR="00196355" w:rsidRPr="00322D9C" w14:paraId="714E05F6" w14:textId="77777777" w:rsidTr="003256A6">
        <w:tc>
          <w:tcPr>
            <w:tcW w:w="1417" w:type="dxa"/>
          </w:tcPr>
          <w:p w14:paraId="1D0CA83E"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rPr>
            </w:pPr>
          </w:p>
        </w:tc>
        <w:tc>
          <w:tcPr>
            <w:tcW w:w="1276" w:type="dxa"/>
            <w:gridSpan w:val="2"/>
          </w:tcPr>
          <w:p w14:paraId="099F15D0" w14:textId="7777777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c>
          <w:tcPr>
            <w:tcW w:w="1134" w:type="dxa"/>
            <w:gridSpan w:val="2"/>
          </w:tcPr>
          <w:p w14:paraId="37148463" w14:textId="7777777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c>
          <w:tcPr>
            <w:tcW w:w="1276" w:type="dxa"/>
            <w:gridSpan w:val="2"/>
          </w:tcPr>
          <w:p w14:paraId="292789CE" w14:textId="77777777" w:rsidR="00196355" w:rsidRPr="00322D9C" w:rsidRDefault="00196355" w:rsidP="003F124B">
            <w:pPr>
              <w:pStyle w:val="S9"/>
              <w:widowControl w:val="0"/>
              <w:ind w:left="284" w:right="0"/>
              <w:rPr>
                <w:rFonts w:asciiTheme="minorHAnsi" w:hAnsiTheme="minorHAnsi" w:cstheme="minorHAnsi"/>
                <w:sz w:val="16"/>
                <w:szCs w:val="16"/>
                <w:lang w:eastAsia="en-GB"/>
              </w:rPr>
            </w:pPr>
          </w:p>
        </w:tc>
        <w:tc>
          <w:tcPr>
            <w:tcW w:w="1417" w:type="dxa"/>
            <w:gridSpan w:val="2"/>
          </w:tcPr>
          <w:p w14:paraId="6CDE7462" w14:textId="77777777" w:rsidR="00196355" w:rsidRPr="00322D9C" w:rsidRDefault="00196355" w:rsidP="003F124B">
            <w:pPr>
              <w:pStyle w:val="S9"/>
              <w:widowControl w:val="0"/>
              <w:ind w:left="284" w:right="0"/>
              <w:rPr>
                <w:rFonts w:asciiTheme="minorHAnsi" w:hAnsiTheme="minorHAnsi" w:cstheme="minorHAnsi"/>
                <w:sz w:val="16"/>
                <w:szCs w:val="16"/>
                <w:lang w:eastAsia="en-GB"/>
              </w:rPr>
            </w:pPr>
          </w:p>
        </w:tc>
        <w:tc>
          <w:tcPr>
            <w:tcW w:w="1276" w:type="dxa"/>
            <w:gridSpan w:val="2"/>
          </w:tcPr>
          <w:p w14:paraId="2D23B78F" w14:textId="7777777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c>
          <w:tcPr>
            <w:tcW w:w="1276" w:type="dxa"/>
          </w:tcPr>
          <w:p w14:paraId="615ABE93" w14:textId="77777777" w:rsidR="00196355" w:rsidRPr="00322D9C" w:rsidRDefault="00196355" w:rsidP="00322D9C">
            <w:pPr>
              <w:pStyle w:val="S9"/>
              <w:widowControl w:val="0"/>
              <w:tabs>
                <w:tab w:val="left" w:pos="882"/>
              </w:tabs>
              <w:ind w:left="284" w:right="0"/>
              <w:rPr>
                <w:rFonts w:asciiTheme="minorHAnsi" w:hAnsiTheme="minorHAnsi" w:cstheme="minorHAnsi"/>
                <w:sz w:val="16"/>
                <w:szCs w:val="16"/>
                <w:lang w:eastAsia="en-GB"/>
              </w:rPr>
            </w:pPr>
          </w:p>
        </w:tc>
      </w:tr>
      <w:tr w:rsidR="00196355" w:rsidRPr="00786C36" w14:paraId="5CA488F1" w14:textId="77777777" w:rsidTr="003256A6">
        <w:tc>
          <w:tcPr>
            <w:tcW w:w="1417" w:type="dxa"/>
            <w:hideMark/>
          </w:tcPr>
          <w:p w14:paraId="5947922C" w14:textId="77777777" w:rsidR="00196355" w:rsidRPr="00322D9C"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b/>
                <w:sz w:val="16"/>
                <w:szCs w:val="16"/>
              </w:rPr>
            </w:pPr>
            <w:r w:rsidRPr="00322D9C">
              <w:rPr>
                <w:rFonts w:asciiTheme="minorHAnsi" w:hAnsiTheme="minorHAnsi" w:cstheme="minorHAnsi"/>
                <w:b/>
                <w:sz w:val="16"/>
                <w:szCs w:val="16"/>
              </w:rPr>
              <w:t xml:space="preserve">Total financial liabilities </w:t>
            </w:r>
          </w:p>
        </w:tc>
        <w:tc>
          <w:tcPr>
            <w:tcW w:w="1276" w:type="dxa"/>
            <w:gridSpan w:val="2"/>
          </w:tcPr>
          <w:p w14:paraId="29BF79BA" w14:textId="7BC43B9B"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(1,559,197)</w:t>
            </w:r>
          </w:p>
        </w:tc>
        <w:tc>
          <w:tcPr>
            <w:tcW w:w="1134" w:type="dxa"/>
            <w:gridSpan w:val="2"/>
          </w:tcPr>
          <w:p w14:paraId="31ADA2F2" w14:textId="5F8DD308"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(129,468)</w:t>
            </w:r>
          </w:p>
        </w:tc>
        <w:tc>
          <w:tcPr>
            <w:tcW w:w="1276" w:type="dxa"/>
            <w:gridSpan w:val="2"/>
          </w:tcPr>
          <w:p w14:paraId="6D50F79A" w14:textId="0077852F" w:rsidR="00196355" w:rsidRPr="00322D9C" w:rsidRDefault="00196355" w:rsidP="003F124B">
            <w:pPr>
              <w:pStyle w:val="Tdec"/>
              <w:widowControl w:val="0"/>
              <w:tabs>
                <w:tab w:val="clear" w:pos="993"/>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w:t>
            </w:r>
            <w:r w:rsidR="00F0388A" w:rsidRPr="00322D9C">
              <w:rPr>
                <w:rFonts w:asciiTheme="minorHAnsi" w:hAnsiTheme="minorHAnsi" w:cstheme="minorHAnsi"/>
                <w:sz w:val="16"/>
                <w:szCs w:val="16"/>
                <w:lang w:eastAsia="en-GB"/>
              </w:rPr>
              <w:t>7</w:t>
            </w:r>
            <w:r w:rsidRPr="00322D9C">
              <w:rPr>
                <w:rFonts w:asciiTheme="minorHAnsi" w:hAnsiTheme="minorHAnsi" w:cstheme="minorHAnsi"/>
                <w:sz w:val="16"/>
                <w:szCs w:val="16"/>
                <w:lang w:eastAsia="en-GB"/>
              </w:rPr>
              <w:t>2</w:t>
            </w:r>
            <w:r w:rsidR="00F0388A" w:rsidRPr="00322D9C">
              <w:rPr>
                <w:rFonts w:asciiTheme="minorHAnsi" w:hAnsiTheme="minorHAnsi" w:cstheme="minorHAnsi"/>
                <w:sz w:val="16"/>
                <w:szCs w:val="16"/>
                <w:lang w:eastAsia="en-GB"/>
              </w:rPr>
              <w:t>0</w:t>
            </w:r>
            <w:r w:rsidRPr="00322D9C">
              <w:rPr>
                <w:rFonts w:asciiTheme="minorHAnsi" w:hAnsiTheme="minorHAnsi" w:cstheme="minorHAnsi"/>
                <w:sz w:val="16"/>
                <w:szCs w:val="16"/>
                <w:lang w:eastAsia="en-GB"/>
              </w:rPr>
              <w:t>,000)</w:t>
            </w:r>
          </w:p>
        </w:tc>
        <w:tc>
          <w:tcPr>
            <w:tcW w:w="1417" w:type="dxa"/>
            <w:gridSpan w:val="2"/>
          </w:tcPr>
          <w:p w14:paraId="5637B90B" w14:textId="21287D80" w:rsidR="00196355" w:rsidRPr="00322D9C" w:rsidRDefault="00F0388A" w:rsidP="003F124B">
            <w:pPr>
              <w:pStyle w:val="Tdec"/>
              <w:widowControl w:val="0"/>
              <w:tabs>
                <w:tab w:val="clear" w:pos="993"/>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w:t>
            </w:r>
          </w:p>
        </w:tc>
        <w:tc>
          <w:tcPr>
            <w:tcW w:w="1276" w:type="dxa"/>
            <w:gridSpan w:val="2"/>
          </w:tcPr>
          <w:p w14:paraId="32C2BCA1" w14:textId="56B20712"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4</w:t>
            </w:r>
            <w:r w:rsidR="00F0388A" w:rsidRPr="00322D9C">
              <w:rPr>
                <w:rFonts w:asciiTheme="minorHAnsi" w:hAnsiTheme="minorHAnsi" w:cstheme="minorHAnsi"/>
                <w:sz w:val="16"/>
                <w:szCs w:val="16"/>
                <w:lang w:eastAsia="en-GB"/>
              </w:rPr>
              <w:t>4</w:t>
            </w:r>
            <w:r w:rsidRPr="00322D9C">
              <w:rPr>
                <w:rFonts w:asciiTheme="minorHAnsi" w:hAnsiTheme="minorHAnsi" w:cstheme="minorHAnsi"/>
                <w:sz w:val="16"/>
                <w:szCs w:val="16"/>
                <w:lang w:eastAsia="en-GB"/>
              </w:rPr>
              <w:t>,</w:t>
            </w:r>
            <w:r w:rsidR="00F0388A" w:rsidRPr="00322D9C">
              <w:rPr>
                <w:rFonts w:asciiTheme="minorHAnsi" w:hAnsiTheme="minorHAnsi" w:cstheme="minorHAnsi"/>
                <w:sz w:val="16"/>
                <w:szCs w:val="16"/>
                <w:lang w:eastAsia="en-GB"/>
              </w:rPr>
              <w:t>59</w:t>
            </w:r>
            <w:r w:rsidRPr="00322D9C">
              <w:rPr>
                <w:rFonts w:asciiTheme="minorHAnsi" w:hAnsiTheme="minorHAnsi" w:cstheme="minorHAnsi"/>
                <w:sz w:val="16"/>
                <w:szCs w:val="16"/>
                <w:lang w:eastAsia="en-GB"/>
              </w:rPr>
              <w:t>4</w:t>
            </w:r>
          </w:p>
        </w:tc>
        <w:tc>
          <w:tcPr>
            <w:tcW w:w="1276" w:type="dxa"/>
            <w:hideMark/>
          </w:tcPr>
          <w:p w14:paraId="567B8B86" w14:textId="15613145" w:rsidR="00196355" w:rsidRPr="00322D9C" w:rsidRDefault="00196355" w:rsidP="00322D9C">
            <w:pPr>
              <w:pStyle w:val="Tdec"/>
              <w:widowControl w:val="0"/>
              <w:tabs>
                <w:tab w:val="left" w:pos="882"/>
              </w:tabs>
              <w:spacing w:line="256" w:lineRule="auto"/>
              <w:ind w:left="284" w:right="0"/>
              <w:jc w:val="right"/>
              <w:rPr>
                <w:rFonts w:asciiTheme="minorHAnsi" w:hAnsiTheme="minorHAnsi" w:cstheme="minorHAnsi"/>
                <w:sz w:val="16"/>
                <w:szCs w:val="16"/>
                <w:lang w:eastAsia="en-GB"/>
              </w:rPr>
            </w:pPr>
            <w:r w:rsidRPr="00322D9C">
              <w:rPr>
                <w:rFonts w:asciiTheme="minorHAnsi" w:hAnsiTheme="minorHAnsi" w:cstheme="minorHAnsi"/>
                <w:sz w:val="16"/>
                <w:szCs w:val="16"/>
                <w:lang w:eastAsia="en-GB"/>
              </w:rPr>
              <w:t>(</w:t>
            </w:r>
            <w:r w:rsidR="00F0388A" w:rsidRPr="00322D9C">
              <w:rPr>
                <w:rFonts w:asciiTheme="minorHAnsi" w:hAnsiTheme="minorHAnsi" w:cstheme="minorHAnsi"/>
                <w:sz w:val="16"/>
                <w:szCs w:val="16"/>
                <w:lang w:eastAsia="en-GB"/>
              </w:rPr>
              <w:t>2</w:t>
            </w:r>
            <w:r w:rsidRPr="00322D9C">
              <w:rPr>
                <w:rFonts w:asciiTheme="minorHAnsi" w:hAnsiTheme="minorHAnsi" w:cstheme="minorHAnsi"/>
                <w:sz w:val="16"/>
                <w:szCs w:val="16"/>
                <w:lang w:eastAsia="en-GB"/>
              </w:rPr>
              <w:t>,</w:t>
            </w:r>
            <w:r w:rsidR="00F0388A" w:rsidRPr="00322D9C">
              <w:rPr>
                <w:rFonts w:asciiTheme="minorHAnsi" w:hAnsiTheme="minorHAnsi" w:cstheme="minorHAnsi"/>
                <w:sz w:val="16"/>
                <w:szCs w:val="16"/>
                <w:lang w:eastAsia="en-GB"/>
              </w:rPr>
              <w:t>364</w:t>
            </w:r>
            <w:r w:rsidRPr="00322D9C">
              <w:rPr>
                <w:rFonts w:asciiTheme="minorHAnsi" w:hAnsiTheme="minorHAnsi" w:cstheme="minorHAnsi"/>
                <w:sz w:val="16"/>
                <w:szCs w:val="16"/>
                <w:lang w:eastAsia="en-GB"/>
              </w:rPr>
              <w:t>,</w:t>
            </w:r>
            <w:r w:rsidR="00F0388A" w:rsidRPr="00322D9C">
              <w:rPr>
                <w:rFonts w:asciiTheme="minorHAnsi" w:hAnsiTheme="minorHAnsi" w:cstheme="minorHAnsi"/>
                <w:sz w:val="16"/>
                <w:szCs w:val="16"/>
                <w:lang w:eastAsia="en-GB"/>
              </w:rPr>
              <w:t>0</w:t>
            </w:r>
            <w:r w:rsidRPr="00322D9C">
              <w:rPr>
                <w:rFonts w:asciiTheme="minorHAnsi" w:hAnsiTheme="minorHAnsi" w:cstheme="minorHAnsi"/>
                <w:sz w:val="16"/>
                <w:szCs w:val="16"/>
                <w:lang w:eastAsia="en-GB"/>
              </w:rPr>
              <w:t>7</w:t>
            </w:r>
            <w:r w:rsidR="00F0388A" w:rsidRPr="00322D9C">
              <w:rPr>
                <w:rFonts w:asciiTheme="minorHAnsi" w:hAnsiTheme="minorHAnsi" w:cstheme="minorHAnsi"/>
                <w:sz w:val="16"/>
                <w:szCs w:val="16"/>
                <w:lang w:eastAsia="en-GB"/>
              </w:rPr>
              <w:t>1</w:t>
            </w:r>
            <w:r w:rsidRPr="00322D9C">
              <w:rPr>
                <w:rFonts w:asciiTheme="minorHAnsi" w:hAnsiTheme="minorHAnsi" w:cstheme="minorHAnsi"/>
                <w:sz w:val="16"/>
                <w:szCs w:val="16"/>
                <w:lang w:eastAsia="en-GB"/>
              </w:rPr>
              <w:t>)</w:t>
            </w:r>
          </w:p>
        </w:tc>
      </w:tr>
      <w:tr w:rsidR="00196355" w:rsidRPr="00786C36" w14:paraId="55F0A26E" w14:textId="77777777" w:rsidTr="003256A6">
        <w:tc>
          <w:tcPr>
            <w:tcW w:w="1417" w:type="dxa"/>
          </w:tcPr>
          <w:p w14:paraId="2F2669A8" w14:textId="77777777" w:rsidR="00196355" w:rsidRPr="00786C36" w:rsidRDefault="00196355" w:rsidP="00322D9C">
            <w:pPr>
              <w:widowControl w:val="0"/>
              <w:tabs>
                <w:tab w:val="left" w:pos="459"/>
                <w:tab w:val="left" w:pos="692"/>
                <w:tab w:val="decimal" w:pos="8362"/>
                <w:tab w:val="decimal" w:pos="9780"/>
              </w:tabs>
              <w:spacing w:line="256" w:lineRule="auto"/>
              <w:ind w:left="284"/>
              <w:rPr>
                <w:rFonts w:asciiTheme="minorHAnsi" w:hAnsiTheme="minorHAnsi" w:cstheme="minorHAnsi"/>
                <w:sz w:val="16"/>
                <w:szCs w:val="16"/>
                <w:highlight w:val="yellow"/>
              </w:rPr>
            </w:pPr>
          </w:p>
        </w:tc>
        <w:tc>
          <w:tcPr>
            <w:tcW w:w="1276" w:type="dxa"/>
            <w:gridSpan w:val="2"/>
          </w:tcPr>
          <w:p w14:paraId="6FB01F48" w14:textId="77777777" w:rsidR="00196355" w:rsidRPr="00786C36" w:rsidRDefault="00196355" w:rsidP="00322D9C">
            <w:pPr>
              <w:pStyle w:val="D9"/>
              <w:widowControl w:val="0"/>
              <w:tabs>
                <w:tab w:val="left" w:pos="882"/>
              </w:tabs>
              <w:ind w:left="284" w:right="0"/>
              <w:jc w:val="right"/>
              <w:rPr>
                <w:rFonts w:asciiTheme="minorHAnsi" w:hAnsiTheme="minorHAnsi" w:cstheme="minorHAnsi"/>
                <w:sz w:val="16"/>
                <w:szCs w:val="16"/>
                <w:highlight w:val="yellow"/>
                <w:lang w:eastAsia="en-GB"/>
              </w:rPr>
            </w:pPr>
          </w:p>
        </w:tc>
        <w:tc>
          <w:tcPr>
            <w:tcW w:w="1134" w:type="dxa"/>
            <w:gridSpan w:val="2"/>
          </w:tcPr>
          <w:p w14:paraId="52ACF169" w14:textId="77777777" w:rsidR="00196355" w:rsidRPr="00786C36" w:rsidRDefault="00196355" w:rsidP="00322D9C">
            <w:pPr>
              <w:pStyle w:val="D9"/>
              <w:widowControl w:val="0"/>
              <w:tabs>
                <w:tab w:val="left" w:pos="882"/>
              </w:tabs>
              <w:ind w:left="284" w:right="0"/>
              <w:jc w:val="right"/>
              <w:rPr>
                <w:rFonts w:asciiTheme="minorHAnsi" w:hAnsiTheme="minorHAnsi" w:cstheme="minorHAnsi"/>
                <w:sz w:val="16"/>
                <w:szCs w:val="16"/>
                <w:highlight w:val="yellow"/>
                <w:lang w:eastAsia="en-GB"/>
              </w:rPr>
            </w:pPr>
          </w:p>
        </w:tc>
        <w:tc>
          <w:tcPr>
            <w:tcW w:w="1276" w:type="dxa"/>
            <w:gridSpan w:val="2"/>
          </w:tcPr>
          <w:p w14:paraId="4FB6247B" w14:textId="77777777" w:rsidR="00196355" w:rsidRPr="00786C36" w:rsidRDefault="00196355" w:rsidP="003F124B">
            <w:pPr>
              <w:pStyle w:val="D9"/>
              <w:widowControl w:val="0"/>
              <w:ind w:left="284" w:right="0"/>
              <w:jc w:val="right"/>
              <w:rPr>
                <w:rFonts w:asciiTheme="minorHAnsi" w:hAnsiTheme="minorHAnsi" w:cstheme="minorHAnsi"/>
                <w:sz w:val="16"/>
                <w:szCs w:val="16"/>
                <w:highlight w:val="yellow"/>
                <w:lang w:eastAsia="en-GB"/>
              </w:rPr>
            </w:pPr>
          </w:p>
        </w:tc>
        <w:tc>
          <w:tcPr>
            <w:tcW w:w="1417" w:type="dxa"/>
            <w:gridSpan w:val="2"/>
          </w:tcPr>
          <w:p w14:paraId="19A26CA3" w14:textId="77777777" w:rsidR="00196355" w:rsidRPr="00786C36" w:rsidRDefault="00196355" w:rsidP="003F124B">
            <w:pPr>
              <w:pStyle w:val="D9"/>
              <w:widowControl w:val="0"/>
              <w:ind w:left="284" w:right="0"/>
              <w:jc w:val="right"/>
              <w:rPr>
                <w:rFonts w:asciiTheme="minorHAnsi" w:hAnsiTheme="minorHAnsi" w:cstheme="minorHAnsi"/>
                <w:sz w:val="16"/>
                <w:szCs w:val="16"/>
                <w:highlight w:val="yellow"/>
                <w:lang w:eastAsia="en-GB"/>
              </w:rPr>
            </w:pPr>
          </w:p>
        </w:tc>
        <w:tc>
          <w:tcPr>
            <w:tcW w:w="1276" w:type="dxa"/>
            <w:gridSpan w:val="2"/>
          </w:tcPr>
          <w:p w14:paraId="072E568D" w14:textId="77777777" w:rsidR="00196355" w:rsidRPr="00786C36" w:rsidRDefault="00196355" w:rsidP="00322D9C">
            <w:pPr>
              <w:pStyle w:val="D9"/>
              <w:widowControl w:val="0"/>
              <w:tabs>
                <w:tab w:val="left" w:pos="882"/>
              </w:tabs>
              <w:ind w:left="284" w:right="0"/>
              <w:jc w:val="right"/>
              <w:rPr>
                <w:rFonts w:asciiTheme="minorHAnsi" w:hAnsiTheme="minorHAnsi" w:cstheme="minorHAnsi"/>
                <w:sz w:val="16"/>
                <w:szCs w:val="16"/>
                <w:highlight w:val="yellow"/>
                <w:lang w:eastAsia="en-GB"/>
              </w:rPr>
            </w:pPr>
          </w:p>
        </w:tc>
        <w:tc>
          <w:tcPr>
            <w:tcW w:w="1276" w:type="dxa"/>
            <w:hideMark/>
          </w:tcPr>
          <w:p w14:paraId="7E2B15CF" w14:textId="77777777" w:rsidR="00196355" w:rsidRPr="00786C36" w:rsidRDefault="00196355" w:rsidP="00322D9C">
            <w:pPr>
              <w:pStyle w:val="D9"/>
              <w:widowControl w:val="0"/>
              <w:tabs>
                <w:tab w:val="left" w:pos="882"/>
              </w:tabs>
              <w:ind w:left="284" w:right="0"/>
              <w:jc w:val="right"/>
              <w:rPr>
                <w:rFonts w:asciiTheme="minorHAnsi" w:hAnsiTheme="minorHAnsi" w:cstheme="minorHAnsi"/>
                <w:sz w:val="16"/>
                <w:szCs w:val="16"/>
                <w:highlight w:val="yellow"/>
                <w:lang w:eastAsia="en-GB"/>
              </w:rPr>
            </w:pPr>
          </w:p>
        </w:tc>
      </w:tr>
      <w:tr w:rsidR="00196355" w:rsidRPr="00786C36" w14:paraId="6D5D4C31" w14:textId="77777777" w:rsidTr="003256A6">
        <w:trPr>
          <w:gridAfter w:val="2"/>
          <w:wAfter w:w="1992" w:type="dxa"/>
          <w:trHeight w:val="80"/>
        </w:trPr>
        <w:tc>
          <w:tcPr>
            <w:tcW w:w="1417" w:type="dxa"/>
          </w:tcPr>
          <w:p w14:paraId="73A3499E" w14:textId="77777777" w:rsidR="00196355" w:rsidRPr="00786C36" w:rsidRDefault="00196355" w:rsidP="003863D9">
            <w:pPr>
              <w:widowControl w:val="0"/>
              <w:tabs>
                <w:tab w:val="left" w:pos="459"/>
                <w:tab w:val="left" w:pos="692"/>
                <w:tab w:val="decimal" w:pos="8362"/>
                <w:tab w:val="decimal" w:pos="9780"/>
              </w:tabs>
              <w:spacing w:line="256" w:lineRule="auto"/>
              <w:rPr>
                <w:rFonts w:asciiTheme="minorHAnsi" w:hAnsiTheme="minorHAnsi" w:cstheme="minorHAnsi"/>
                <w:sz w:val="16"/>
                <w:szCs w:val="16"/>
                <w:highlight w:val="yellow"/>
              </w:rPr>
            </w:pPr>
          </w:p>
        </w:tc>
        <w:tc>
          <w:tcPr>
            <w:tcW w:w="993" w:type="dxa"/>
          </w:tcPr>
          <w:p w14:paraId="5A4C3718" w14:textId="59E459C0" w:rsidR="00196355" w:rsidRPr="00786C36" w:rsidRDefault="00196355" w:rsidP="003863D9">
            <w:pPr>
              <w:pStyle w:val="Thead"/>
              <w:keepNext w:val="0"/>
              <w:widowControl w:val="0"/>
              <w:tabs>
                <w:tab w:val="left" w:pos="882"/>
              </w:tabs>
              <w:spacing w:line="256" w:lineRule="auto"/>
              <w:rPr>
                <w:rFonts w:asciiTheme="minorHAnsi" w:hAnsiTheme="minorHAnsi" w:cstheme="minorHAnsi"/>
                <w:bCs w:val="0"/>
                <w:sz w:val="16"/>
                <w:szCs w:val="16"/>
                <w:highlight w:val="yellow"/>
                <w:lang w:eastAsia="en-GB"/>
              </w:rPr>
            </w:pPr>
          </w:p>
        </w:tc>
        <w:tc>
          <w:tcPr>
            <w:tcW w:w="850" w:type="dxa"/>
            <w:gridSpan w:val="2"/>
          </w:tcPr>
          <w:p w14:paraId="38EA87EF" w14:textId="2853F57D" w:rsidR="00196355" w:rsidRPr="00786C36" w:rsidRDefault="00196355" w:rsidP="003863D9">
            <w:pPr>
              <w:pStyle w:val="Thead"/>
              <w:keepNext w:val="0"/>
              <w:widowControl w:val="0"/>
              <w:tabs>
                <w:tab w:val="left" w:pos="882"/>
              </w:tabs>
              <w:spacing w:line="256" w:lineRule="auto"/>
              <w:rPr>
                <w:rFonts w:asciiTheme="minorHAnsi" w:hAnsiTheme="minorHAnsi" w:cstheme="minorHAnsi"/>
                <w:bCs w:val="0"/>
                <w:sz w:val="16"/>
                <w:szCs w:val="16"/>
                <w:highlight w:val="yellow"/>
                <w:lang w:eastAsia="en-GB"/>
              </w:rPr>
            </w:pPr>
          </w:p>
        </w:tc>
        <w:tc>
          <w:tcPr>
            <w:tcW w:w="992" w:type="dxa"/>
            <w:gridSpan w:val="2"/>
          </w:tcPr>
          <w:p w14:paraId="186DAB1A" w14:textId="37FD94FA" w:rsidR="00196355" w:rsidRPr="00786C36" w:rsidRDefault="00196355" w:rsidP="003863D9">
            <w:pPr>
              <w:pStyle w:val="Thead"/>
              <w:keepNext w:val="0"/>
              <w:widowControl w:val="0"/>
              <w:tabs>
                <w:tab w:val="left" w:pos="882"/>
              </w:tabs>
              <w:spacing w:line="256" w:lineRule="auto"/>
              <w:rPr>
                <w:rFonts w:asciiTheme="minorHAnsi" w:hAnsiTheme="minorHAnsi" w:cstheme="minorHAnsi"/>
                <w:snapToGrid w:val="0"/>
                <w:sz w:val="16"/>
                <w:szCs w:val="16"/>
                <w:highlight w:val="yellow"/>
              </w:rPr>
            </w:pPr>
          </w:p>
        </w:tc>
        <w:tc>
          <w:tcPr>
            <w:tcW w:w="851" w:type="dxa"/>
          </w:tcPr>
          <w:p w14:paraId="4249BEAA" w14:textId="16490920" w:rsidR="00196355" w:rsidRPr="00786C36" w:rsidRDefault="00196355" w:rsidP="003863D9">
            <w:pPr>
              <w:pStyle w:val="Thead"/>
              <w:keepNext w:val="0"/>
              <w:widowControl w:val="0"/>
              <w:tabs>
                <w:tab w:val="left" w:pos="882"/>
              </w:tabs>
              <w:spacing w:line="256" w:lineRule="auto"/>
              <w:rPr>
                <w:rFonts w:asciiTheme="minorHAnsi" w:hAnsiTheme="minorHAnsi" w:cstheme="minorHAnsi"/>
                <w:bCs w:val="0"/>
                <w:sz w:val="16"/>
                <w:szCs w:val="16"/>
                <w:highlight w:val="yellow"/>
                <w:lang w:eastAsia="en-GB"/>
              </w:rPr>
            </w:pPr>
          </w:p>
        </w:tc>
        <w:tc>
          <w:tcPr>
            <w:tcW w:w="992" w:type="dxa"/>
          </w:tcPr>
          <w:p w14:paraId="22245EC5" w14:textId="0AEFBCFC" w:rsidR="00196355" w:rsidRPr="00786C36" w:rsidRDefault="00196355" w:rsidP="003863D9">
            <w:pPr>
              <w:pStyle w:val="Thead"/>
              <w:keepNext w:val="0"/>
              <w:widowControl w:val="0"/>
              <w:tabs>
                <w:tab w:val="left" w:pos="882"/>
              </w:tabs>
              <w:spacing w:line="256" w:lineRule="auto"/>
              <w:rPr>
                <w:rFonts w:asciiTheme="minorHAnsi" w:hAnsiTheme="minorHAnsi" w:cstheme="minorHAnsi"/>
                <w:snapToGrid w:val="0"/>
                <w:sz w:val="16"/>
                <w:szCs w:val="16"/>
                <w:highlight w:val="yellow"/>
              </w:rPr>
            </w:pPr>
          </w:p>
        </w:tc>
        <w:tc>
          <w:tcPr>
            <w:tcW w:w="985" w:type="dxa"/>
            <w:gridSpan w:val="2"/>
          </w:tcPr>
          <w:p w14:paraId="09A66576" w14:textId="2A31D768" w:rsidR="00196355" w:rsidRPr="00786C36" w:rsidRDefault="00196355" w:rsidP="003863D9">
            <w:pPr>
              <w:pStyle w:val="Thead"/>
              <w:keepNext w:val="0"/>
              <w:widowControl w:val="0"/>
              <w:tabs>
                <w:tab w:val="left" w:pos="882"/>
              </w:tabs>
              <w:spacing w:line="256" w:lineRule="auto"/>
              <w:rPr>
                <w:rFonts w:asciiTheme="minorHAnsi" w:hAnsiTheme="minorHAnsi" w:cstheme="minorHAnsi"/>
                <w:snapToGrid w:val="0"/>
                <w:sz w:val="16"/>
                <w:szCs w:val="16"/>
                <w:highlight w:val="yellow"/>
              </w:rPr>
            </w:pPr>
          </w:p>
        </w:tc>
      </w:tr>
    </w:tbl>
    <w:p w14:paraId="0A4D6933" w14:textId="68E27598" w:rsidR="004566FF" w:rsidRPr="00322D9C" w:rsidRDefault="004566FF" w:rsidP="007D7830">
      <w:pPr>
        <w:pStyle w:val="ListParagraph"/>
        <w:widowControl w:val="0"/>
        <w:numPr>
          <w:ilvl w:val="0"/>
          <w:numId w:val="51"/>
        </w:numPr>
        <w:spacing w:before="120" w:line="276" w:lineRule="auto"/>
        <w:ind w:left="567" w:hanging="567"/>
        <w:jc w:val="both"/>
        <w:rPr>
          <w:rFonts w:asciiTheme="minorHAnsi" w:hAnsiTheme="minorHAnsi" w:cstheme="minorHAnsi"/>
          <w:b/>
          <w:sz w:val="20"/>
          <w:szCs w:val="20"/>
        </w:rPr>
      </w:pPr>
      <w:r w:rsidRPr="00322D9C">
        <w:rPr>
          <w:rFonts w:asciiTheme="minorHAnsi" w:hAnsiTheme="minorHAnsi" w:cstheme="minorHAnsi"/>
          <w:b/>
          <w:sz w:val="20"/>
          <w:szCs w:val="20"/>
        </w:rPr>
        <w:t>Capital Commitments</w:t>
      </w:r>
    </w:p>
    <w:p w14:paraId="3DCC01D6" w14:textId="412DB3C5" w:rsidR="004E187A" w:rsidRPr="00AD2724" w:rsidRDefault="004E187A" w:rsidP="004E187A">
      <w:pPr>
        <w:pStyle w:val="ListParagraph"/>
        <w:ind w:left="567"/>
        <w:contextualSpacing w:val="0"/>
        <w:jc w:val="both"/>
        <w:rPr>
          <w:rFonts w:asciiTheme="minorHAnsi" w:hAnsiTheme="minorHAnsi" w:cstheme="minorHAnsi"/>
          <w:sz w:val="20"/>
        </w:rPr>
      </w:pPr>
      <w:r w:rsidRPr="00AD2724">
        <w:rPr>
          <w:rFonts w:asciiTheme="minorHAnsi" w:hAnsiTheme="minorHAnsi" w:cstheme="minorHAnsi"/>
          <w:sz w:val="20"/>
        </w:rPr>
        <w:t>The group had no capital commitments at 30 June 20</w:t>
      </w:r>
      <w:r w:rsidR="00850955" w:rsidRPr="00AD2724">
        <w:rPr>
          <w:rFonts w:asciiTheme="minorHAnsi" w:hAnsiTheme="minorHAnsi" w:cstheme="minorHAnsi"/>
          <w:sz w:val="20"/>
        </w:rPr>
        <w:t>2</w:t>
      </w:r>
      <w:r w:rsidR="00A93033">
        <w:rPr>
          <w:rFonts w:asciiTheme="minorHAnsi" w:hAnsiTheme="minorHAnsi" w:cstheme="minorHAnsi"/>
          <w:sz w:val="20"/>
        </w:rPr>
        <w:t xml:space="preserve">2 </w:t>
      </w:r>
      <w:r w:rsidRPr="00AD2724">
        <w:rPr>
          <w:rFonts w:asciiTheme="minorHAnsi" w:hAnsiTheme="minorHAnsi" w:cstheme="minorHAnsi"/>
          <w:sz w:val="20"/>
        </w:rPr>
        <w:t>or 3</w:t>
      </w:r>
      <w:r w:rsidR="00850955" w:rsidRPr="00AD2724">
        <w:rPr>
          <w:rFonts w:asciiTheme="minorHAnsi" w:hAnsiTheme="minorHAnsi" w:cstheme="minorHAnsi"/>
          <w:sz w:val="20"/>
        </w:rPr>
        <w:t>0 June 20</w:t>
      </w:r>
      <w:r w:rsidR="00B77822" w:rsidRPr="00AD2724">
        <w:rPr>
          <w:rFonts w:asciiTheme="minorHAnsi" w:hAnsiTheme="minorHAnsi" w:cstheme="minorHAnsi"/>
          <w:sz w:val="20"/>
        </w:rPr>
        <w:t>2</w:t>
      </w:r>
      <w:r w:rsidR="00A93033">
        <w:rPr>
          <w:rFonts w:asciiTheme="minorHAnsi" w:hAnsiTheme="minorHAnsi" w:cstheme="minorHAnsi"/>
          <w:sz w:val="20"/>
        </w:rPr>
        <w:t>1</w:t>
      </w:r>
      <w:r w:rsidRPr="00AD2724">
        <w:rPr>
          <w:rFonts w:asciiTheme="minorHAnsi" w:hAnsiTheme="minorHAnsi" w:cstheme="minorHAnsi"/>
          <w:sz w:val="20"/>
        </w:rPr>
        <w:t>.</w:t>
      </w:r>
    </w:p>
    <w:p w14:paraId="66AAFC61" w14:textId="77777777" w:rsidR="005E74BA" w:rsidRPr="00786C36" w:rsidRDefault="005E74BA" w:rsidP="004E187A">
      <w:pPr>
        <w:pStyle w:val="ListParagraph"/>
        <w:ind w:left="567"/>
        <w:contextualSpacing w:val="0"/>
        <w:jc w:val="both"/>
        <w:rPr>
          <w:rFonts w:asciiTheme="minorHAnsi" w:hAnsiTheme="minorHAnsi" w:cstheme="minorHAnsi"/>
          <w:sz w:val="20"/>
          <w:highlight w:val="yellow"/>
        </w:rPr>
      </w:pPr>
    </w:p>
    <w:p w14:paraId="610C5C6C" w14:textId="0F86DE1A" w:rsidR="004566FF" w:rsidRPr="00322D9C" w:rsidRDefault="004566FF" w:rsidP="007D7830">
      <w:pPr>
        <w:pStyle w:val="ListParagraph"/>
        <w:widowControl w:val="0"/>
        <w:numPr>
          <w:ilvl w:val="0"/>
          <w:numId w:val="51"/>
        </w:numPr>
        <w:spacing w:before="120" w:line="276" w:lineRule="auto"/>
        <w:ind w:left="567" w:hanging="567"/>
        <w:jc w:val="both"/>
        <w:rPr>
          <w:rFonts w:asciiTheme="minorHAnsi" w:hAnsiTheme="minorHAnsi" w:cstheme="minorHAnsi"/>
          <w:b/>
          <w:sz w:val="20"/>
          <w:szCs w:val="20"/>
        </w:rPr>
      </w:pPr>
      <w:r w:rsidRPr="00322D9C">
        <w:rPr>
          <w:rFonts w:asciiTheme="minorHAnsi" w:hAnsiTheme="minorHAnsi" w:cstheme="minorHAnsi"/>
          <w:b/>
          <w:sz w:val="20"/>
          <w:szCs w:val="20"/>
        </w:rPr>
        <w:t>Related party Transactions</w:t>
      </w:r>
    </w:p>
    <w:p w14:paraId="7B9BB263" w14:textId="3998BF4D" w:rsidR="004E187A" w:rsidRPr="00322D9C" w:rsidRDefault="004E187A" w:rsidP="00A20582">
      <w:pPr>
        <w:pStyle w:val="ListParagraph"/>
        <w:ind w:left="567"/>
        <w:contextualSpacing w:val="0"/>
        <w:jc w:val="both"/>
        <w:rPr>
          <w:rFonts w:asciiTheme="minorHAnsi" w:hAnsiTheme="minorHAnsi" w:cstheme="minorHAnsi"/>
          <w:sz w:val="20"/>
        </w:rPr>
      </w:pPr>
      <w:r w:rsidRPr="00322D9C">
        <w:rPr>
          <w:rFonts w:asciiTheme="minorHAnsi" w:hAnsiTheme="minorHAnsi" w:cstheme="minorHAnsi"/>
          <w:sz w:val="20"/>
        </w:rPr>
        <w:t xml:space="preserve">Details of directors’ remuneration are given </w:t>
      </w:r>
      <w:r w:rsidR="003918A5" w:rsidRPr="00322D9C">
        <w:rPr>
          <w:rFonts w:asciiTheme="minorHAnsi" w:hAnsiTheme="minorHAnsi" w:cstheme="minorHAnsi"/>
          <w:sz w:val="20"/>
        </w:rPr>
        <w:t>in the Remuneration</w:t>
      </w:r>
      <w:r w:rsidR="007D7830">
        <w:rPr>
          <w:rFonts w:asciiTheme="minorHAnsi" w:hAnsiTheme="minorHAnsi" w:cstheme="minorHAnsi"/>
          <w:sz w:val="20"/>
        </w:rPr>
        <w:t xml:space="preserve"> Committee</w:t>
      </w:r>
      <w:r w:rsidR="003918A5" w:rsidRPr="00322D9C">
        <w:rPr>
          <w:rFonts w:asciiTheme="minorHAnsi" w:hAnsiTheme="minorHAnsi" w:cstheme="minorHAnsi"/>
          <w:sz w:val="20"/>
        </w:rPr>
        <w:t xml:space="preserve"> Report</w:t>
      </w:r>
      <w:r w:rsidRPr="00322D9C">
        <w:rPr>
          <w:rFonts w:asciiTheme="minorHAnsi" w:hAnsiTheme="minorHAnsi" w:cstheme="minorHAnsi"/>
          <w:sz w:val="20"/>
        </w:rPr>
        <w:t xml:space="preserve">. </w:t>
      </w:r>
    </w:p>
    <w:p w14:paraId="2E0E678A" w14:textId="79A6DE37" w:rsidR="00B76B81" w:rsidRPr="00322D9C" w:rsidRDefault="00B76B81" w:rsidP="00A20582">
      <w:pPr>
        <w:pStyle w:val="ListParagraph"/>
        <w:ind w:left="567"/>
        <w:contextualSpacing w:val="0"/>
        <w:jc w:val="both"/>
        <w:rPr>
          <w:rFonts w:asciiTheme="minorHAnsi" w:hAnsiTheme="minorHAnsi" w:cstheme="minorHAnsi"/>
          <w:sz w:val="20"/>
        </w:rPr>
      </w:pPr>
    </w:p>
    <w:p w14:paraId="20F404ED" w14:textId="0305D9CF" w:rsidR="004E187A" w:rsidRPr="00322D9C" w:rsidRDefault="004E187A" w:rsidP="004E187A">
      <w:pPr>
        <w:pStyle w:val="ListParagraph"/>
        <w:ind w:left="567"/>
        <w:contextualSpacing w:val="0"/>
        <w:jc w:val="both"/>
        <w:rPr>
          <w:rFonts w:asciiTheme="minorHAnsi" w:hAnsiTheme="minorHAnsi" w:cstheme="minorHAnsi"/>
          <w:sz w:val="20"/>
        </w:rPr>
      </w:pPr>
      <w:r w:rsidRPr="00322D9C">
        <w:rPr>
          <w:rFonts w:asciiTheme="minorHAnsi" w:hAnsiTheme="minorHAnsi" w:cstheme="minorHAnsi"/>
          <w:sz w:val="20"/>
        </w:rPr>
        <w:t>There are no other related party transactions.</w:t>
      </w:r>
    </w:p>
    <w:p w14:paraId="0CFDAD15" w14:textId="77777777" w:rsidR="001013BF" w:rsidRPr="00786C36" w:rsidRDefault="001013BF" w:rsidP="001C0A5F">
      <w:pPr>
        <w:jc w:val="both"/>
        <w:rPr>
          <w:rFonts w:asciiTheme="minorHAnsi" w:hAnsiTheme="minorHAnsi" w:cstheme="minorHAnsi"/>
          <w:b/>
          <w:sz w:val="20"/>
          <w:szCs w:val="20"/>
          <w:highlight w:val="yellow"/>
        </w:rPr>
      </w:pPr>
    </w:p>
    <w:p w14:paraId="6FEEBE70" w14:textId="56E0E8EC" w:rsidR="004566FF" w:rsidRPr="00AD2724" w:rsidRDefault="004566FF" w:rsidP="007D7830">
      <w:pPr>
        <w:pStyle w:val="ListParagraph"/>
        <w:widowControl w:val="0"/>
        <w:numPr>
          <w:ilvl w:val="0"/>
          <w:numId w:val="51"/>
        </w:numPr>
        <w:spacing w:before="120" w:line="276" w:lineRule="auto"/>
        <w:ind w:left="567" w:hanging="567"/>
        <w:contextualSpacing w:val="0"/>
        <w:jc w:val="both"/>
        <w:rPr>
          <w:rFonts w:asciiTheme="minorHAnsi" w:hAnsiTheme="minorHAnsi" w:cstheme="minorHAnsi"/>
          <w:b/>
          <w:sz w:val="20"/>
          <w:szCs w:val="20"/>
        </w:rPr>
      </w:pPr>
      <w:r w:rsidRPr="00AD2724">
        <w:rPr>
          <w:rFonts w:asciiTheme="minorHAnsi" w:hAnsiTheme="minorHAnsi" w:cstheme="minorHAnsi"/>
          <w:b/>
          <w:sz w:val="20"/>
          <w:szCs w:val="20"/>
        </w:rPr>
        <w:t>Contingent Liabilities</w:t>
      </w:r>
    </w:p>
    <w:p w14:paraId="58B14B3E" w14:textId="64497C3B" w:rsidR="004E187A" w:rsidRPr="00AD2724" w:rsidRDefault="004E187A" w:rsidP="004E187A">
      <w:pPr>
        <w:pStyle w:val="ListParagraph"/>
        <w:ind w:left="567"/>
        <w:contextualSpacing w:val="0"/>
        <w:jc w:val="both"/>
        <w:rPr>
          <w:rFonts w:asciiTheme="minorHAnsi" w:hAnsiTheme="minorHAnsi" w:cstheme="minorHAnsi"/>
          <w:sz w:val="20"/>
        </w:rPr>
      </w:pPr>
      <w:r w:rsidRPr="00AD2724">
        <w:rPr>
          <w:rFonts w:asciiTheme="minorHAnsi" w:hAnsiTheme="minorHAnsi" w:cstheme="minorHAnsi"/>
          <w:sz w:val="20"/>
        </w:rPr>
        <w:t>The group had no contingent liabilities at 30 June 20</w:t>
      </w:r>
      <w:r w:rsidR="00850955" w:rsidRPr="00AD2724">
        <w:rPr>
          <w:rFonts w:asciiTheme="minorHAnsi" w:hAnsiTheme="minorHAnsi" w:cstheme="minorHAnsi"/>
          <w:sz w:val="20"/>
        </w:rPr>
        <w:t>2</w:t>
      </w:r>
      <w:r w:rsidR="00A93033">
        <w:rPr>
          <w:rFonts w:asciiTheme="minorHAnsi" w:hAnsiTheme="minorHAnsi" w:cstheme="minorHAnsi"/>
          <w:sz w:val="20"/>
        </w:rPr>
        <w:t>2</w:t>
      </w:r>
      <w:r w:rsidRPr="00AD2724">
        <w:rPr>
          <w:rFonts w:asciiTheme="minorHAnsi" w:hAnsiTheme="minorHAnsi" w:cstheme="minorHAnsi"/>
          <w:sz w:val="20"/>
        </w:rPr>
        <w:t xml:space="preserve"> or 3</w:t>
      </w:r>
      <w:r w:rsidR="00850955" w:rsidRPr="00AD2724">
        <w:rPr>
          <w:rFonts w:asciiTheme="minorHAnsi" w:hAnsiTheme="minorHAnsi" w:cstheme="minorHAnsi"/>
          <w:sz w:val="20"/>
        </w:rPr>
        <w:t>0 June 20</w:t>
      </w:r>
      <w:r w:rsidR="00AD2724" w:rsidRPr="00AD2724">
        <w:rPr>
          <w:rFonts w:asciiTheme="minorHAnsi" w:hAnsiTheme="minorHAnsi" w:cstheme="minorHAnsi"/>
          <w:sz w:val="20"/>
        </w:rPr>
        <w:t>2</w:t>
      </w:r>
      <w:r w:rsidR="00A93033">
        <w:rPr>
          <w:rFonts w:asciiTheme="minorHAnsi" w:hAnsiTheme="minorHAnsi" w:cstheme="minorHAnsi"/>
          <w:sz w:val="20"/>
        </w:rPr>
        <w:t>1</w:t>
      </w:r>
      <w:r w:rsidRPr="00AD2724">
        <w:rPr>
          <w:rFonts w:asciiTheme="minorHAnsi" w:hAnsiTheme="minorHAnsi" w:cstheme="minorHAnsi"/>
          <w:sz w:val="20"/>
        </w:rPr>
        <w:t>.</w:t>
      </w:r>
    </w:p>
    <w:p w14:paraId="189A43B0" w14:textId="77777777" w:rsidR="001C0A5F" w:rsidRPr="00786C36" w:rsidRDefault="001C0A5F" w:rsidP="004E187A">
      <w:pPr>
        <w:pStyle w:val="ListParagraph"/>
        <w:ind w:left="567"/>
        <w:contextualSpacing w:val="0"/>
        <w:jc w:val="both"/>
        <w:rPr>
          <w:rFonts w:asciiTheme="minorHAnsi" w:hAnsiTheme="minorHAnsi" w:cstheme="minorHAnsi"/>
          <w:sz w:val="20"/>
          <w:highlight w:val="yellow"/>
        </w:rPr>
      </w:pPr>
    </w:p>
    <w:p w14:paraId="5D7CC012" w14:textId="3FDA0109" w:rsidR="004E187A" w:rsidRPr="00322D9C" w:rsidRDefault="004566FF" w:rsidP="007D7830">
      <w:pPr>
        <w:pStyle w:val="ListParagraph"/>
        <w:widowControl w:val="0"/>
        <w:numPr>
          <w:ilvl w:val="0"/>
          <w:numId w:val="51"/>
        </w:numPr>
        <w:spacing w:before="120" w:line="276" w:lineRule="auto"/>
        <w:ind w:left="567" w:hanging="567"/>
        <w:contextualSpacing w:val="0"/>
        <w:jc w:val="both"/>
        <w:rPr>
          <w:rFonts w:asciiTheme="minorHAnsi" w:hAnsiTheme="minorHAnsi" w:cstheme="minorHAnsi"/>
          <w:b/>
          <w:sz w:val="20"/>
          <w:szCs w:val="20"/>
        </w:rPr>
      </w:pPr>
      <w:r w:rsidRPr="00322D9C">
        <w:rPr>
          <w:rFonts w:asciiTheme="minorHAnsi" w:hAnsiTheme="minorHAnsi" w:cstheme="minorHAnsi"/>
          <w:b/>
          <w:sz w:val="20"/>
          <w:szCs w:val="20"/>
        </w:rPr>
        <w:t>Post Balance Sheet Events</w:t>
      </w:r>
    </w:p>
    <w:p w14:paraId="7FCDE815" w14:textId="77777777" w:rsidR="00322D9C" w:rsidRPr="00322D9C" w:rsidRDefault="00322D9C" w:rsidP="00322D9C">
      <w:pPr>
        <w:tabs>
          <w:tab w:val="left" w:pos="3375"/>
        </w:tabs>
        <w:ind w:left="567"/>
        <w:jc w:val="both"/>
        <w:rPr>
          <w:rFonts w:asciiTheme="minorHAnsi" w:hAnsiTheme="minorHAnsi" w:cstheme="minorHAnsi"/>
          <w:bCs/>
          <w:sz w:val="20"/>
          <w:szCs w:val="20"/>
        </w:rPr>
      </w:pPr>
      <w:r w:rsidRPr="00322D9C">
        <w:rPr>
          <w:rFonts w:asciiTheme="minorHAnsi" w:hAnsiTheme="minorHAnsi" w:cstheme="minorHAnsi"/>
          <w:sz w:val="20"/>
        </w:rPr>
        <w:t xml:space="preserve">In the fourth quarter of 2022 exited administration. </w:t>
      </w:r>
      <w:r w:rsidRPr="00322D9C">
        <w:rPr>
          <w:rFonts w:asciiTheme="minorHAnsi" w:hAnsiTheme="minorHAnsi" w:cstheme="minorHAnsi"/>
          <w:b/>
          <w:sz w:val="20"/>
          <w:szCs w:val="20"/>
        </w:rPr>
        <w:tab/>
      </w:r>
      <w:r w:rsidRPr="00322D9C">
        <w:rPr>
          <w:rFonts w:asciiTheme="minorHAnsi" w:hAnsiTheme="minorHAnsi" w:cstheme="minorHAnsi"/>
          <w:bCs/>
          <w:sz w:val="20"/>
          <w:szCs w:val="20"/>
        </w:rPr>
        <w:t>Further details can be found in the Chief Executive and Chairmans’ Statement.</w:t>
      </w:r>
    </w:p>
    <w:p w14:paraId="661132B6" w14:textId="5040AE22" w:rsidR="004566FF" w:rsidRPr="00AD2724" w:rsidRDefault="004566FF" w:rsidP="007D7830">
      <w:pPr>
        <w:pStyle w:val="ListParagraph"/>
        <w:widowControl w:val="0"/>
        <w:numPr>
          <w:ilvl w:val="0"/>
          <w:numId w:val="51"/>
        </w:numPr>
        <w:spacing w:before="120" w:line="276" w:lineRule="auto"/>
        <w:ind w:left="567" w:hanging="567"/>
        <w:contextualSpacing w:val="0"/>
        <w:jc w:val="both"/>
        <w:rPr>
          <w:rFonts w:asciiTheme="minorHAnsi" w:hAnsiTheme="minorHAnsi" w:cstheme="minorHAnsi"/>
          <w:b/>
          <w:sz w:val="20"/>
          <w:szCs w:val="20"/>
        </w:rPr>
      </w:pPr>
      <w:r w:rsidRPr="00AD2724">
        <w:rPr>
          <w:rFonts w:asciiTheme="minorHAnsi" w:hAnsiTheme="minorHAnsi" w:cstheme="minorHAnsi"/>
          <w:b/>
          <w:sz w:val="20"/>
        </w:rPr>
        <w:t>Ultimate Controlling Party</w:t>
      </w:r>
    </w:p>
    <w:p w14:paraId="5C652352" w14:textId="11C3C267" w:rsidR="004566FF" w:rsidRPr="00BB3C18" w:rsidRDefault="004E187A" w:rsidP="004E187A">
      <w:pPr>
        <w:ind w:left="567"/>
        <w:rPr>
          <w:rFonts w:asciiTheme="minorHAnsi" w:hAnsiTheme="minorHAnsi" w:cstheme="minorHAnsi"/>
          <w:b/>
          <w:sz w:val="20"/>
        </w:rPr>
      </w:pPr>
      <w:r w:rsidRPr="00AD2724">
        <w:rPr>
          <w:rFonts w:asciiTheme="minorHAnsi" w:hAnsiTheme="minorHAnsi" w:cstheme="minorHAnsi"/>
          <w:sz w:val="20"/>
        </w:rPr>
        <w:t>The directors do not consider that there is an ultimate controlling party of the group.</w:t>
      </w:r>
    </w:p>
    <w:p w14:paraId="019B6575" w14:textId="1F6EB084" w:rsidR="004566FF" w:rsidRPr="00BB3C18" w:rsidRDefault="004566FF" w:rsidP="004566FF">
      <w:pPr>
        <w:pStyle w:val="ListParagraph"/>
        <w:spacing w:before="240" w:line="276" w:lineRule="auto"/>
        <w:ind w:left="567"/>
        <w:contextualSpacing w:val="0"/>
        <w:jc w:val="both"/>
        <w:rPr>
          <w:rFonts w:asciiTheme="minorHAnsi" w:hAnsiTheme="minorHAnsi" w:cstheme="minorHAnsi"/>
          <w:b/>
          <w:sz w:val="20"/>
          <w:szCs w:val="20"/>
        </w:rPr>
      </w:pPr>
      <w:r w:rsidRPr="00BB3C18">
        <w:rPr>
          <w:rFonts w:asciiTheme="minorHAnsi" w:hAnsiTheme="minorHAnsi" w:cstheme="minorHAnsi"/>
          <w:b/>
          <w:sz w:val="20"/>
          <w:szCs w:val="20"/>
        </w:rPr>
        <w:t xml:space="preserve">  </w:t>
      </w:r>
    </w:p>
    <w:sectPr w:rsidR="004566FF" w:rsidRPr="00BB3C18" w:rsidSect="00AD2DDF">
      <w:headerReference w:type="default" r:id="rId74"/>
      <w:pgSz w:w="11906" w:h="16838" w:code="9"/>
      <w:pgMar w:top="720" w:right="1559" w:bottom="567"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B490" w14:textId="77777777" w:rsidR="00CC388F" w:rsidRDefault="00CC388F" w:rsidP="00DB7416">
      <w:r>
        <w:separator/>
      </w:r>
    </w:p>
  </w:endnote>
  <w:endnote w:type="continuationSeparator" w:id="0">
    <w:p w14:paraId="2919439F" w14:textId="77777777" w:rsidR="00CC388F" w:rsidRDefault="00CC388F" w:rsidP="00DB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736587"/>
      <w:docPartObj>
        <w:docPartGallery w:val="Page Numbers (Bottom of Page)"/>
        <w:docPartUnique/>
      </w:docPartObj>
    </w:sdtPr>
    <w:sdtEndPr>
      <w:rPr>
        <w:color w:val="7F7F7F" w:themeColor="background1" w:themeShade="7F"/>
        <w:spacing w:val="60"/>
      </w:rPr>
    </w:sdtEndPr>
    <w:sdtContent>
      <w:p w14:paraId="0312FEAA" w14:textId="77777777" w:rsidR="0026744E" w:rsidRPr="004B3967" w:rsidRDefault="0026744E" w:rsidP="00C12BFD">
        <w:pPr>
          <w:pStyle w:val="Footer"/>
          <w:pBdr>
            <w:bottom w:val="single" w:sz="4" w:space="1" w:color="auto"/>
          </w:pBdr>
          <w:jc w:val="center"/>
          <w:rPr>
            <w:rFonts w:asciiTheme="minorHAnsi" w:hAnsiTheme="minorHAnsi" w:cstheme="minorHAnsi"/>
            <w:sz w:val="16"/>
            <w:szCs w:val="16"/>
          </w:rPr>
        </w:pPr>
      </w:p>
      <w:p w14:paraId="0312FEAB" w14:textId="71CC89D3" w:rsidR="0026744E" w:rsidRPr="004B3967" w:rsidRDefault="0026744E" w:rsidP="00C12BFD">
        <w:pPr>
          <w:pStyle w:val="Footer"/>
          <w:jc w:val="center"/>
          <w:rPr>
            <w:rFonts w:asciiTheme="minorHAnsi" w:hAnsiTheme="minorHAnsi" w:cstheme="minorHAnsi"/>
            <w:sz w:val="16"/>
            <w:szCs w:val="16"/>
          </w:rPr>
        </w:pPr>
      </w:p>
      <w:p w14:paraId="0312FEAC" w14:textId="02DF3031" w:rsidR="0026744E" w:rsidRPr="00C12BFD" w:rsidRDefault="0026744E" w:rsidP="00C12BFD">
        <w:pPr>
          <w:pStyle w:val="Footer"/>
          <w:jc w:val="right"/>
          <w:rPr>
            <w:rFonts w:asciiTheme="minorHAnsi" w:hAnsiTheme="minorHAnsi" w:cstheme="minorHAnsi"/>
            <w:sz w:val="16"/>
            <w:szCs w:val="16"/>
          </w:rPr>
        </w:pPr>
        <w:r w:rsidRPr="00F9646B">
          <w:rPr>
            <w:rFonts w:asciiTheme="minorHAnsi" w:hAnsiTheme="minorHAnsi" w:cstheme="minorHAnsi"/>
            <w:sz w:val="16"/>
            <w:szCs w:val="16"/>
          </w:rPr>
          <w:t xml:space="preserve">Page </w:t>
        </w:r>
        <w:r w:rsidRPr="00F9646B">
          <w:rPr>
            <w:rFonts w:asciiTheme="minorHAnsi" w:hAnsiTheme="minorHAnsi" w:cstheme="minorHAnsi"/>
            <w:sz w:val="16"/>
            <w:szCs w:val="16"/>
          </w:rPr>
          <w:fldChar w:fldCharType="begin"/>
        </w:r>
        <w:r w:rsidRPr="00F9646B">
          <w:rPr>
            <w:rFonts w:asciiTheme="minorHAnsi" w:hAnsiTheme="minorHAnsi" w:cstheme="minorHAnsi"/>
            <w:sz w:val="16"/>
            <w:szCs w:val="16"/>
          </w:rPr>
          <w:instrText xml:space="preserve"> PAGE   \* MERGEFORMAT </w:instrText>
        </w:r>
        <w:r w:rsidRPr="00F9646B">
          <w:rPr>
            <w:rFonts w:asciiTheme="minorHAnsi" w:hAnsiTheme="minorHAnsi" w:cstheme="minorHAnsi"/>
            <w:sz w:val="16"/>
            <w:szCs w:val="16"/>
          </w:rPr>
          <w:fldChar w:fldCharType="separate"/>
        </w:r>
        <w:r>
          <w:rPr>
            <w:rFonts w:asciiTheme="minorHAnsi" w:hAnsiTheme="minorHAnsi" w:cstheme="minorHAnsi"/>
            <w:noProof/>
            <w:sz w:val="16"/>
            <w:szCs w:val="16"/>
          </w:rPr>
          <w:t>24</w:t>
        </w:r>
        <w:r w:rsidRPr="00F9646B">
          <w:rPr>
            <w:rFonts w:asciiTheme="minorHAnsi" w:hAnsiTheme="minorHAnsi" w:cstheme="minorHAnsi"/>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CD" w14:textId="77777777" w:rsidR="0026744E" w:rsidRPr="004B3967" w:rsidRDefault="0026744E" w:rsidP="004B3967">
    <w:pPr>
      <w:pStyle w:val="Footer"/>
      <w:pBdr>
        <w:bottom w:val="single" w:sz="4" w:space="1" w:color="auto"/>
      </w:pBdr>
      <w:jc w:val="center"/>
      <w:rPr>
        <w:rFonts w:asciiTheme="minorHAnsi" w:hAnsiTheme="minorHAnsi" w:cstheme="minorHAnsi"/>
        <w:sz w:val="16"/>
        <w:szCs w:val="16"/>
      </w:rPr>
    </w:pPr>
  </w:p>
  <w:p w14:paraId="0312FECE" w14:textId="77777777" w:rsidR="0026744E" w:rsidRPr="004B3967" w:rsidRDefault="0026744E" w:rsidP="00B54CC6">
    <w:pPr>
      <w:pStyle w:val="Footer"/>
      <w:jc w:val="center"/>
      <w:rPr>
        <w:rFonts w:asciiTheme="minorHAnsi" w:hAnsiTheme="minorHAnsi" w:cstheme="minorHAnsi"/>
        <w:sz w:val="16"/>
        <w:szCs w:val="16"/>
      </w:rPr>
    </w:pPr>
  </w:p>
  <w:p w14:paraId="0312FED0" w14:textId="77777777" w:rsidR="0026744E" w:rsidRPr="00F9646B" w:rsidRDefault="0026744E" w:rsidP="00C97006">
    <w:pPr>
      <w:pStyle w:val="Footer"/>
      <w:jc w:val="right"/>
      <w:rPr>
        <w:rFonts w:asciiTheme="minorHAnsi" w:hAnsiTheme="minorHAnsi" w:cstheme="minorHAnsi"/>
        <w:sz w:val="16"/>
        <w:szCs w:val="16"/>
      </w:rPr>
    </w:pPr>
    <w:r w:rsidRPr="00F9646B">
      <w:rPr>
        <w:rFonts w:asciiTheme="minorHAnsi" w:hAnsiTheme="minorHAnsi" w:cstheme="minorHAnsi"/>
        <w:sz w:val="16"/>
        <w:szCs w:val="16"/>
      </w:rPr>
      <w:t xml:space="preserve">Page </w:t>
    </w:r>
    <w:r w:rsidRPr="00F9646B">
      <w:rPr>
        <w:rFonts w:asciiTheme="minorHAnsi" w:hAnsiTheme="minorHAnsi" w:cstheme="minorHAnsi"/>
        <w:sz w:val="16"/>
        <w:szCs w:val="16"/>
      </w:rPr>
      <w:fldChar w:fldCharType="begin"/>
    </w:r>
    <w:r w:rsidRPr="00F9646B">
      <w:rPr>
        <w:rFonts w:asciiTheme="minorHAnsi" w:hAnsiTheme="minorHAnsi" w:cstheme="minorHAnsi"/>
        <w:sz w:val="16"/>
        <w:szCs w:val="16"/>
      </w:rPr>
      <w:instrText xml:space="preserve"> PAGE   \* MERGEFORMAT </w:instrText>
    </w:r>
    <w:r w:rsidRPr="00F9646B">
      <w:rPr>
        <w:rFonts w:asciiTheme="minorHAnsi" w:hAnsiTheme="minorHAnsi" w:cstheme="minorHAnsi"/>
        <w:sz w:val="16"/>
        <w:szCs w:val="16"/>
      </w:rPr>
      <w:fldChar w:fldCharType="separate"/>
    </w:r>
    <w:r>
      <w:rPr>
        <w:rFonts w:asciiTheme="minorHAnsi" w:hAnsiTheme="minorHAnsi" w:cstheme="minorHAnsi"/>
        <w:noProof/>
        <w:sz w:val="16"/>
        <w:szCs w:val="16"/>
      </w:rPr>
      <w:t>68</w:t>
    </w:r>
    <w:r w:rsidRPr="00F9646B">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39DF" w14:textId="77777777" w:rsidR="00CC388F" w:rsidRDefault="00CC388F" w:rsidP="00DB7416">
      <w:r>
        <w:separator/>
      </w:r>
    </w:p>
  </w:footnote>
  <w:footnote w:type="continuationSeparator" w:id="0">
    <w:p w14:paraId="09E83E6F" w14:textId="77777777" w:rsidR="00CC388F" w:rsidRDefault="00CC388F" w:rsidP="00DB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97" w14:textId="69167DEE" w:rsidR="0026744E" w:rsidRPr="00C72DBF" w:rsidRDefault="0026744E" w:rsidP="001203ED">
    <w:pPr>
      <w:pStyle w:val="Header"/>
      <w:jc w:val="right"/>
      <w:rPr>
        <w:rFonts w:asciiTheme="minorHAnsi" w:hAnsiTheme="minorHAnsi" w:cstheme="minorHAnsi"/>
        <w:b/>
        <w:sz w:val="20"/>
        <w:szCs w:val="20"/>
      </w:rPr>
    </w:pPr>
    <w:r w:rsidRPr="00C72DBF">
      <w:rPr>
        <w:rFonts w:asciiTheme="minorHAnsi" w:hAnsiTheme="minorHAnsi" w:cstheme="minorHAnsi"/>
        <w:b/>
        <w:sz w:val="20"/>
        <w:szCs w:val="20"/>
      </w:rPr>
      <w:t>Registered number: 10197256 (England &amp; Wales)</w:t>
    </w:r>
  </w:p>
  <w:p w14:paraId="0312FE98" w14:textId="77777777" w:rsidR="0026744E" w:rsidRPr="008B23BA" w:rsidRDefault="0026744E" w:rsidP="00DB7416">
    <w:pPr>
      <w:pStyle w:val="Header"/>
      <w:rPr>
        <w:rFonts w:ascii="Palatino Linotype" w:hAnsi="Palatino Linotype"/>
        <w:b/>
        <w:sz w:val="20"/>
        <w:szCs w:val="20"/>
      </w:rPr>
    </w:pPr>
  </w:p>
  <w:p w14:paraId="0312FE99" w14:textId="77777777" w:rsidR="0026744E" w:rsidRPr="008B23BA" w:rsidRDefault="0026744E">
    <w:pPr>
      <w:pStyle w:val="Header"/>
      <w:rPr>
        <w:rFonts w:ascii="Palatino Linotype" w:hAnsi="Palatino Linotype"/>
        <w:b/>
        <w:sz w:val="20"/>
        <w:szCs w:val="20"/>
      </w:rPr>
    </w:pPr>
  </w:p>
  <w:p w14:paraId="0312FE9A" w14:textId="77777777" w:rsidR="0026744E" w:rsidRPr="008B23BA" w:rsidRDefault="0026744E">
    <w:pPr>
      <w:pStyle w:val="Header"/>
      <w:rPr>
        <w:rFonts w:ascii="Palatino Linotype" w:hAnsi="Palatino Linotype"/>
        <w:b/>
        <w:sz w:val="20"/>
        <w:szCs w:val="20"/>
      </w:rPr>
    </w:pPr>
  </w:p>
  <w:p w14:paraId="0312FE9B" w14:textId="77777777" w:rsidR="0026744E" w:rsidRPr="008B23BA" w:rsidRDefault="0026744E">
    <w:pPr>
      <w:pStyle w:val="Header"/>
      <w:rPr>
        <w:rFonts w:ascii="Palatino Linotype" w:hAnsi="Palatino Linotype"/>
        <w:sz w:val="20"/>
        <w:szCs w:val="20"/>
      </w:rPr>
    </w:pPr>
  </w:p>
  <w:p w14:paraId="0312FE9C" w14:textId="77777777" w:rsidR="0026744E" w:rsidRPr="008B23BA" w:rsidRDefault="0026744E">
    <w:pPr>
      <w:pStyle w:val="Header"/>
      <w:rPr>
        <w:rFonts w:ascii="Palatino Linotype" w:hAnsi="Palatino Linotype"/>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1A95" w14:textId="00F6AB1E" w:rsidR="0026744E" w:rsidRDefault="0026744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03CD" w14:textId="120F50A1" w:rsidR="0026744E" w:rsidRPr="00C72DBF" w:rsidRDefault="0026744E" w:rsidP="00B21276">
    <w:pPr>
      <w:pStyle w:val="Header"/>
      <w:spacing w:after="120"/>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4AFDB599" w14:textId="70836B93" w:rsidR="0026744E" w:rsidRPr="00C72DBF" w:rsidRDefault="00C36ADF" w:rsidP="00DB7416">
    <w:pPr>
      <w:pStyle w:val="Header"/>
      <w:rPr>
        <w:rFonts w:asciiTheme="minorHAnsi" w:hAnsiTheme="minorHAnsi" w:cstheme="minorHAnsi"/>
        <w:b/>
        <w:sz w:val="20"/>
        <w:szCs w:val="20"/>
      </w:rPr>
    </w:pPr>
    <w:r>
      <w:rPr>
        <w:rFonts w:asciiTheme="minorHAnsi" w:hAnsiTheme="minorHAnsi" w:cstheme="minorHAnsi"/>
        <w:b/>
        <w:sz w:val="20"/>
        <w:szCs w:val="20"/>
      </w:rPr>
      <w:t>CHIEF EXECUTIVE AND CHAIRMAN’S REPORT (Continued)</w:t>
    </w:r>
  </w:p>
  <w:p w14:paraId="022C9E87" w14:textId="77777777" w:rsidR="0026744E" w:rsidRDefault="0026744E" w:rsidP="00FC69D0">
    <w:pPr>
      <w:pBdr>
        <w:bottom w:val="single" w:sz="4" w:space="1" w:color="auto"/>
      </w:pBdr>
      <w:rPr>
        <w:sz w:val="18"/>
        <w:szCs w:val="18"/>
      </w:rPr>
    </w:pPr>
  </w:p>
  <w:p w14:paraId="04CA62C2" w14:textId="77777777" w:rsidR="0026744E" w:rsidRPr="00FC69D0" w:rsidRDefault="0026744E" w:rsidP="00FC69D0">
    <w:pPr>
      <w:rPr>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F2A" w14:textId="1C2CE26A" w:rsidR="0026744E" w:rsidRDefault="0026744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CE7D" w14:textId="77777777" w:rsidR="004D769A" w:rsidRDefault="004D76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D0C6" w14:textId="77777777" w:rsidR="004D769A" w:rsidRPr="00C72DBF" w:rsidRDefault="004D769A" w:rsidP="00766490">
    <w:pPr>
      <w:pStyle w:val="Header"/>
      <w:spacing w:after="120"/>
      <w:rPr>
        <w:rFonts w:asciiTheme="minorHAnsi" w:hAnsiTheme="minorHAnsi" w:cstheme="minorHAnsi"/>
        <w:b/>
        <w:sz w:val="20"/>
        <w:szCs w:val="20"/>
      </w:rPr>
    </w:pPr>
    <w:r w:rsidRPr="00C72DBF">
      <w:rPr>
        <w:rFonts w:asciiTheme="minorHAnsi" w:hAnsiTheme="minorHAnsi" w:cstheme="minorHAnsi"/>
        <w:b/>
        <w:sz w:val="20"/>
        <w:szCs w:val="20"/>
      </w:rPr>
      <w:t>ICONIC LABS PLC</w:t>
    </w:r>
    <w:r>
      <w:rPr>
        <w:rFonts w:asciiTheme="minorHAnsi" w:hAnsiTheme="minorHAnsi" w:cstheme="minorHAnsi"/>
        <w:b/>
        <w:sz w:val="20"/>
        <w:szCs w:val="20"/>
      </w:rPr>
      <w:t xml:space="preserve"> </w:t>
    </w:r>
  </w:p>
  <w:p w14:paraId="64210C8D" w14:textId="77777777" w:rsidR="004D769A" w:rsidRPr="00C72DBF" w:rsidRDefault="004D769A" w:rsidP="00766490">
    <w:pPr>
      <w:pStyle w:val="Header"/>
      <w:rPr>
        <w:rFonts w:asciiTheme="minorHAnsi" w:hAnsiTheme="minorHAnsi" w:cstheme="minorHAnsi"/>
        <w:b/>
        <w:sz w:val="20"/>
        <w:szCs w:val="20"/>
      </w:rPr>
    </w:pPr>
    <w:r w:rsidRPr="00C72DBF">
      <w:rPr>
        <w:rFonts w:asciiTheme="minorHAnsi" w:hAnsiTheme="minorHAnsi" w:cstheme="minorHAnsi"/>
        <w:b/>
        <w:sz w:val="20"/>
        <w:szCs w:val="20"/>
      </w:rPr>
      <w:t>CHIEF EXECUTIVE</w:t>
    </w:r>
    <w:r>
      <w:rPr>
        <w:rFonts w:asciiTheme="minorHAnsi" w:hAnsiTheme="minorHAnsi" w:cstheme="minorHAnsi"/>
        <w:b/>
        <w:sz w:val="20"/>
        <w:szCs w:val="20"/>
      </w:rPr>
      <w:t xml:space="preserve"> AND CHAIRMAN’S REPORT (Continued)</w:t>
    </w:r>
  </w:p>
  <w:p w14:paraId="62EB6825" w14:textId="77777777" w:rsidR="004D769A" w:rsidRDefault="004D769A" w:rsidP="00FC69D0">
    <w:pPr>
      <w:pBdr>
        <w:bottom w:val="single" w:sz="4" w:space="1" w:color="auto"/>
      </w:pBdr>
      <w:rPr>
        <w:sz w:val="18"/>
        <w:szCs w:val="18"/>
      </w:rPr>
    </w:pPr>
  </w:p>
  <w:p w14:paraId="7C0734FF" w14:textId="77777777" w:rsidR="004D769A" w:rsidRPr="00FC69D0" w:rsidRDefault="004D769A" w:rsidP="00FC69D0">
    <w:pPr>
      <w:rPr>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DD39" w14:textId="77777777" w:rsidR="004D769A" w:rsidRDefault="004D769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2137" w14:textId="77777777" w:rsidR="00BB7B7E" w:rsidRPr="00C72DBF" w:rsidRDefault="00BB7B7E" w:rsidP="00766490">
    <w:pPr>
      <w:pStyle w:val="Header"/>
      <w:spacing w:after="120"/>
      <w:rPr>
        <w:rFonts w:asciiTheme="minorHAnsi" w:hAnsiTheme="minorHAnsi" w:cstheme="minorHAnsi"/>
        <w:b/>
        <w:sz w:val="20"/>
        <w:szCs w:val="20"/>
      </w:rPr>
    </w:pPr>
    <w:r w:rsidRPr="00C72DBF">
      <w:rPr>
        <w:rFonts w:asciiTheme="minorHAnsi" w:hAnsiTheme="minorHAnsi" w:cstheme="minorHAnsi"/>
        <w:b/>
        <w:sz w:val="20"/>
        <w:szCs w:val="20"/>
      </w:rPr>
      <w:t>ICONIC LABS PLC</w:t>
    </w:r>
    <w:r>
      <w:rPr>
        <w:rFonts w:asciiTheme="minorHAnsi" w:hAnsiTheme="minorHAnsi" w:cstheme="minorHAnsi"/>
        <w:b/>
        <w:sz w:val="20"/>
        <w:szCs w:val="20"/>
      </w:rPr>
      <w:t xml:space="preserve"> </w:t>
    </w:r>
  </w:p>
  <w:p w14:paraId="315A1DE3" w14:textId="77777777" w:rsidR="00BB7B7E" w:rsidRPr="00C72DBF" w:rsidRDefault="00BB7B7E" w:rsidP="00766490">
    <w:pPr>
      <w:pStyle w:val="Header"/>
      <w:rPr>
        <w:rFonts w:asciiTheme="minorHAnsi" w:hAnsiTheme="minorHAnsi" w:cstheme="minorHAnsi"/>
        <w:b/>
        <w:sz w:val="20"/>
        <w:szCs w:val="20"/>
      </w:rPr>
    </w:pPr>
    <w:r>
      <w:rPr>
        <w:rFonts w:asciiTheme="minorHAnsi" w:hAnsiTheme="minorHAnsi" w:cstheme="minorHAnsi"/>
        <w:b/>
        <w:sz w:val="20"/>
        <w:szCs w:val="20"/>
      </w:rPr>
      <w:t>STRATEGIC REPORT</w:t>
    </w:r>
  </w:p>
  <w:p w14:paraId="69395E4F" w14:textId="77777777" w:rsidR="00BB7B7E" w:rsidRDefault="00BB7B7E" w:rsidP="00FC69D0">
    <w:pPr>
      <w:pBdr>
        <w:bottom w:val="single" w:sz="4" w:space="1" w:color="auto"/>
      </w:pBdr>
      <w:rPr>
        <w:sz w:val="18"/>
        <w:szCs w:val="18"/>
      </w:rPr>
    </w:pPr>
  </w:p>
  <w:p w14:paraId="58E3FC87" w14:textId="77777777" w:rsidR="00BB7B7E" w:rsidRPr="00FC69D0" w:rsidRDefault="00BB7B7E" w:rsidP="00FC69D0">
    <w:pPr>
      <w:rPr>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595F" w14:textId="1039E3C7" w:rsidR="0026744E" w:rsidRDefault="0026744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8E35" w14:textId="17E41486" w:rsidR="0026744E" w:rsidRPr="00C72DBF" w:rsidRDefault="0026744E" w:rsidP="00B21276">
    <w:pPr>
      <w:pStyle w:val="Header"/>
      <w:spacing w:after="120"/>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42E139C1" w14:textId="291DCF51" w:rsidR="0026744E" w:rsidRPr="00C72DBF" w:rsidRDefault="0026744E" w:rsidP="00DB7416">
    <w:pPr>
      <w:pStyle w:val="Header"/>
      <w:rPr>
        <w:rFonts w:asciiTheme="minorHAnsi" w:hAnsiTheme="minorHAnsi" w:cstheme="minorHAnsi"/>
        <w:b/>
        <w:sz w:val="20"/>
        <w:szCs w:val="20"/>
      </w:rPr>
    </w:pPr>
    <w:r w:rsidRPr="00C72DBF">
      <w:rPr>
        <w:rFonts w:asciiTheme="minorHAnsi" w:hAnsiTheme="minorHAnsi" w:cstheme="minorHAnsi"/>
        <w:b/>
        <w:sz w:val="20"/>
        <w:szCs w:val="20"/>
      </w:rPr>
      <w:t>STRATEGIC REPORT</w:t>
    </w:r>
    <w:r>
      <w:rPr>
        <w:rFonts w:asciiTheme="minorHAnsi" w:hAnsiTheme="minorHAnsi" w:cstheme="minorHAnsi"/>
        <w:b/>
        <w:sz w:val="20"/>
        <w:szCs w:val="20"/>
      </w:rPr>
      <w:t xml:space="preserve"> (continued)</w:t>
    </w:r>
  </w:p>
  <w:p w14:paraId="55718B49" w14:textId="77777777" w:rsidR="0026744E" w:rsidRDefault="0026744E" w:rsidP="00FC69D0">
    <w:pPr>
      <w:pBdr>
        <w:bottom w:val="single" w:sz="4" w:space="1" w:color="auto"/>
      </w:pBdr>
      <w:rPr>
        <w:sz w:val="18"/>
        <w:szCs w:val="18"/>
      </w:rPr>
    </w:pPr>
  </w:p>
  <w:p w14:paraId="7FF9581E" w14:textId="77777777" w:rsidR="0026744E" w:rsidRPr="00FC69D0" w:rsidRDefault="0026744E" w:rsidP="00FC69D0">
    <w:pPr>
      <w:rPr>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AC18" w14:textId="4187C268" w:rsidR="0026744E" w:rsidRDefault="00267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9E" w14:textId="10442902" w:rsidR="0026744E" w:rsidRDefault="0026744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FFED" w14:textId="77777777" w:rsidR="00504CD0" w:rsidRDefault="00504CD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D96A" w14:textId="77777777" w:rsidR="00504CD0" w:rsidRPr="00C72DBF" w:rsidRDefault="00504CD0"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10568750" w14:textId="77777777" w:rsidR="00504CD0" w:rsidRPr="00C72DBF" w:rsidRDefault="00504CD0"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CORPORATE GOVERNANCE REPORT</w:t>
    </w:r>
  </w:p>
  <w:p w14:paraId="6291B1CC" w14:textId="77777777" w:rsidR="00504CD0" w:rsidRPr="006737A1" w:rsidRDefault="00504CD0" w:rsidP="006F1B4C">
    <w:pPr>
      <w:pBdr>
        <w:bottom w:val="single" w:sz="4" w:space="1" w:color="auto"/>
      </w:pBdr>
      <w:tabs>
        <w:tab w:val="left" w:pos="5046"/>
      </w:tabs>
      <w:ind w:left="567"/>
      <w:rPr>
        <w:sz w:val="18"/>
        <w:szCs w:val="18"/>
      </w:rPr>
    </w:pPr>
  </w:p>
  <w:p w14:paraId="0A5EBF9F" w14:textId="77777777" w:rsidR="00504CD0" w:rsidRPr="006737A1" w:rsidRDefault="00504CD0" w:rsidP="006F1B4C">
    <w:pPr>
      <w:tabs>
        <w:tab w:val="left" w:pos="5046"/>
      </w:tabs>
      <w:ind w:left="567"/>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FAEF" w14:textId="77777777" w:rsidR="00504CD0" w:rsidRDefault="00504CD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0BF0" w14:textId="77777777" w:rsidR="00504CD0" w:rsidRPr="00C72DBF" w:rsidRDefault="00504CD0"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5DD3B55A" w14:textId="77777777" w:rsidR="00504CD0" w:rsidRPr="00C72DBF" w:rsidRDefault="00504CD0"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CORPORATE GOVERNANCE REPORT (Continued)</w:t>
    </w:r>
  </w:p>
  <w:p w14:paraId="1DE11C42" w14:textId="77777777" w:rsidR="00504CD0" w:rsidRPr="006737A1" w:rsidRDefault="00504CD0" w:rsidP="006F1B4C">
    <w:pPr>
      <w:pBdr>
        <w:bottom w:val="single" w:sz="4" w:space="1" w:color="auto"/>
      </w:pBdr>
      <w:tabs>
        <w:tab w:val="left" w:pos="5046"/>
      </w:tabs>
      <w:ind w:left="567"/>
      <w:rPr>
        <w:sz w:val="18"/>
        <w:szCs w:val="18"/>
      </w:rPr>
    </w:pPr>
  </w:p>
  <w:p w14:paraId="6005CC4B" w14:textId="77777777" w:rsidR="00504CD0" w:rsidRPr="006737A1" w:rsidRDefault="00504CD0" w:rsidP="006F1B4C">
    <w:pPr>
      <w:tabs>
        <w:tab w:val="left" w:pos="5046"/>
      </w:tabs>
      <w:ind w:left="567"/>
      <w:rPr>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345" w14:textId="669F93E3" w:rsidR="0026744E" w:rsidRDefault="0026744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3458" w14:textId="12F963BA" w:rsidR="0026744E" w:rsidRPr="00C72DBF" w:rsidRDefault="0026744E"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76E5EFD4" w14:textId="77E5B14E" w:rsidR="0026744E" w:rsidRPr="00C72DBF" w:rsidRDefault="0026744E"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 xml:space="preserve">CORPORATE GOVERNANCE REPORT </w:t>
    </w:r>
    <w:r w:rsidR="002401B4">
      <w:rPr>
        <w:rFonts w:asciiTheme="minorHAnsi" w:hAnsiTheme="minorHAnsi" w:cstheme="minorHAnsi"/>
        <w:b/>
        <w:sz w:val="20"/>
        <w:szCs w:val="20"/>
      </w:rPr>
      <w:t>(Continued)</w:t>
    </w:r>
  </w:p>
  <w:p w14:paraId="6E2E8C60" w14:textId="77777777" w:rsidR="0026744E" w:rsidRPr="006737A1" w:rsidRDefault="0026744E" w:rsidP="006F1B4C">
    <w:pPr>
      <w:pBdr>
        <w:bottom w:val="single" w:sz="4" w:space="1" w:color="auto"/>
      </w:pBdr>
      <w:tabs>
        <w:tab w:val="left" w:pos="5046"/>
      </w:tabs>
      <w:ind w:left="567"/>
      <w:rPr>
        <w:sz w:val="18"/>
        <w:szCs w:val="18"/>
      </w:rPr>
    </w:pPr>
  </w:p>
  <w:p w14:paraId="0ACC4287" w14:textId="77777777" w:rsidR="0026744E" w:rsidRPr="006737A1" w:rsidRDefault="0026744E" w:rsidP="006F1B4C">
    <w:pPr>
      <w:tabs>
        <w:tab w:val="left" w:pos="5046"/>
      </w:tabs>
      <w:ind w:left="567"/>
      <w:rPr>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5334" w14:textId="23F41A3E" w:rsidR="0026744E" w:rsidRDefault="0026744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674F" w14:textId="77777777" w:rsidR="009C534C" w:rsidRPr="00C72DBF" w:rsidRDefault="009C534C"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23111386" w14:textId="161004E3" w:rsidR="009C534C" w:rsidRPr="00C72DBF" w:rsidRDefault="006E5247"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CORPORATE GOVERNANCE REPORT</w:t>
    </w:r>
    <w:r w:rsidR="002401B4">
      <w:rPr>
        <w:rFonts w:asciiTheme="minorHAnsi" w:hAnsiTheme="minorHAnsi" w:cstheme="minorHAnsi"/>
        <w:b/>
        <w:sz w:val="20"/>
        <w:szCs w:val="20"/>
      </w:rPr>
      <w:t xml:space="preserve"> (Continued)</w:t>
    </w:r>
  </w:p>
  <w:p w14:paraId="6126BCA4" w14:textId="77777777" w:rsidR="009C534C" w:rsidRPr="006737A1" w:rsidRDefault="009C534C" w:rsidP="006F1B4C">
    <w:pPr>
      <w:pBdr>
        <w:bottom w:val="single" w:sz="4" w:space="1" w:color="auto"/>
      </w:pBdr>
      <w:tabs>
        <w:tab w:val="left" w:pos="5046"/>
      </w:tabs>
      <w:ind w:left="567"/>
      <w:rPr>
        <w:sz w:val="18"/>
        <w:szCs w:val="18"/>
      </w:rPr>
    </w:pPr>
  </w:p>
  <w:p w14:paraId="261FCBED" w14:textId="77777777" w:rsidR="009C534C" w:rsidRPr="006737A1" w:rsidRDefault="009C534C" w:rsidP="006F1B4C">
    <w:pPr>
      <w:tabs>
        <w:tab w:val="left" w:pos="5046"/>
      </w:tabs>
      <w:ind w:left="567"/>
      <w:rPr>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2F61" w14:textId="77777777" w:rsidR="00C47A4A" w:rsidRPr="00C72DBF" w:rsidRDefault="00C47A4A"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680E62AB" w14:textId="77777777" w:rsidR="00C47A4A" w:rsidRPr="00C72DBF" w:rsidRDefault="00C47A4A"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REMUNERATION COMMITTEE REPORT</w:t>
    </w:r>
  </w:p>
  <w:p w14:paraId="0AEC3070" w14:textId="77777777" w:rsidR="00C47A4A" w:rsidRPr="006737A1" w:rsidRDefault="00C47A4A" w:rsidP="006F1B4C">
    <w:pPr>
      <w:pBdr>
        <w:bottom w:val="single" w:sz="4" w:space="1" w:color="auto"/>
      </w:pBdr>
      <w:tabs>
        <w:tab w:val="left" w:pos="5046"/>
      </w:tabs>
      <w:ind w:left="567"/>
      <w:rPr>
        <w:sz w:val="18"/>
        <w:szCs w:val="18"/>
      </w:rPr>
    </w:pPr>
  </w:p>
  <w:p w14:paraId="220AE4E6" w14:textId="77777777" w:rsidR="00C47A4A" w:rsidRPr="006737A1" w:rsidRDefault="00C47A4A" w:rsidP="006F1B4C">
    <w:pPr>
      <w:tabs>
        <w:tab w:val="left" w:pos="5046"/>
      </w:tabs>
      <w:ind w:left="567"/>
      <w:rPr>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B99" w14:textId="77777777" w:rsidR="009C534C" w:rsidRPr="00C72DBF" w:rsidRDefault="009C534C"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43AA41AB" w14:textId="77777777" w:rsidR="009C534C" w:rsidRPr="00C72DBF" w:rsidRDefault="009C534C"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REMUNERATION COMMITTEE REPORT (Continued)</w:t>
    </w:r>
  </w:p>
  <w:p w14:paraId="75A602BA" w14:textId="77777777" w:rsidR="009C534C" w:rsidRPr="006737A1" w:rsidRDefault="009C534C" w:rsidP="006F1B4C">
    <w:pPr>
      <w:pBdr>
        <w:bottom w:val="single" w:sz="4" w:space="1" w:color="auto"/>
      </w:pBdr>
      <w:tabs>
        <w:tab w:val="left" w:pos="5046"/>
      </w:tabs>
      <w:ind w:left="567"/>
      <w:rPr>
        <w:sz w:val="18"/>
        <w:szCs w:val="18"/>
      </w:rPr>
    </w:pPr>
  </w:p>
  <w:p w14:paraId="7CC38FF4" w14:textId="77777777" w:rsidR="009C534C" w:rsidRPr="006737A1" w:rsidRDefault="009C534C" w:rsidP="006F1B4C">
    <w:pPr>
      <w:tabs>
        <w:tab w:val="left" w:pos="5046"/>
      </w:tabs>
      <w:ind w:left="56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9F" w14:textId="21E5F17E" w:rsidR="0026744E" w:rsidRPr="00C72DBF" w:rsidRDefault="0026744E" w:rsidP="00805241">
    <w:pPr>
      <w:pStyle w:val="Header"/>
      <w:spacing w:after="120"/>
      <w:rPr>
        <w:rFonts w:asciiTheme="minorHAnsi" w:hAnsiTheme="minorHAnsi" w:cstheme="minorHAnsi"/>
        <w:b/>
        <w:sz w:val="20"/>
        <w:szCs w:val="20"/>
      </w:rPr>
    </w:pPr>
    <w:r w:rsidRPr="00C72DBF">
      <w:rPr>
        <w:rFonts w:asciiTheme="minorHAnsi" w:hAnsiTheme="minorHAnsi" w:cstheme="minorHAnsi"/>
        <w:b/>
        <w:sz w:val="20"/>
        <w:szCs w:val="20"/>
      </w:rPr>
      <w:t>ICONIC LABS PLC</w:t>
    </w:r>
    <w:r>
      <w:rPr>
        <w:rFonts w:asciiTheme="minorHAnsi" w:hAnsiTheme="minorHAnsi" w:cstheme="minorHAnsi"/>
        <w:b/>
        <w:sz w:val="20"/>
        <w:szCs w:val="20"/>
      </w:rPr>
      <w:t xml:space="preserve"> </w:t>
    </w:r>
  </w:p>
  <w:p w14:paraId="0312FEA0" w14:textId="77777777" w:rsidR="0026744E" w:rsidRPr="00C72DBF" w:rsidRDefault="0026744E" w:rsidP="00CC360D">
    <w:pPr>
      <w:pStyle w:val="Header"/>
      <w:rPr>
        <w:rFonts w:asciiTheme="minorHAnsi" w:hAnsiTheme="minorHAnsi" w:cstheme="minorHAnsi"/>
        <w:b/>
        <w:sz w:val="20"/>
        <w:szCs w:val="20"/>
      </w:rPr>
    </w:pPr>
    <w:r w:rsidRPr="00C72DBF">
      <w:rPr>
        <w:rFonts w:asciiTheme="minorHAnsi" w:hAnsiTheme="minorHAnsi" w:cstheme="minorHAnsi"/>
        <w:b/>
        <w:sz w:val="20"/>
        <w:szCs w:val="20"/>
      </w:rPr>
      <w:t>CONTENTS</w:t>
    </w:r>
  </w:p>
  <w:p w14:paraId="0312FEA1" w14:textId="77777777" w:rsidR="0026744E" w:rsidRPr="00805241" w:rsidRDefault="0026744E" w:rsidP="00805241">
    <w:pPr>
      <w:pStyle w:val="Header"/>
      <w:pBdr>
        <w:bottom w:val="single" w:sz="4" w:space="1" w:color="auto"/>
      </w:pBdr>
      <w:rPr>
        <w:rFonts w:ascii="Palatino Linotype" w:hAnsi="Palatino Linotype"/>
        <w:b/>
        <w:sz w:val="18"/>
        <w:szCs w:val="18"/>
      </w:rPr>
    </w:pPr>
  </w:p>
  <w:p w14:paraId="0312FEA2" w14:textId="77777777" w:rsidR="0026744E" w:rsidRPr="00805241" w:rsidRDefault="0026744E">
    <w:pPr>
      <w:pStyle w:val="Header"/>
      <w:rPr>
        <w:rFonts w:ascii="Palatino Linotype" w:hAnsi="Palatino Linotype"/>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5FC6" w14:textId="62947CB9" w:rsidR="0026744E" w:rsidRDefault="0026744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CBF7" w14:textId="7581B872" w:rsidR="0026744E" w:rsidRPr="00C72DBF" w:rsidRDefault="0026744E"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182F78E8" w14:textId="1C6E5086" w:rsidR="0026744E" w:rsidRDefault="0026744E"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 xml:space="preserve">REMUNERATION COMMITTEE </w:t>
    </w:r>
    <w:r w:rsidR="007F2D63">
      <w:rPr>
        <w:rFonts w:asciiTheme="minorHAnsi" w:hAnsiTheme="minorHAnsi" w:cstheme="minorHAnsi"/>
        <w:b/>
        <w:sz w:val="20"/>
        <w:szCs w:val="20"/>
      </w:rPr>
      <w:t>REPORT (</w:t>
    </w:r>
    <w:r w:rsidR="00237EC4">
      <w:rPr>
        <w:rFonts w:asciiTheme="minorHAnsi" w:hAnsiTheme="minorHAnsi" w:cstheme="minorHAnsi"/>
        <w:b/>
        <w:sz w:val="20"/>
        <w:szCs w:val="20"/>
      </w:rPr>
      <w:t>Continued)</w:t>
    </w:r>
  </w:p>
  <w:p w14:paraId="703E1C44" w14:textId="77777777" w:rsidR="0026744E" w:rsidRPr="006737A1" w:rsidRDefault="0026744E" w:rsidP="006F1B4C">
    <w:pPr>
      <w:pBdr>
        <w:bottom w:val="single" w:sz="4" w:space="1" w:color="auto"/>
      </w:pBdr>
      <w:tabs>
        <w:tab w:val="left" w:pos="5046"/>
      </w:tabs>
      <w:ind w:left="567"/>
      <w:rPr>
        <w:sz w:val="18"/>
        <w:szCs w:val="18"/>
      </w:rPr>
    </w:pPr>
  </w:p>
  <w:p w14:paraId="19CF618E" w14:textId="77777777" w:rsidR="0026744E" w:rsidRPr="006737A1" w:rsidRDefault="0026744E" w:rsidP="006F1B4C">
    <w:pPr>
      <w:tabs>
        <w:tab w:val="left" w:pos="5046"/>
      </w:tabs>
      <w:ind w:left="567"/>
      <w:rPr>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1032" w14:textId="04739E81" w:rsidR="0026744E" w:rsidRDefault="0026744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E04D" w14:textId="77777777" w:rsidR="002F2937" w:rsidRPr="00C72DBF" w:rsidRDefault="002F2937"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4189A192" w14:textId="77777777" w:rsidR="002F2937" w:rsidRPr="00C72DBF" w:rsidRDefault="002F2937"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AUDIT COMMITTEE REPORT</w:t>
    </w:r>
  </w:p>
  <w:p w14:paraId="58082F56" w14:textId="77777777" w:rsidR="002F2937" w:rsidRPr="006737A1" w:rsidRDefault="002F2937" w:rsidP="006F1B4C">
    <w:pPr>
      <w:pBdr>
        <w:bottom w:val="single" w:sz="4" w:space="1" w:color="auto"/>
      </w:pBdr>
      <w:tabs>
        <w:tab w:val="left" w:pos="5046"/>
      </w:tabs>
      <w:ind w:left="567"/>
      <w:rPr>
        <w:sz w:val="18"/>
        <w:szCs w:val="18"/>
      </w:rPr>
    </w:pPr>
  </w:p>
  <w:p w14:paraId="4D0CD327" w14:textId="77777777" w:rsidR="002F2937" w:rsidRPr="006737A1" w:rsidRDefault="002F2937" w:rsidP="006F1B4C">
    <w:pPr>
      <w:tabs>
        <w:tab w:val="left" w:pos="5046"/>
      </w:tabs>
      <w:ind w:left="567"/>
      <w:rPr>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3361" w14:textId="3838824E" w:rsidR="0026744E" w:rsidRDefault="0026744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C023" w14:textId="6AEBCB71" w:rsidR="0026744E" w:rsidRPr="00C72DBF" w:rsidRDefault="0026744E"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2F5FCDFE" w14:textId="0406D91C" w:rsidR="0026744E" w:rsidRPr="00C72DBF" w:rsidRDefault="00454E0C"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DIRECTORS’ REPORT</w:t>
    </w:r>
  </w:p>
  <w:p w14:paraId="096E437F" w14:textId="77777777" w:rsidR="0026744E" w:rsidRPr="006737A1" w:rsidRDefault="0026744E" w:rsidP="006F1B4C">
    <w:pPr>
      <w:pBdr>
        <w:bottom w:val="single" w:sz="4" w:space="1" w:color="auto"/>
      </w:pBdr>
      <w:tabs>
        <w:tab w:val="left" w:pos="5046"/>
      </w:tabs>
      <w:ind w:left="567"/>
      <w:rPr>
        <w:sz w:val="18"/>
        <w:szCs w:val="18"/>
      </w:rPr>
    </w:pPr>
  </w:p>
  <w:p w14:paraId="662017C8" w14:textId="77777777" w:rsidR="0026744E" w:rsidRPr="006737A1" w:rsidRDefault="0026744E" w:rsidP="006F1B4C">
    <w:pPr>
      <w:tabs>
        <w:tab w:val="left" w:pos="5046"/>
      </w:tabs>
      <w:ind w:left="567"/>
      <w:rPr>
        <w:sz w:val="18"/>
        <w:szCs w:val="1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96A0" w14:textId="0C8DD531" w:rsidR="0026744E" w:rsidRDefault="0026744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D002" w14:textId="6007ECAC" w:rsidR="0026744E" w:rsidRDefault="0026744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18BE" w14:textId="2B0F7C18" w:rsidR="0026744E" w:rsidRPr="00C72DBF" w:rsidRDefault="0026744E" w:rsidP="006F1B4C">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46542995" w14:textId="24A0A3B0" w:rsidR="0026744E" w:rsidRPr="00C72DBF" w:rsidRDefault="0026744E" w:rsidP="006F1B4C">
    <w:pPr>
      <w:pStyle w:val="Header"/>
      <w:ind w:left="567"/>
      <w:rPr>
        <w:rFonts w:asciiTheme="minorHAnsi" w:hAnsiTheme="minorHAnsi" w:cstheme="minorHAnsi"/>
        <w:b/>
        <w:sz w:val="20"/>
        <w:szCs w:val="20"/>
      </w:rPr>
    </w:pPr>
    <w:r>
      <w:rPr>
        <w:rFonts w:asciiTheme="minorHAnsi" w:hAnsiTheme="minorHAnsi" w:cstheme="minorHAnsi"/>
        <w:b/>
        <w:sz w:val="20"/>
        <w:szCs w:val="20"/>
      </w:rPr>
      <w:t>DIRECTORS’ REPORT (continued)</w:t>
    </w:r>
  </w:p>
  <w:p w14:paraId="25CC1CEF" w14:textId="77777777" w:rsidR="0026744E" w:rsidRPr="006737A1" w:rsidRDefault="0026744E" w:rsidP="006F1B4C">
    <w:pPr>
      <w:pBdr>
        <w:bottom w:val="single" w:sz="4" w:space="1" w:color="auto"/>
      </w:pBdr>
      <w:tabs>
        <w:tab w:val="left" w:pos="5046"/>
      </w:tabs>
      <w:ind w:left="567"/>
      <w:rPr>
        <w:sz w:val="18"/>
        <w:szCs w:val="18"/>
      </w:rPr>
    </w:pPr>
  </w:p>
  <w:p w14:paraId="227ED491" w14:textId="77777777" w:rsidR="0026744E" w:rsidRPr="006737A1" w:rsidRDefault="0026744E" w:rsidP="006F1B4C">
    <w:pPr>
      <w:tabs>
        <w:tab w:val="left" w:pos="5046"/>
      </w:tabs>
      <w:ind w:left="567"/>
      <w:rPr>
        <w:sz w:val="18"/>
        <w:szCs w:val="1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46A7" w14:textId="72E89779" w:rsidR="0026744E" w:rsidRDefault="002674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A3" w14:textId="1EE9F40C" w:rsidR="0026744E" w:rsidRDefault="0026744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FC43" w14:textId="2199B2AF" w:rsidR="0026744E" w:rsidRDefault="0026744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E8A" w14:textId="2068B732" w:rsidR="0026744E" w:rsidRPr="00C72DBF" w:rsidRDefault="0026744E" w:rsidP="00D46437">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54AEFC22" w14:textId="331E561E" w:rsidR="0026744E" w:rsidRPr="00D46437" w:rsidRDefault="0026744E" w:rsidP="00002186">
    <w:pPr>
      <w:pStyle w:val="Header"/>
      <w:ind w:left="567"/>
      <w:rPr>
        <w:rFonts w:asciiTheme="minorHAnsi" w:hAnsiTheme="minorHAnsi"/>
        <w:b/>
        <w:sz w:val="20"/>
        <w:szCs w:val="20"/>
      </w:rPr>
    </w:pPr>
    <w:r>
      <w:rPr>
        <w:rFonts w:asciiTheme="minorHAnsi" w:hAnsiTheme="minorHAnsi"/>
        <w:b/>
        <w:sz w:val="20"/>
        <w:szCs w:val="20"/>
      </w:rPr>
      <w:t>DIRECTORS’</w:t>
    </w:r>
    <w:r w:rsidRPr="00D46437">
      <w:rPr>
        <w:rFonts w:asciiTheme="minorHAnsi" w:hAnsiTheme="minorHAnsi"/>
        <w:b/>
        <w:sz w:val="20"/>
        <w:szCs w:val="20"/>
      </w:rPr>
      <w:t xml:space="preserve"> REPORT </w:t>
    </w:r>
    <w:r>
      <w:rPr>
        <w:rFonts w:asciiTheme="minorHAnsi" w:hAnsiTheme="minorHAnsi"/>
        <w:b/>
        <w:sz w:val="20"/>
        <w:szCs w:val="20"/>
      </w:rPr>
      <w:t>(continued)</w:t>
    </w:r>
  </w:p>
  <w:p w14:paraId="4CA167B6" w14:textId="77777777" w:rsidR="0026744E" w:rsidRPr="00002186" w:rsidRDefault="0026744E" w:rsidP="00002186">
    <w:pPr>
      <w:pStyle w:val="Header"/>
      <w:pBdr>
        <w:bottom w:val="single" w:sz="4" w:space="1" w:color="auto"/>
      </w:pBdr>
      <w:tabs>
        <w:tab w:val="clear" w:pos="9026"/>
      </w:tabs>
      <w:ind w:left="567"/>
      <w:rPr>
        <w:rFonts w:ascii="Palatino Linotype" w:hAnsi="Palatino Linotype"/>
        <w:b/>
        <w:sz w:val="18"/>
        <w:szCs w:val="18"/>
      </w:rPr>
    </w:pPr>
  </w:p>
  <w:p w14:paraId="67149FC9" w14:textId="77777777" w:rsidR="0026744E" w:rsidRPr="00002186" w:rsidRDefault="0026744E" w:rsidP="00002186">
    <w:pPr>
      <w:pStyle w:val="Header"/>
      <w:ind w:left="567"/>
      <w:rPr>
        <w:sz w:val="18"/>
        <w:szCs w:val="1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2117" w14:textId="0C1876FE" w:rsidR="0026744E" w:rsidRDefault="0026744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8269" w14:textId="3F2A322D" w:rsidR="0026744E" w:rsidRDefault="0026744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3D88" w14:textId="50D3BDFD" w:rsidR="0026744E" w:rsidRPr="00C72DBF" w:rsidRDefault="0026744E" w:rsidP="00D46437">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5C2FED38" w14:textId="216CA1B8" w:rsidR="005B324F" w:rsidRPr="00D46437" w:rsidRDefault="0026744E" w:rsidP="005B324F">
    <w:pPr>
      <w:pStyle w:val="Header"/>
      <w:ind w:left="567"/>
      <w:rPr>
        <w:rFonts w:asciiTheme="minorHAnsi" w:hAnsiTheme="minorHAnsi"/>
        <w:b/>
        <w:sz w:val="20"/>
        <w:szCs w:val="20"/>
      </w:rPr>
    </w:pPr>
    <w:r>
      <w:rPr>
        <w:rFonts w:asciiTheme="minorHAnsi" w:hAnsiTheme="minorHAnsi"/>
        <w:b/>
        <w:sz w:val="20"/>
        <w:szCs w:val="20"/>
      </w:rPr>
      <w:t xml:space="preserve">INDEPENDENT AUDITOR’S </w:t>
    </w:r>
    <w:r w:rsidR="00245E06">
      <w:rPr>
        <w:rFonts w:asciiTheme="minorHAnsi" w:hAnsiTheme="minorHAnsi"/>
        <w:b/>
        <w:sz w:val="20"/>
        <w:szCs w:val="20"/>
      </w:rPr>
      <w:t xml:space="preserve">REPORT </w:t>
    </w:r>
  </w:p>
  <w:p w14:paraId="7FBC891B" w14:textId="032DC544" w:rsidR="0026744E" w:rsidRPr="00D46437" w:rsidRDefault="0026744E" w:rsidP="00002186">
    <w:pPr>
      <w:pStyle w:val="Header"/>
      <w:ind w:left="567"/>
      <w:rPr>
        <w:rFonts w:asciiTheme="minorHAnsi" w:hAnsiTheme="minorHAnsi"/>
        <w:b/>
        <w:sz w:val="20"/>
        <w:szCs w:val="20"/>
      </w:rPr>
    </w:pPr>
    <w:r w:rsidRPr="00D46437">
      <w:rPr>
        <w:rFonts w:asciiTheme="minorHAnsi" w:hAnsiTheme="minorHAnsi"/>
        <w:b/>
        <w:sz w:val="20"/>
        <w:szCs w:val="20"/>
      </w:rPr>
      <w:t xml:space="preserve">FOR THE </w:t>
    </w:r>
    <w:r>
      <w:rPr>
        <w:rFonts w:asciiTheme="minorHAnsi" w:hAnsiTheme="minorHAnsi"/>
        <w:b/>
        <w:sz w:val="20"/>
        <w:szCs w:val="20"/>
      </w:rPr>
      <w:t>YEAR</w:t>
    </w:r>
    <w:r w:rsidRPr="00D46437">
      <w:rPr>
        <w:rFonts w:asciiTheme="minorHAnsi" w:hAnsiTheme="minorHAnsi"/>
        <w:b/>
        <w:sz w:val="20"/>
        <w:szCs w:val="20"/>
      </w:rPr>
      <w:t xml:space="preserve"> ENDED 30 JUNE 20</w:t>
    </w:r>
    <w:r>
      <w:rPr>
        <w:rFonts w:asciiTheme="minorHAnsi" w:hAnsiTheme="minorHAnsi"/>
        <w:b/>
        <w:sz w:val="20"/>
        <w:szCs w:val="20"/>
      </w:rPr>
      <w:t>2</w:t>
    </w:r>
    <w:r w:rsidR="001F0087">
      <w:rPr>
        <w:rFonts w:asciiTheme="minorHAnsi" w:hAnsiTheme="minorHAnsi"/>
        <w:b/>
        <w:sz w:val="20"/>
        <w:szCs w:val="20"/>
      </w:rPr>
      <w:t>2</w:t>
    </w:r>
  </w:p>
  <w:p w14:paraId="7EE4C9F7" w14:textId="77777777" w:rsidR="0026744E" w:rsidRPr="00002186" w:rsidRDefault="0026744E" w:rsidP="00002186">
    <w:pPr>
      <w:pStyle w:val="Header"/>
      <w:pBdr>
        <w:bottom w:val="single" w:sz="4" w:space="1" w:color="auto"/>
      </w:pBdr>
      <w:tabs>
        <w:tab w:val="clear" w:pos="9026"/>
      </w:tabs>
      <w:ind w:left="567"/>
      <w:rPr>
        <w:rFonts w:ascii="Palatino Linotype" w:hAnsi="Palatino Linotype"/>
        <w:b/>
        <w:sz w:val="18"/>
        <w:szCs w:val="18"/>
      </w:rPr>
    </w:pPr>
  </w:p>
  <w:p w14:paraId="2A250989" w14:textId="77777777" w:rsidR="0026744E" w:rsidRPr="00002186" w:rsidRDefault="0026744E" w:rsidP="00002186">
    <w:pPr>
      <w:pStyle w:val="Header"/>
      <w:ind w:left="567"/>
      <w:rPr>
        <w:sz w:val="18"/>
        <w:szCs w:val="18"/>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83E9" w14:textId="77777777" w:rsidR="00284B3D" w:rsidRPr="00C72DBF" w:rsidRDefault="00284B3D" w:rsidP="00284B3D">
    <w:pPr>
      <w:pStyle w:val="Header"/>
      <w:spacing w:after="120"/>
      <w:ind w:left="567"/>
      <w:rPr>
        <w:rFonts w:asciiTheme="minorHAnsi" w:hAnsiTheme="minorHAnsi" w:cstheme="minorHAnsi"/>
        <w:b/>
        <w:sz w:val="20"/>
        <w:szCs w:val="20"/>
      </w:rPr>
    </w:pPr>
    <w:r>
      <w:rPr>
        <w:rFonts w:asciiTheme="minorHAnsi" w:hAnsiTheme="minorHAnsi" w:cstheme="minorHAnsi"/>
        <w:b/>
        <w:sz w:val="20"/>
        <w:szCs w:val="20"/>
      </w:rPr>
      <w:t>ICONIC LABS</w:t>
    </w:r>
    <w:r w:rsidRPr="00C72DBF">
      <w:rPr>
        <w:rFonts w:asciiTheme="minorHAnsi" w:hAnsiTheme="minorHAnsi" w:cstheme="minorHAnsi"/>
        <w:b/>
        <w:sz w:val="20"/>
        <w:szCs w:val="20"/>
      </w:rPr>
      <w:t xml:space="preserve"> PLC</w:t>
    </w:r>
    <w:r>
      <w:rPr>
        <w:rFonts w:asciiTheme="minorHAnsi" w:hAnsiTheme="minorHAnsi" w:cstheme="minorHAnsi"/>
        <w:b/>
        <w:sz w:val="20"/>
        <w:szCs w:val="20"/>
      </w:rPr>
      <w:t xml:space="preserve"> </w:t>
    </w:r>
  </w:p>
  <w:p w14:paraId="6D6D6AAD" w14:textId="19A2611E" w:rsidR="00284B3D" w:rsidRPr="00D46437" w:rsidRDefault="00284B3D" w:rsidP="00284B3D">
    <w:pPr>
      <w:pStyle w:val="Header"/>
      <w:ind w:left="567"/>
      <w:rPr>
        <w:rFonts w:asciiTheme="minorHAnsi" w:hAnsiTheme="minorHAnsi"/>
        <w:b/>
        <w:sz w:val="20"/>
        <w:szCs w:val="20"/>
      </w:rPr>
    </w:pPr>
    <w:r>
      <w:rPr>
        <w:rFonts w:asciiTheme="minorHAnsi" w:hAnsiTheme="minorHAnsi"/>
        <w:b/>
        <w:sz w:val="20"/>
        <w:szCs w:val="20"/>
      </w:rPr>
      <w:t>INDEPENDENT AUDITOR’S REPORT</w:t>
    </w:r>
  </w:p>
  <w:p w14:paraId="5949BE4F" w14:textId="77777777" w:rsidR="00284B3D" w:rsidRPr="00D46437" w:rsidRDefault="00284B3D" w:rsidP="00284B3D">
    <w:pPr>
      <w:pStyle w:val="Header"/>
      <w:ind w:left="567"/>
      <w:rPr>
        <w:rFonts w:asciiTheme="minorHAnsi" w:hAnsiTheme="minorHAnsi"/>
        <w:b/>
        <w:sz w:val="20"/>
        <w:szCs w:val="20"/>
      </w:rPr>
    </w:pPr>
    <w:r w:rsidRPr="00D46437">
      <w:rPr>
        <w:rFonts w:asciiTheme="minorHAnsi" w:hAnsiTheme="minorHAnsi"/>
        <w:b/>
        <w:sz w:val="20"/>
        <w:szCs w:val="20"/>
      </w:rPr>
      <w:t xml:space="preserve">FOR THE </w:t>
    </w:r>
    <w:r>
      <w:rPr>
        <w:rFonts w:asciiTheme="minorHAnsi" w:hAnsiTheme="minorHAnsi"/>
        <w:b/>
        <w:sz w:val="20"/>
        <w:szCs w:val="20"/>
      </w:rPr>
      <w:t>YEAR</w:t>
    </w:r>
    <w:r w:rsidRPr="00D46437">
      <w:rPr>
        <w:rFonts w:asciiTheme="minorHAnsi" w:hAnsiTheme="minorHAnsi"/>
        <w:b/>
        <w:sz w:val="20"/>
        <w:szCs w:val="20"/>
      </w:rPr>
      <w:t xml:space="preserve"> ENDED 30 JUNE 20</w:t>
    </w:r>
    <w:r>
      <w:rPr>
        <w:rFonts w:asciiTheme="minorHAnsi" w:hAnsiTheme="minorHAnsi"/>
        <w:b/>
        <w:sz w:val="20"/>
        <w:szCs w:val="20"/>
      </w:rPr>
      <w:t>22</w:t>
    </w:r>
  </w:p>
  <w:p w14:paraId="7D16CB71" w14:textId="77777777" w:rsidR="00284B3D" w:rsidRPr="00002186" w:rsidRDefault="00284B3D" w:rsidP="00284B3D">
    <w:pPr>
      <w:pStyle w:val="Header"/>
      <w:pBdr>
        <w:bottom w:val="single" w:sz="4" w:space="1" w:color="auto"/>
      </w:pBdr>
      <w:tabs>
        <w:tab w:val="clear" w:pos="9026"/>
      </w:tabs>
      <w:ind w:left="567"/>
      <w:rPr>
        <w:rFonts w:ascii="Palatino Linotype" w:hAnsi="Palatino Linotype"/>
        <w:b/>
        <w:sz w:val="18"/>
        <w:szCs w:val="18"/>
      </w:rPr>
    </w:pPr>
  </w:p>
  <w:p w14:paraId="025D402E" w14:textId="6C48C7E9" w:rsidR="0026744E" w:rsidRDefault="0026744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C7" w14:textId="70BA7022" w:rsidR="0026744E" w:rsidRDefault="0026744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C8" w14:textId="3B6CC2DC" w:rsidR="0026744E" w:rsidRPr="00491A75" w:rsidRDefault="0026744E" w:rsidP="00DA7DCB">
    <w:pPr>
      <w:pStyle w:val="Header"/>
      <w:rPr>
        <w:rFonts w:asciiTheme="minorHAnsi" w:hAnsiTheme="minorHAnsi"/>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PLC</w:t>
    </w:r>
    <w:r>
      <w:rPr>
        <w:rFonts w:asciiTheme="minorHAnsi" w:hAnsiTheme="minorHAnsi"/>
        <w:b/>
        <w:sz w:val="20"/>
        <w:szCs w:val="20"/>
      </w:rPr>
      <w:t xml:space="preserve"> </w:t>
    </w:r>
  </w:p>
  <w:p w14:paraId="0312FEC9" w14:textId="77777777" w:rsidR="0026744E" w:rsidRPr="00491A75" w:rsidRDefault="0026744E" w:rsidP="005B3F62">
    <w:pPr>
      <w:pStyle w:val="Header"/>
      <w:spacing w:before="120"/>
      <w:rPr>
        <w:rFonts w:asciiTheme="minorHAnsi" w:hAnsiTheme="minorHAnsi"/>
        <w:b/>
        <w:sz w:val="20"/>
        <w:szCs w:val="20"/>
      </w:rPr>
    </w:pPr>
    <w:r w:rsidRPr="00491A75">
      <w:rPr>
        <w:rFonts w:asciiTheme="minorHAnsi" w:hAnsiTheme="minorHAnsi"/>
        <w:b/>
        <w:sz w:val="20"/>
        <w:szCs w:val="20"/>
      </w:rPr>
      <w:t>CONSOLIDATED STATEMENT OF COMPREHENSIVE INCOME</w:t>
    </w:r>
  </w:p>
  <w:p w14:paraId="0312FECA" w14:textId="6BE50E81" w:rsidR="0026744E" w:rsidRPr="00491A75" w:rsidRDefault="0026744E">
    <w:pPr>
      <w:pStyle w:val="Header"/>
      <w:rPr>
        <w:rFonts w:asciiTheme="minorHAnsi" w:hAnsiTheme="minorHAnsi"/>
        <w:b/>
        <w:sz w:val="20"/>
        <w:szCs w:val="20"/>
      </w:rPr>
    </w:pPr>
    <w:r w:rsidRPr="00491A75">
      <w:rPr>
        <w:rFonts w:asciiTheme="minorHAnsi" w:hAnsiTheme="minorHAnsi"/>
        <w:b/>
        <w:sz w:val="20"/>
        <w:szCs w:val="20"/>
      </w:rPr>
      <w:t xml:space="preserve">FOR THE </w:t>
    </w:r>
    <w:r>
      <w:rPr>
        <w:rFonts w:asciiTheme="minorHAnsi" w:hAnsiTheme="minorHAnsi"/>
        <w:b/>
        <w:sz w:val="20"/>
        <w:szCs w:val="20"/>
      </w:rPr>
      <w:t>YEAR</w:t>
    </w:r>
    <w:r w:rsidRPr="00491A75">
      <w:rPr>
        <w:rFonts w:asciiTheme="minorHAnsi" w:hAnsiTheme="minorHAnsi"/>
        <w:b/>
        <w:sz w:val="20"/>
        <w:szCs w:val="20"/>
      </w:rPr>
      <w:t xml:space="preserve"> ENDED 30 JUNE 20</w:t>
    </w:r>
    <w:r>
      <w:rPr>
        <w:rFonts w:asciiTheme="minorHAnsi" w:hAnsiTheme="minorHAnsi"/>
        <w:b/>
        <w:sz w:val="20"/>
        <w:szCs w:val="20"/>
      </w:rPr>
      <w:t>2</w:t>
    </w:r>
    <w:r w:rsidR="001F0087">
      <w:rPr>
        <w:rFonts w:asciiTheme="minorHAnsi" w:hAnsiTheme="minorHAnsi"/>
        <w:b/>
        <w:sz w:val="20"/>
        <w:szCs w:val="20"/>
      </w:rPr>
      <w:t>2</w:t>
    </w:r>
  </w:p>
  <w:p w14:paraId="0312FECB" w14:textId="77777777" w:rsidR="0026744E" w:rsidRPr="005B3F62" w:rsidRDefault="0026744E" w:rsidP="005B3F62">
    <w:pPr>
      <w:pStyle w:val="Header"/>
      <w:pBdr>
        <w:bottom w:val="single" w:sz="4" w:space="1" w:color="auto"/>
      </w:pBdr>
      <w:tabs>
        <w:tab w:val="clear" w:pos="9026"/>
      </w:tabs>
      <w:rPr>
        <w:rFonts w:ascii="Palatino Linotype" w:hAnsi="Palatino Linotype"/>
        <w:sz w:val="18"/>
        <w:szCs w:val="18"/>
      </w:rPr>
    </w:pPr>
  </w:p>
  <w:p w14:paraId="0312FECC" w14:textId="77777777" w:rsidR="0026744E" w:rsidRPr="005B3F62" w:rsidRDefault="0026744E">
    <w:pPr>
      <w:pStyle w:val="Header"/>
      <w:rPr>
        <w:rFonts w:ascii="Palatino Linotype" w:hAnsi="Palatino Linotype"/>
        <w:sz w:val="18"/>
        <w:szCs w:val="18"/>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D1" w14:textId="1F14818B" w:rsidR="0026744E" w:rsidRDefault="0026744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D2" w14:textId="795C4A8B" w:rsidR="0026744E" w:rsidRDefault="002674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A4" w14:textId="5874BCC5" w:rsidR="0026744E" w:rsidRDefault="0026744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D3" w14:textId="64A4B0DA" w:rsidR="0026744E" w:rsidRPr="008B23BA" w:rsidRDefault="0026744E" w:rsidP="00C97006">
    <w:pPr>
      <w:pStyle w:val="Header"/>
      <w:spacing w:after="120"/>
      <w:rPr>
        <w:rFonts w:ascii="Palatino Linotype" w:hAnsi="Palatino Linotype"/>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PLC</w:t>
    </w:r>
    <w:r>
      <w:rPr>
        <w:rFonts w:asciiTheme="minorHAnsi" w:hAnsiTheme="minorHAnsi"/>
        <w:b/>
        <w:sz w:val="20"/>
        <w:szCs w:val="20"/>
      </w:rPr>
      <w:t xml:space="preserve"> </w:t>
    </w:r>
  </w:p>
  <w:p w14:paraId="0312FED4" w14:textId="77777777" w:rsidR="0026744E" w:rsidRPr="00C4130C" w:rsidRDefault="0026744E">
    <w:pPr>
      <w:pStyle w:val="Header"/>
      <w:rPr>
        <w:rFonts w:asciiTheme="minorHAnsi" w:hAnsiTheme="minorHAnsi"/>
        <w:b/>
        <w:sz w:val="20"/>
        <w:szCs w:val="20"/>
      </w:rPr>
    </w:pPr>
    <w:r w:rsidRPr="00C4130C">
      <w:rPr>
        <w:rFonts w:asciiTheme="minorHAnsi" w:hAnsiTheme="minorHAnsi"/>
        <w:b/>
        <w:sz w:val="20"/>
        <w:szCs w:val="20"/>
      </w:rPr>
      <w:t>CONSOLIDATED STATEMENT OF FINANCIAL POSITION</w:t>
    </w:r>
  </w:p>
  <w:p w14:paraId="0312FED5" w14:textId="644FB339" w:rsidR="0026744E" w:rsidRPr="00C4130C" w:rsidRDefault="0026744E">
    <w:pPr>
      <w:pStyle w:val="Header"/>
      <w:rPr>
        <w:rFonts w:asciiTheme="minorHAnsi" w:hAnsiTheme="minorHAnsi"/>
        <w:b/>
        <w:sz w:val="20"/>
        <w:szCs w:val="20"/>
      </w:rPr>
    </w:pPr>
    <w:r w:rsidRPr="00C4130C">
      <w:rPr>
        <w:rFonts w:asciiTheme="minorHAnsi" w:hAnsiTheme="minorHAnsi"/>
        <w:b/>
        <w:sz w:val="20"/>
        <w:szCs w:val="20"/>
      </w:rPr>
      <w:t>AS AT 30 JUNE 20</w:t>
    </w:r>
    <w:r>
      <w:rPr>
        <w:rFonts w:asciiTheme="minorHAnsi" w:hAnsiTheme="minorHAnsi"/>
        <w:b/>
        <w:sz w:val="20"/>
        <w:szCs w:val="20"/>
      </w:rPr>
      <w:t>2</w:t>
    </w:r>
    <w:r w:rsidR="001F0087">
      <w:rPr>
        <w:rFonts w:asciiTheme="minorHAnsi" w:hAnsiTheme="minorHAnsi"/>
        <w:b/>
        <w:sz w:val="20"/>
        <w:szCs w:val="20"/>
      </w:rPr>
      <w:t>2</w:t>
    </w:r>
  </w:p>
  <w:p w14:paraId="0312FED6" w14:textId="77777777" w:rsidR="0026744E" w:rsidRPr="00C97006" w:rsidRDefault="0026744E" w:rsidP="00C97006">
    <w:pPr>
      <w:pStyle w:val="Header"/>
      <w:pBdr>
        <w:bottom w:val="single" w:sz="4" w:space="1" w:color="auto"/>
      </w:pBdr>
      <w:rPr>
        <w:rFonts w:ascii="Palatino Linotype" w:hAnsi="Palatino Linotype"/>
        <w:sz w:val="18"/>
        <w:szCs w:val="18"/>
      </w:rPr>
    </w:pPr>
  </w:p>
  <w:p w14:paraId="0312FED7" w14:textId="77777777" w:rsidR="0026744E" w:rsidRPr="00C97006" w:rsidRDefault="0026744E">
    <w:pPr>
      <w:pStyle w:val="Header"/>
      <w:rPr>
        <w:rFonts w:ascii="Palatino Linotype" w:hAnsi="Palatino Linotype"/>
        <w:sz w:val="18"/>
        <w:szCs w:val="18"/>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D8" w14:textId="567C4B29" w:rsidR="0026744E" w:rsidRDefault="0026744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A0E0" w14:textId="77777777" w:rsidR="00BB3D8E" w:rsidRDefault="00BB3D8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C483" w14:textId="388536E3" w:rsidR="00BB3D8E" w:rsidRPr="008B23BA" w:rsidRDefault="00BB3D8E" w:rsidP="00A50FB3">
    <w:pPr>
      <w:pStyle w:val="Header"/>
      <w:spacing w:after="120"/>
      <w:rPr>
        <w:rFonts w:ascii="Palatino Linotype" w:hAnsi="Palatino Linotype"/>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w:t>
    </w:r>
    <w:r w:rsidR="00E3408B">
      <w:rPr>
        <w:rFonts w:asciiTheme="minorHAnsi" w:hAnsiTheme="minorHAnsi"/>
        <w:b/>
        <w:sz w:val="20"/>
        <w:szCs w:val="20"/>
      </w:rPr>
      <w:t>C</w:t>
    </w:r>
  </w:p>
  <w:p w14:paraId="46CD8E89" w14:textId="7FEF21A8" w:rsidR="00BB3D8E" w:rsidRPr="00A50FB3" w:rsidRDefault="00BB3D8E" w:rsidP="003378C5">
    <w:pPr>
      <w:pStyle w:val="Header"/>
      <w:spacing w:before="120"/>
      <w:rPr>
        <w:rFonts w:asciiTheme="minorHAnsi" w:hAnsiTheme="minorHAnsi"/>
        <w:b/>
        <w:sz w:val="20"/>
        <w:szCs w:val="20"/>
      </w:rPr>
    </w:pPr>
    <w:r w:rsidRPr="00A50FB3">
      <w:rPr>
        <w:rFonts w:asciiTheme="minorHAnsi" w:hAnsiTheme="minorHAnsi"/>
        <w:b/>
        <w:sz w:val="20"/>
        <w:szCs w:val="20"/>
      </w:rPr>
      <w:t xml:space="preserve">CONSOLIDATED STATEMENT OF </w:t>
    </w:r>
    <w:r w:rsidR="00E3408B">
      <w:rPr>
        <w:rFonts w:asciiTheme="minorHAnsi" w:hAnsiTheme="minorHAnsi"/>
        <w:b/>
        <w:sz w:val="20"/>
        <w:szCs w:val="20"/>
      </w:rPr>
      <w:t>CHANGES IN EQUITY</w:t>
    </w:r>
  </w:p>
  <w:p w14:paraId="56E1F968" w14:textId="77777777" w:rsidR="00BB3D8E" w:rsidRPr="00A50FB3" w:rsidRDefault="00BB3D8E">
    <w:pPr>
      <w:pStyle w:val="Header"/>
      <w:rPr>
        <w:rFonts w:asciiTheme="minorHAnsi" w:hAnsiTheme="minorHAnsi"/>
        <w:b/>
        <w:sz w:val="20"/>
        <w:szCs w:val="20"/>
      </w:rPr>
    </w:pPr>
    <w:r w:rsidRPr="00A50FB3">
      <w:rPr>
        <w:rFonts w:asciiTheme="minorHAnsi" w:hAnsiTheme="minorHAnsi"/>
        <w:b/>
        <w:sz w:val="20"/>
        <w:szCs w:val="20"/>
      </w:rPr>
      <w:t>FOR THE</w:t>
    </w:r>
    <w:r>
      <w:rPr>
        <w:rFonts w:asciiTheme="minorHAnsi" w:hAnsiTheme="minorHAnsi"/>
        <w:b/>
        <w:sz w:val="20"/>
        <w:szCs w:val="20"/>
      </w:rPr>
      <w:t xml:space="preserve"> YEAR</w:t>
    </w:r>
    <w:r w:rsidRPr="00A50FB3">
      <w:rPr>
        <w:rFonts w:asciiTheme="minorHAnsi" w:hAnsiTheme="minorHAnsi"/>
        <w:b/>
        <w:sz w:val="20"/>
        <w:szCs w:val="20"/>
      </w:rPr>
      <w:t xml:space="preserve"> ENDED 30 JUNE 20</w:t>
    </w:r>
    <w:r>
      <w:rPr>
        <w:rFonts w:asciiTheme="minorHAnsi" w:hAnsiTheme="minorHAnsi"/>
        <w:b/>
        <w:sz w:val="20"/>
        <w:szCs w:val="20"/>
      </w:rPr>
      <w:t>22</w:t>
    </w:r>
  </w:p>
  <w:p w14:paraId="3629EA3E" w14:textId="77777777" w:rsidR="00BB3D8E" w:rsidRPr="003378C5" w:rsidRDefault="00BB3D8E" w:rsidP="003378C5">
    <w:pPr>
      <w:pStyle w:val="Header"/>
      <w:pBdr>
        <w:bottom w:val="single" w:sz="4" w:space="1" w:color="auto"/>
      </w:pBdr>
      <w:rPr>
        <w:rFonts w:ascii="Palatino Linotype" w:hAnsi="Palatino Linotype"/>
        <w:b/>
        <w:sz w:val="18"/>
        <w:szCs w:val="18"/>
      </w:rPr>
    </w:pPr>
  </w:p>
  <w:p w14:paraId="010C0FBD" w14:textId="77777777" w:rsidR="00BB3D8E" w:rsidRPr="003378C5" w:rsidRDefault="00BB3D8E">
    <w:pPr>
      <w:pStyle w:val="Header"/>
      <w:rPr>
        <w:rFonts w:ascii="Palatino Linotype" w:hAnsi="Palatino Linotype"/>
        <w:sz w:val="18"/>
        <w:szCs w:val="18"/>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69E9" w14:textId="77777777" w:rsidR="00BB3D8E" w:rsidRDefault="00BB3D8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B0C0" w14:textId="77777777" w:rsidR="00E3408B" w:rsidRPr="008B23BA" w:rsidRDefault="00E3408B" w:rsidP="00A50FB3">
    <w:pPr>
      <w:pStyle w:val="Header"/>
      <w:spacing w:after="120"/>
      <w:rPr>
        <w:rFonts w:ascii="Palatino Linotype" w:hAnsi="Palatino Linotype"/>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PLC</w:t>
    </w:r>
    <w:r>
      <w:rPr>
        <w:rFonts w:asciiTheme="minorHAnsi" w:hAnsiTheme="minorHAnsi"/>
        <w:b/>
        <w:sz w:val="20"/>
        <w:szCs w:val="20"/>
      </w:rPr>
      <w:t xml:space="preserve"> </w:t>
    </w:r>
  </w:p>
  <w:p w14:paraId="1E698C25" w14:textId="77777777" w:rsidR="00E3408B" w:rsidRPr="00A50FB3" w:rsidRDefault="00E3408B" w:rsidP="003378C5">
    <w:pPr>
      <w:pStyle w:val="Header"/>
      <w:spacing w:before="120"/>
      <w:rPr>
        <w:rFonts w:asciiTheme="minorHAnsi" w:hAnsiTheme="minorHAnsi"/>
        <w:b/>
        <w:sz w:val="20"/>
        <w:szCs w:val="20"/>
      </w:rPr>
    </w:pPr>
    <w:r w:rsidRPr="00A50FB3">
      <w:rPr>
        <w:rFonts w:asciiTheme="minorHAnsi" w:hAnsiTheme="minorHAnsi"/>
        <w:b/>
        <w:sz w:val="20"/>
        <w:szCs w:val="20"/>
      </w:rPr>
      <w:t xml:space="preserve">CONSOLIDATED STATEMENT OF </w:t>
    </w:r>
    <w:r>
      <w:rPr>
        <w:rFonts w:asciiTheme="minorHAnsi" w:hAnsiTheme="minorHAnsi"/>
        <w:b/>
        <w:sz w:val="20"/>
        <w:szCs w:val="20"/>
      </w:rPr>
      <w:t>CASH FLOWS</w:t>
    </w:r>
  </w:p>
  <w:p w14:paraId="52322B7A" w14:textId="77777777" w:rsidR="00E3408B" w:rsidRPr="00A50FB3" w:rsidRDefault="00E3408B">
    <w:pPr>
      <w:pStyle w:val="Header"/>
      <w:rPr>
        <w:rFonts w:asciiTheme="minorHAnsi" w:hAnsiTheme="minorHAnsi"/>
        <w:b/>
        <w:sz w:val="20"/>
        <w:szCs w:val="20"/>
      </w:rPr>
    </w:pPr>
    <w:r w:rsidRPr="00A50FB3">
      <w:rPr>
        <w:rFonts w:asciiTheme="minorHAnsi" w:hAnsiTheme="minorHAnsi"/>
        <w:b/>
        <w:sz w:val="20"/>
        <w:szCs w:val="20"/>
      </w:rPr>
      <w:t>FOR THE</w:t>
    </w:r>
    <w:r>
      <w:rPr>
        <w:rFonts w:asciiTheme="minorHAnsi" w:hAnsiTheme="minorHAnsi"/>
        <w:b/>
        <w:sz w:val="20"/>
        <w:szCs w:val="20"/>
      </w:rPr>
      <w:t xml:space="preserve"> YEAR</w:t>
    </w:r>
    <w:r w:rsidRPr="00A50FB3">
      <w:rPr>
        <w:rFonts w:asciiTheme="minorHAnsi" w:hAnsiTheme="minorHAnsi"/>
        <w:b/>
        <w:sz w:val="20"/>
        <w:szCs w:val="20"/>
      </w:rPr>
      <w:t xml:space="preserve"> ENDED 30 JUNE 20</w:t>
    </w:r>
    <w:r>
      <w:rPr>
        <w:rFonts w:asciiTheme="minorHAnsi" w:hAnsiTheme="minorHAnsi"/>
        <w:b/>
        <w:sz w:val="20"/>
        <w:szCs w:val="20"/>
      </w:rPr>
      <w:t>22</w:t>
    </w:r>
  </w:p>
  <w:p w14:paraId="69BABE76" w14:textId="77777777" w:rsidR="00E3408B" w:rsidRPr="003378C5" w:rsidRDefault="00E3408B" w:rsidP="003378C5">
    <w:pPr>
      <w:pStyle w:val="Header"/>
      <w:pBdr>
        <w:bottom w:val="single" w:sz="4" w:space="1" w:color="auto"/>
      </w:pBdr>
      <w:rPr>
        <w:rFonts w:ascii="Palatino Linotype" w:hAnsi="Palatino Linotype"/>
        <w:b/>
        <w:sz w:val="18"/>
        <w:szCs w:val="18"/>
      </w:rPr>
    </w:pPr>
  </w:p>
  <w:p w14:paraId="3C299839" w14:textId="77777777" w:rsidR="00E3408B" w:rsidRPr="003378C5" w:rsidRDefault="00E3408B">
    <w:pPr>
      <w:pStyle w:val="Header"/>
      <w:rPr>
        <w:rFonts w:ascii="Palatino Linotype" w:hAnsi="Palatino Linotype"/>
        <w:sz w:val="18"/>
        <w:szCs w:val="18"/>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D9" w14:textId="2B25C2D1" w:rsidR="0026744E" w:rsidRDefault="0026744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C6C5" w14:textId="62AF9F2B" w:rsidR="0026744E" w:rsidRPr="008B23BA" w:rsidRDefault="0026744E" w:rsidP="00FB687E">
    <w:pPr>
      <w:pStyle w:val="Header"/>
      <w:spacing w:after="120"/>
      <w:rPr>
        <w:rFonts w:ascii="Palatino Linotype" w:hAnsi="Palatino Linotype"/>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PLC</w:t>
    </w:r>
    <w:r>
      <w:rPr>
        <w:rFonts w:asciiTheme="minorHAnsi" w:hAnsiTheme="minorHAnsi"/>
        <w:b/>
        <w:sz w:val="20"/>
        <w:szCs w:val="20"/>
      </w:rPr>
      <w:t xml:space="preserve"> </w:t>
    </w:r>
  </w:p>
  <w:p w14:paraId="0312FEDB" w14:textId="657216CB" w:rsidR="0026744E" w:rsidRPr="00FB687E" w:rsidRDefault="0026744E">
    <w:pPr>
      <w:pStyle w:val="Header"/>
      <w:rPr>
        <w:rFonts w:asciiTheme="minorHAnsi" w:hAnsiTheme="minorHAnsi"/>
        <w:b/>
        <w:sz w:val="20"/>
        <w:szCs w:val="20"/>
      </w:rPr>
    </w:pPr>
    <w:r w:rsidRPr="00FB687E">
      <w:rPr>
        <w:rFonts w:asciiTheme="minorHAnsi" w:hAnsiTheme="minorHAnsi"/>
        <w:b/>
        <w:sz w:val="20"/>
        <w:szCs w:val="20"/>
      </w:rPr>
      <w:t>CO</w:t>
    </w:r>
    <w:r w:rsidR="00E3408B">
      <w:rPr>
        <w:rFonts w:asciiTheme="minorHAnsi" w:hAnsiTheme="minorHAnsi"/>
        <w:b/>
        <w:sz w:val="20"/>
        <w:szCs w:val="20"/>
      </w:rPr>
      <w:t>MPANY</w:t>
    </w:r>
    <w:r w:rsidRPr="00FB687E">
      <w:rPr>
        <w:rFonts w:asciiTheme="minorHAnsi" w:hAnsiTheme="minorHAnsi"/>
        <w:b/>
        <w:sz w:val="20"/>
        <w:szCs w:val="20"/>
      </w:rPr>
      <w:t xml:space="preserve"> STATEMENT OF</w:t>
    </w:r>
    <w:r w:rsidR="007F2D63">
      <w:rPr>
        <w:rFonts w:asciiTheme="minorHAnsi" w:hAnsiTheme="minorHAnsi"/>
        <w:b/>
        <w:sz w:val="20"/>
        <w:szCs w:val="20"/>
      </w:rPr>
      <w:t xml:space="preserve"> FINANCIAL POSITION</w:t>
    </w:r>
  </w:p>
  <w:p w14:paraId="0312FEDC" w14:textId="6F76A51E" w:rsidR="0026744E" w:rsidRPr="00FB687E" w:rsidRDefault="0026744E">
    <w:pPr>
      <w:pStyle w:val="Header"/>
      <w:rPr>
        <w:rFonts w:asciiTheme="minorHAnsi" w:hAnsiTheme="minorHAnsi"/>
        <w:b/>
        <w:sz w:val="20"/>
        <w:szCs w:val="20"/>
      </w:rPr>
    </w:pPr>
    <w:r w:rsidRPr="00FB687E">
      <w:rPr>
        <w:rFonts w:asciiTheme="minorHAnsi" w:hAnsiTheme="minorHAnsi"/>
        <w:b/>
        <w:sz w:val="20"/>
        <w:szCs w:val="20"/>
      </w:rPr>
      <w:t xml:space="preserve">FOR THE </w:t>
    </w:r>
    <w:r>
      <w:rPr>
        <w:rFonts w:asciiTheme="minorHAnsi" w:hAnsiTheme="minorHAnsi"/>
        <w:b/>
        <w:sz w:val="20"/>
        <w:szCs w:val="20"/>
      </w:rPr>
      <w:t>YEAR</w:t>
    </w:r>
    <w:r w:rsidRPr="00FB687E">
      <w:rPr>
        <w:rFonts w:asciiTheme="minorHAnsi" w:hAnsiTheme="minorHAnsi"/>
        <w:b/>
        <w:sz w:val="20"/>
        <w:szCs w:val="20"/>
      </w:rPr>
      <w:t xml:space="preserve"> ENDED 30 JUNE 20</w:t>
    </w:r>
    <w:r>
      <w:rPr>
        <w:rFonts w:asciiTheme="minorHAnsi" w:hAnsiTheme="minorHAnsi"/>
        <w:b/>
        <w:sz w:val="20"/>
        <w:szCs w:val="20"/>
      </w:rPr>
      <w:t>2</w:t>
    </w:r>
    <w:r w:rsidR="001F0087">
      <w:rPr>
        <w:rFonts w:asciiTheme="minorHAnsi" w:hAnsiTheme="minorHAnsi"/>
        <w:b/>
        <w:sz w:val="20"/>
        <w:szCs w:val="20"/>
      </w:rPr>
      <w:t>2</w:t>
    </w:r>
  </w:p>
  <w:p w14:paraId="0312FEDD" w14:textId="77777777" w:rsidR="0026744E" w:rsidRPr="00C97006" w:rsidRDefault="0026744E" w:rsidP="00C97006">
    <w:pPr>
      <w:pStyle w:val="Header"/>
      <w:pBdr>
        <w:bottom w:val="single" w:sz="4" w:space="1" w:color="auto"/>
      </w:pBdr>
      <w:rPr>
        <w:rFonts w:ascii="Palatino Linotype" w:hAnsi="Palatino Linotype"/>
        <w:sz w:val="18"/>
        <w:szCs w:val="18"/>
      </w:rPr>
    </w:pPr>
  </w:p>
  <w:p w14:paraId="0312FEDE" w14:textId="77777777" w:rsidR="0026744E" w:rsidRPr="00C97006" w:rsidRDefault="0026744E">
    <w:pPr>
      <w:pStyle w:val="Header"/>
      <w:rPr>
        <w:rFonts w:ascii="Palatino Linotype" w:hAnsi="Palatino Linotype"/>
        <w:sz w:val="18"/>
        <w:szCs w:val="18"/>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DF" w14:textId="1D218CDD" w:rsidR="0026744E" w:rsidRDefault="0026744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EE" w14:textId="2F94667B" w:rsidR="0026744E" w:rsidRDefault="002674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D30F" w14:textId="117AB6DF" w:rsidR="0026744E" w:rsidRPr="00C72DBF" w:rsidRDefault="0026744E" w:rsidP="00B21276">
    <w:pPr>
      <w:pStyle w:val="Header"/>
      <w:spacing w:after="120"/>
      <w:rPr>
        <w:rFonts w:asciiTheme="minorHAnsi" w:hAnsiTheme="minorHAnsi" w:cstheme="minorHAnsi"/>
        <w:b/>
        <w:sz w:val="20"/>
        <w:szCs w:val="20"/>
      </w:rPr>
    </w:pPr>
    <w:r w:rsidRPr="00C72DBF">
      <w:rPr>
        <w:rFonts w:asciiTheme="minorHAnsi" w:hAnsiTheme="minorHAnsi" w:cstheme="minorHAnsi"/>
        <w:b/>
        <w:sz w:val="20"/>
        <w:szCs w:val="20"/>
      </w:rPr>
      <w:t>ICONIC LABS PLC</w:t>
    </w:r>
    <w:r>
      <w:rPr>
        <w:rFonts w:asciiTheme="minorHAnsi" w:hAnsiTheme="minorHAnsi" w:cstheme="minorHAnsi"/>
        <w:b/>
        <w:sz w:val="20"/>
        <w:szCs w:val="20"/>
      </w:rPr>
      <w:t xml:space="preserve"> </w:t>
    </w:r>
  </w:p>
  <w:p w14:paraId="0312FEA6" w14:textId="77777777" w:rsidR="0026744E" w:rsidRPr="00C72DBF" w:rsidRDefault="0026744E" w:rsidP="005F66DD">
    <w:pPr>
      <w:pStyle w:val="Header"/>
      <w:rPr>
        <w:rFonts w:asciiTheme="minorHAnsi" w:hAnsiTheme="minorHAnsi" w:cstheme="minorHAnsi"/>
        <w:b/>
        <w:sz w:val="20"/>
        <w:szCs w:val="20"/>
      </w:rPr>
    </w:pPr>
    <w:r w:rsidRPr="00C72DBF">
      <w:rPr>
        <w:rFonts w:asciiTheme="minorHAnsi" w:hAnsiTheme="minorHAnsi" w:cstheme="minorHAnsi"/>
        <w:b/>
        <w:sz w:val="20"/>
        <w:szCs w:val="20"/>
      </w:rPr>
      <w:t>COMPANY INFORMATION</w:t>
    </w:r>
  </w:p>
  <w:p w14:paraId="0312FEA7" w14:textId="77777777" w:rsidR="0026744E" w:rsidRPr="00805241" w:rsidRDefault="0026744E" w:rsidP="00805241">
    <w:pPr>
      <w:pStyle w:val="Header"/>
      <w:pBdr>
        <w:bottom w:val="single" w:sz="4" w:space="1" w:color="auto"/>
      </w:pBdr>
      <w:rPr>
        <w:rFonts w:ascii="Palatino Linotype" w:hAnsi="Palatino Linotype"/>
        <w:sz w:val="18"/>
        <w:szCs w:val="18"/>
      </w:rPr>
    </w:pPr>
  </w:p>
  <w:p w14:paraId="0312FEA8" w14:textId="77777777" w:rsidR="0026744E" w:rsidRPr="00805241" w:rsidRDefault="0026744E">
    <w:pPr>
      <w:pStyle w:val="Header"/>
      <w:rPr>
        <w:rFonts w:ascii="Palatino Linotype" w:hAnsi="Palatino Linotype"/>
        <w:sz w:val="18"/>
        <w:szCs w:val="18"/>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A124" w14:textId="6B2C5B8A" w:rsidR="0026744E" w:rsidRPr="008B23BA" w:rsidRDefault="0026744E" w:rsidP="00973723">
    <w:pPr>
      <w:pStyle w:val="Header"/>
      <w:spacing w:after="120"/>
      <w:rPr>
        <w:rFonts w:ascii="Palatino Linotype" w:hAnsi="Palatino Linotype"/>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PLC</w:t>
    </w:r>
    <w:r>
      <w:rPr>
        <w:rFonts w:asciiTheme="minorHAnsi" w:hAnsiTheme="minorHAnsi"/>
        <w:b/>
        <w:sz w:val="20"/>
        <w:szCs w:val="20"/>
      </w:rPr>
      <w:t xml:space="preserve"> </w:t>
    </w:r>
  </w:p>
  <w:p w14:paraId="0312FEF0" w14:textId="77777777" w:rsidR="0026744E" w:rsidRPr="00973723" w:rsidRDefault="0026744E" w:rsidP="009C15F6">
    <w:pPr>
      <w:pStyle w:val="Header"/>
      <w:spacing w:before="120"/>
      <w:rPr>
        <w:rFonts w:asciiTheme="minorHAnsi" w:hAnsiTheme="minorHAnsi"/>
        <w:b/>
        <w:sz w:val="20"/>
        <w:szCs w:val="20"/>
      </w:rPr>
    </w:pPr>
    <w:r w:rsidRPr="00973723">
      <w:rPr>
        <w:rFonts w:asciiTheme="minorHAnsi" w:hAnsiTheme="minorHAnsi"/>
        <w:b/>
        <w:sz w:val="20"/>
        <w:szCs w:val="20"/>
      </w:rPr>
      <w:t>COMPANY STATEMENT OF CHANGES IN EQUITY</w:t>
    </w:r>
  </w:p>
  <w:p w14:paraId="0312FEF1" w14:textId="5C32EEF4" w:rsidR="0026744E" w:rsidRPr="00973723" w:rsidRDefault="0026744E">
    <w:pPr>
      <w:pStyle w:val="Header"/>
      <w:rPr>
        <w:rFonts w:asciiTheme="minorHAnsi" w:hAnsiTheme="minorHAnsi"/>
        <w:b/>
        <w:sz w:val="20"/>
        <w:szCs w:val="20"/>
      </w:rPr>
    </w:pPr>
    <w:r w:rsidRPr="00973723">
      <w:rPr>
        <w:rFonts w:asciiTheme="minorHAnsi" w:hAnsiTheme="minorHAnsi"/>
        <w:b/>
        <w:sz w:val="20"/>
        <w:szCs w:val="20"/>
      </w:rPr>
      <w:t xml:space="preserve">FOR THE </w:t>
    </w:r>
    <w:r>
      <w:rPr>
        <w:rFonts w:asciiTheme="minorHAnsi" w:hAnsiTheme="minorHAnsi"/>
        <w:b/>
        <w:sz w:val="20"/>
        <w:szCs w:val="20"/>
      </w:rPr>
      <w:t>YEAR</w:t>
    </w:r>
    <w:r w:rsidRPr="00973723">
      <w:rPr>
        <w:rFonts w:asciiTheme="minorHAnsi" w:hAnsiTheme="minorHAnsi"/>
        <w:b/>
        <w:sz w:val="20"/>
        <w:szCs w:val="20"/>
      </w:rPr>
      <w:t xml:space="preserve"> ENDED 30 JUNE 20</w:t>
    </w:r>
    <w:r>
      <w:rPr>
        <w:rFonts w:asciiTheme="minorHAnsi" w:hAnsiTheme="minorHAnsi"/>
        <w:b/>
        <w:sz w:val="20"/>
        <w:szCs w:val="20"/>
      </w:rPr>
      <w:t>2</w:t>
    </w:r>
    <w:r w:rsidR="00D51182">
      <w:rPr>
        <w:rFonts w:asciiTheme="minorHAnsi" w:hAnsiTheme="minorHAnsi"/>
        <w:b/>
        <w:sz w:val="20"/>
        <w:szCs w:val="20"/>
      </w:rPr>
      <w:t>2</w:t>
    </w:r>
  </w:p>
  <w:p w14:paraId="0312FEF2" w14:textId="77777777" w:rsidR="0026744E" w:rsidRPr="009C15F6" w:rsidRDefault="0026744E" w:rsidP="009C15F6">
    <w:pPr>
      <w:pStyle w:val="Header"/>
      <w:pBdr>
        <w:bottom w:val="single" w:sz="4" w:space="1" w:color="auto"/>
      </w:pBdr>
      <w:tabs>
        <w:tab w:val="clear" w:pos="9026"/>
      </w:tabs>
      <w:rPr>
        <w:rFonts w:ascii="Palatino Linotype" w:hAnsi="Palatino Linotype"/>
        <w:sz w:val="18"/>
        <w:szCs w:val="18"/>
      </w:rPr>
    </w:pPr>
  </w:p>
  <w:p w14:paraId="0312FEF3" w14:textId="77777777" w:rsidR="0026744E" w:rsidRPr="009C15F6" w:rsidRDefault="0026744E">
    <w:pPr>
      <w:pStyle w:val="Header"/>
      <w:rPr>
        <w:rFonts w:ascii="Palatino Linotype" w:hAnsi="Palatino Linotype"/>
        <w:sz w:val="18"/>
        <w:szCs w:val="18"/>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F4" w14:textId="1F1CD141" w:rsidR="0026744E" w:rsidRDefault="0026744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FC" w14:textId="3FED20D6" w:rsidR="0026744E" w:rsidRDefault="0026744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8138" w14:textId="071179AD" w:rsidR="0026744E" w:rsidRPr="008B23BA" w:rsidRDefault="0026744E" w:rsidP="007E5908">
    <w:pPr>
      <w:pStyle w:val="Header"/>
      <w:spacing w:after="120"/>
      <w:rPr>
        <w:rFonts w:ascii="Palatino Linotype" w:hAnsi="Palatino Linotype"/>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PLC</w:t>
    </w:r>
    <w:r>
      <w:rPr>
        <w:rFonts w:asciiTheme="minorHAnsi" w:hAnsiTheme="minorHAnsi"/>
        <w:b/>
        <w:sz w:val="20"/>
        <w:szCs w:val="20"/>
      </w:rPr>
      <w:t xml:space="preserve"> </w:t>
    </w:r>
  </w:p>
  <w:p w14:paraId="10FA0482" w14:textId="3226D69A" w:rsidR="0026744E" w:rsidRPr="007E5908" w:rsidRDefault="0026744E" w:rsidP="000D6FDC">
    <w:pPr>
      <w:pStyle w:val="Header"/>
      <w:spacing w:before="120"/>
      <w:rPr>
        <w:rFonts w:asciiTheme="minorHAnsi" w:hAnsiTheme="minorHAnsi"/>
        <w:b/>
        <w:sz w:val="20"/>
        <w:szCs w:val="20"/>
      </w:rPr>
    </w:pPr>
    <w:r w:rsidRPr="007E5908">
      <w:rPr>
        <w:rFonts w:asciiTheme="minorHAnsi" w:hAnsiTheme="minorHAnsi"/>
        <w:b/>
        <w:sz w:val="20"/>
        <w:szCs w:val="20"/>
      </w:rPr>
      <w:t>NOTES TO THE FINANCIAL STATEMENTS</w:t>
    </w:r>
  </w:p>
  <w:p w14:paraId="33A42923" w14:textId="25224F80" w:rsidR="00606A09" w:rsidRPr="007E5908" w:rsidRDefault="0026744E">
    <w:pPr>
      <w:pStyle w:val="Header"/>
      <w:rPr>
        <w:rFonts w:asciiTheme="minorHAnsi" w:hAnsiTheme="minorHAnsi"/>
        <w:b/>
        <w:sz w:val="20"/>
        <w:szCs w:val="20"/>
      </w:rPr>
    </w:pPr>
    <w:r w:rsidRPr="007E5908">
      <w:rPr>
        <w:rFonts w:asciiTheme="minorHAnsi" w:hAnsiTheme="minorHAnsi"/>
        <w:b/>
        <w:sz w:val="20"/>
        <w:szCs w:val="20"/>
      </w:rPr>
      <w:t xml:space="preserve">FOR THE </w:t>
    </w:r>
    <w:r>
      <w:rPr>
        <w:rFonts w:asciiTheme="minorHAnsi" w:hAnsiTheme="minorHAnsi"/>
        <w:b/>
        <w:sz w:val="20"/>
        <w:szCs w:val="20"/>
      </w:rPr>
      <w:t>YEAR</w:t>
    </w:r>
    <w:r w:rsidRPr="007E5908">
      <w:rPr>
        <w:rFonts w:asciiTheme="minorHAnsi" w:hAnsiTheme="minorHAnsi"/>
        <w:b/>
        <w:sz w:val="20"/>
        <w:szCs w:val="20"/>
      </w:rPr>
      <w:t xml:space="preserve"> ENDED 30 JUNE 20</w:t>
    </w:r>
    <w:r>
      <w:rPr>
        <w:rFonts w:asciiTheme="minorHAnsi" w:hAnsiTheme="minorHAnsi"/>
        <w:b/>
        <w:sz w:val="20"/>
        <w:szCs w:val="20"/>
      </w:rPr>
      <w:t>2</w:t>
    </w:r>
    <w:r w:rsidR="0028248F">
      <w:rPr>
        <w:rFonts w:asciiTheme="minorHAnsi" w:hAnsiTheme="minorHAnsi"/>
        <w:b/>
        <w:sz w:val="20"/>
        <w:szCs w:val="20"/>
      </w:rPr>
      <w:t>2</w:t>
    </w:r>
  </w:p>
  <w:p w14:paraId="0312FF00" w14:textId="77777777" w:rsidR="0026744E" w:rsidRPr="000D6FDC" w:rsidRDefault="0026744E" w:rsidP="000D6FDC">
    <w:pPr>
      <w:pStyle w:val="Header"/>
      <w:pBdr>
        <w:bottom w:val="single" w:sz="4" w:space="1" w:color="auto"/>
      </w:pBdr>
      <w:rPr>
        <w:rFonts w:ascii="Palatino Linotype" w:hAnsi="Palatino Linotype"/>
        <w:sz w:val="18"/>
        <w:szCs w:val="18"/>
      </w:rPr>
    </w:pPr>
  </w:p>
  <w:p w14:paraId="0312FF01" w14:textId="77777777" w:rsidR="0026744E" w:rsidRPr="000D6FDC" w:rsidRDefault="0026744E">
    <w:pPr>
      <w:pStyle w:val="Header"/>
      <w:rPr>
        <w:rFonts w:ascii="Palatino Linotype" w:hAnsi="Palatino Linotype"/>
        <w:sz w:val="18"/>
        <w:szCs w:val="18"/>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F02" w14:textId="1FC0BBB0" w:rsidR="0026744E" w:rsidRDefault="0026744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3BA" w14:textId="77777777" w:rsidR="00E055C2" w:rsidRPr="008B23BA" w:rsidRDefault="00E055C2" w:rsidP="007E5908">
    <w:pPr>
      <w:pStyle w:val="Header"/>
      <w:spacing w:after="120"/>
      <w:rPr>
        <w:rFonts w:ascii="Palatino Linotype" w:hAnsi="Palatino Linotype"/>
        <w:b/>
        <w:sz w:val="20"/>
        <w:szCs w:val="20"/>
      </w:rPr>
    </w:pPr>
    <w:r>
      <w:rPr>
        <w:rFonts w:asciiTheme="minorHAnsi" w:hAnsiTheme="minorHAnsi"/>
        <w:b/>
        <w:sz w:val="20"/>
        <w:szCs w:val="20"/>
      </w:rPr>
      <w:t>ICONIC LABS</w:t>
    </w:r>
    <w:r w:rsidRPr="00491A75">
      <w:rPr>
        <w:rFonts w:asciiTheme="minorHAnsi" w:hAnsiTheme="minorHAnsi"/>
        <w:b/>
        <w:sz w:val="20"/>
        <w:szCs w:val="20"/>
      </w:rPr>
      <w:t xml:space="preserve"> PLC</w:t>
    </w:r>
    <w:r>
      <w:rPr>
        <w:rFonts w:asciiTheme="minorHAnsi" w:hAnsiTheme="minorHAnsi"/>
        <w:b/>
        <w:sz w:val="20"/>
        <w:szCs w:val="20"/>
      </w:rPr>
      <w:t xml:space="preserve"> </w:t>
    </w:r>
  </w:p>
  <w:p w14:paraId="418A48D8" w14:textId="4187AF21" w:rsidR="00E055C2" w:rsidRPr="007E5908" w:rsidRDefault="00E055C2" w:rsidP="000D6FDC">
    <w:pPr>
      <w:pStyle w:val="Header"/>
      <w:spacing w:before="120"/>
      <w:rPr>
        <w:rFonts w:asciiTheme="minorHAnsi" w:hAnsiTheme="minorHAnsi"/>
        <w:b/>
        <w:sz w:val="20"/>
        <w:szCs w:val="20"/>
      </w:rPr>
    </w:pPr>
    <w:r w:rsidRPr="007E5908">
      <w:rPr>
        <w:rFonts w:asciiTheme="minorHAnsi" w:hAnsiTheme="minorHAnsi"/>
        <w:b/>
        <w:sz w:val="20"/>
        <w:szCs w:val="20"/>
      </w:rPr>
      <w:t>NOTES TO THE FINANCIAL STATEMENTS</w:t>
    </w:r>
    <w:r>
      <w:rPr>
        <w:rFonts w:asciiTheme="minorHAnsi" w:hAnsiTheme="minorHAnsi"/>
        <w:b/>
        <w:sz w:val="20"/>
        <w:szCs w:val="20"/>
      </w:rPr>
      <w:t xml:space="preserve"> (Continued)</w:t>
    </w:r>
  </w:p>
  <w:p w14:paraId="71194AE0" w14:textId="77777777" w:rsidR="00E055C2" w:rsidRPr="007E5908" w:rsidRDefault="00E055C2">
    <w:pPr>
      <w:pStyle w:val="Header"/>
      <w:rPr>
        <w:rFonts w:asciiTheme="minorHAnsi" w:hAnsiTheme="minorHAnsi"/>
        <w:b/>
        <w:sz w:val="20"/>
        <w:szCs w:val="20"/>
      </w:rPr>
    </w:pPr>
    <w:r w:rsidRPr="007E5908">
      <w:rPr>
        <w:rFonts w:asciiTheme="minorHAnsi" w:hAnsiTheme="minorHAnsi"/>
        <w:b/>
        <w:sz w:val="20"/>
        <w:szCs w:val="20"/>
      </w:rPr>
      <w:t xml:space="preserve">FOR THE </w:t>
    </w:r>
    <w:r>
      <w:rPr>
        <w:rFonts w:asciiTheme="minorHAnsi" w:hAnsiTheme="minorHAnsi"/>
        <w:b/>
        <w:sz w:val="20"/>
        <w:szCs w:val="20"/>
      </w:rPr>
      <w:t>YEAR</w:t>
    </w:r>
    <w:r w:rsidRPr="007E5908">
      <w:rPr>
        <w:rFonts w:asciiTheme="minorHAnsi" w:hAnsiTheme="minorHAnsi"/>
        <w:b/>
        <w:sz w:val="20"/>
        <w:szCs w:val="20"/>
      </w:rPr>
      <w:t xml:space="preserve"> ENDED 30 JUNE 20</w:t>
    </w:r>
    <w:r>
      <w:rPr>
        <w:rFonts w:asciiTheme="minorHAnsi" w:hAnsiTheme="minorHAnsi"/>
        <w:b/>
        <w:sz w:val="20"/>
        <w:szCs w:val="20"/>
      </w:rPr>
      <w:t>22</w:t>
    </w:r>
  </w:p>
  <w:p w14:paraId="725A6D5B" w14:textId="77777777" w:rsidR="00E055C2" w:rsidRPr="000D6FDC" w:rsidRDefault="00E055C2" w:rsidP="000D6FDC">
    <w:pPr>
      <w:pStyle w:val="Header"/>
      <w:pBdr>
        <w:bottom w:val="single" w:sz="4" w:space="1" w:color="auto"/>
      </w:pBdr>
      <w:rPr>
        <w:rFonts w:ascii="Palatino Linotype" w:hAnsi="Palatino Linotype"/>
        <w:sz w:val="18"/>
        <w:szCs w:val="18"/>
      </w:rPr>
    </w:pPr>
  </w:p>
  <w:p w14:paraId="1222312D" w14:textId="77777777" w:rsidR="00E055C2" w:rsidRPr="000D6FDC" w:rsidRDefault="00E055C2">
    <w:pPr>
      <w:pStyle w:val="Header"/>
      <w:rPr>
        <w:rFonts w:ascii="Palatino Linotype" w:hAnsi="Palatino Linotype"/>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EAD" w14:textId="0D6E385B" w:rsidR="0026744E" w:rsidRDefault="002674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08FA" w14:textId="77777777" w:rsidR="000C7760" w:rsidRPr="00C72DBF" w:rsidRDefault="000C7760" w:rsidP="00B21276">
    <w:pPr>
      <w:pStyle w:val="Header"/>
      <w:spacing w:after="120"/>
      <w:rPr>
        <w:rFonts w:asciiTheme="minorHAnsi" w:hAnsiTheme="minorHAnsi" w:cstheme="minorHAnsi"/>
        <w:b/>
        <w:sz w:val="20"/>
        <w:szCs w:val="20"/>
      </w:rPr>
    </w:pPr>
    <w:r w:rsidRPr="00C72DBF">
      <w:rPr>
        <w:rFonts w:asciiTheme="minorHAnsi" w:hAnsiTheme="minorHAnsi" w:cstheme="minorHAnsi"/>
        <w:b/>
        <w:sz w:val="20"/>
        <w:szCs w:val="20"/>
      </w:rPr>
      <w:t>ICONIC LABS PLC</w:t>
    </w:r>
    <w:r>
      <w:rPr>
        <w:rFonts w:asciiTheme="minorHAnsi" w:hAnsiTheme="minorHAnsi" w:cstheme="minorHAnsi"/>
        <w:b/>
        <w:sz w:val="20"/>
        <w:szCs w:val="20"/>
      </w:rPr>
      <w:t xml:space="preserve"> </w:t>
    </w:r>
  </w:p>
  <w:p w14:paraId="58973B35" w14:textId="397BBF79" w:rsidR="000C7760" w:rsidRPr="00C72DBF" w:rsidRDefault="000C7760" w:rsidP="00DB7416">
    <w:pPr>
      <w:pStyle w:val="Header"/>
      <w:rPr>
        <w:rFonts w:asciiTheme="minorHAnsi" w:hAnsiTheme="minorHAnsi" w:cstheme="minorHAnsi"/>
        <w:b/>
        <w:sz w:val="20"/>
        <w:szCs w:val="20"/>
      </w:rPr>
    </w:pPr>
    <w:r w:rsidRPr="00C72DBF">
      <w:rPr>
        <w:rFonts w:asciiTheme="minorHAnsi" w:hAnsiTheme="minorHAnsi" w:cstheme="minorHAnsi"/>
        <w:b/>
        <w:sz w:val="20"/>
        <w:szCs w:val="20"/>
      </w:rPr>
      <w:t>CHIEF EXECUTIVE</w:t>
    </w:r>
    <w:r>
      <w:rPr>
        <w:rFonts w:asciiTheme="minorHAnsi" w:hAnsiTheme="minorHAnsi" w:cstheme="minorHAnsi"/>
        <w:b/>
        <w:sz w:val="20"/>
        <w:szCs w:val="20"/>
      </w:rPr>
      <w:t xml:space="preserve"> AND CHAIRMAN’S REPORT </w:t>
    </w:r>
  </w:p>
  <w:p w14:paraId="3CC74FAC" w14:textId="77777777" w:rsidR="000C7760" w:rsidRPr="00C72DBF" w:rsidRDefault="000C7760" w:rsidP="00FC69D0">
    <w:pPr>
      <w:pBdr>
        <w:bottom w:val="single" w:sz="4" w:space="1" w:color="auto"/>
      </w:pBdr>
      <w:rPr>
        <w:rFonts w:asciiTheme="minorHAnsi" w:hAnsiTheme="minorHAnsi" w:cstheme="minorHAnsi"/>
        <w:sz w:val="18"/>
        <w:szCs w:val="18"/>
      </w:rPr>
    </w:pPr>
  </w:p>
  <w:p w14:paraId="45485725" w14:textId="77777777" w:rsidR="000C7760" w:rsidRPr="00FC69D0" w:rsidRDefault="000C7760" w:rsidP="00FC69D0">
    <w:pPr>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7625" w14:textId="77777777" w:rsidR="00580ED9" w:rsidRPr="00C72DBF" w:rsidRDefault="00580ED9" w:rsidP="00B21276">
    <w:pPr>
      <w:pStyle w:val="Header"/>
      <w:spacing w:after="120"/>
      <w:rPr>
        <w:rFonts w:asciiTheme="minorHAnsi" w:hAnsiTheme="minorHAnsi" w:cstheme="minorHAnsi"/>
        <w:b/>
        <w:sz w:val="20"/>
        <w:szCs w:val="20"/>
      </w:rPr>
    </w:pPr>
    <w:r w:rsidRPr="00C72DBF">
      <w:rPr>
        <w:rFonts w:asciiTheme="minorHAnsi" w:hAnsiTheme="minorHAnsi" w:cstheme="minorHAnsi"/>
        <w:b/>
        <w:sz w:val="20"/>
        <w:szCs w:val="20"/>
      </w:rPr>
      <w:t>ICONIC LABS PLC</w:t>
    </w:r>
    <w:r>
      <w:rPr>
        <w:rFonts w:asciiTheme="minorHAnsi" w:hAnsiTheme="minorHAnsi" w:cstheme="minorHAnsi"/>
        <w:b/>
        <w:sz w:val="20"/>
        <w:szCs w:val="20"/>
      </w:rPr>
      <w:t xml:space="preserve"> </w:t>
    </w:r>
  </w:p>
  <w:p w14:paraId="33D74A1A" w14:textId="77777777" w:rsidR="00580ED9" w:rsidRPr="00C72DBF" w:rsidRDefault="00580ED9" w:rsidP="00DB7416">
    <w:pPr>
      <w:pStyle w:val="Header"/>
      <w:rPr>
        <w:rFonts w:asciiTheme="minorHAnsi" w:hAnsiTheme="minorHAnsi" w:cstheme="minorHAnsi"/>
        <w:b/>
        <w:sz w:val="20"/>
        <w:szCs w:val="20"/>
      </w:rPr>
    </w:pPr>
    <w:r w:rsidRPr="00C72DBF">
      <w:rPr>
        <w:rFonts w:asciiTheme="minorHAnsi" w:hAnsiTheme="minorHAnsi" w:cstheme="minorHAnsi"/>
        <w:b/>
        <w:sz w:val="20"/>
        <w:szCs w:val="20"/>
      </w:rPr>
      <w:t>CHIEF EXECUTIVE</w:t>
    </w:r>
    <w:r>
      <w:rPr>
        <w:rFonts w:asciiTheme="minorHAnsi" w:hAnsiTheme="minorHAnsi" w:cstheme="minorHAnsi"/>
        <w:b/>
        <w:sz w:val="20"/>
        <w:szCs w:val="20"/>
      </w:rPr>
      <w:t xml:space="preserve"> AND CHAIRMAN’S REPORT (Continued)</w:t>
    </w:r>
  </w:p>
  <w:p w14:paraId="6542870F" w14:textId="77777777" w:rsidR="00580ED9" w:rsidRPr="00C72DBF" w:rsidRDefault="00580ED9" w:rsidP="00FC69D0">
    <w:pPr>
      <w:pBdr>
        <w:bottom w:val="single" w:sz="4" w:space="1" w:color="auto"/>
      </w:pBdr>
      <w:rPr>
        <w:rFonts w:asciiTheme="minorHAnsi" w:hAnsiTheme="minorHAnsi" w:cstheme="minorHAnsi"/>
        <w:sz w:val="18"/>
        <w:szCs w:val="18"/>
      </w:rPr>
    </w:pPr>
  </w:p>
  <w:p w14:paraId="44442C75" w14:textId="77777777" w:rsidR="00580ED9" w:rsidRPr="00FC69D0" w:rsidRDefault="00580ED9" w:rsidP="00FC69D0">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B051CC"/>
    <w:lvl w:ilvl="0">
      <w:start w:val="1"/>
      <w:numFmt w:val="decimal"/>
      <w:pStyle w:val="Heading1"/>
      <w:lvlText w:val="%1"/>
      <w:legacy w:legacy="1" w:legacySpace="0" w:legacyIndent="1304"/>
      <w:lvlJc w:val="left"/>
      <w:pPr>
        <w:ind w:left="1394" w:hanging="1304"/>
      </w:pPr>
      <w:rPr>
        <w:rFonts w:cs="Times New Roman"/>
        <w:u w:val="none"/>
      </w:rPr>
    </w:lvl>
    <w:lvl w:ilvl="1">
      <w:start w:val="1"/>
      <w:numFmt w:val="decimal"/>
      <w:pStyle w:val="Heading2"/>
      <w:lvlText w:val="%1.%2"/>
      <w:legacy w:legacy="1" w:legacySpace="0" w:legacyIndent="1304"/>
      <w:lvlJc w:val="left"/>
      <w:pPr>
        <w:ind w:left="2722" w:hanging="1304"/>
      </w:pPr>
      <w:rPr>
        <w:rFonts w:cs="Times New Roman"/>
        <w:u w:val="none"/>
      </w:rPr>
    </w:lvl>
    <w:lvl w:ilvl="2">
      <w:start w:val="1"/>
      <w:numFmt w:val="decimal"/>
      <w:pStyle w:val="Heading3"/>
      <w:lvlText w:val="%1.%2.%3"/>
      <w:legacy w:legacy="1" w:legacySpace="0" w:legacyIndent="1304"/>
      <w:lvlJc w:val="left"/>
      <w:pPr>
        <w:ind w:left="2551" w:hanging="1304"/>
      </w:pPr>
      <w:rPr>
        <w:rFonts w:cs="Times New Roman"/>
        <w:u w:val="none"/>
      </w:rPr>
    </w:lvl>
    <w:lvl w:ilvl="3">
      <w:start w:val="1"/>
      <w:numFmt w:val="decimal"/>
      <w:pStyle w:val="Heading4"/>
      <w:lvlText w:val="%1.%2.%3.%4"/>
      <w:legacy w:legacy="1" w:legacySpace="0" w:legacyIndent="1304"/>
      <w:lvlJc w:val="left"/>
      <w:pPr>
        <w:ind w:left="2551" w:hanging="1304"/>
      </w:pPr>
      <w:rPr>
        <w:rFonts w:cs="Times New Roman"/>
        <w:u w:val="none"/>
      </w:rPr>
    </w:lvl>
    <w:lvl w:ilvl="4">
      <w:start w:val="1"/>
      <w:numFmt w:val="decimal"/>
      <w:pStyle w:val="Heading5"/>
      <w:lvlText w:val="%1.%2.%3.%4.%5"/>
      <w:legacy w:legacy="1" w:legacySpace="0" w:legacyIndent="0"/>
      <w:lvlJc w:val="left"/>
      <w:rPr>
        <w:rFonts w:cs="Times New Roman"/>
      </w:rPr>
    </w:lvl>
    <w:lvl w:ilvl="5">
      <w:start w:val="1"/>
      <w:numFmt w:val="decimal"/>
      <w:pStyle w:val="Heading6"/>
      <w:lvlText w:val="%1.%2.%3.%4.%5.%6"/>
      <w:legacy w:legacy="1" w:legacySpace="0" w:legacyIndent="0"/>
      <w:lvlJc w:val="left"/>
      <w:rPr>
        <w:rFonts w:cs="Times New Roman"/>
      </w:rPr>
    </w:lvl>
    <w:lvl w:ilvl="6">
      <w:start w:val="1"/>
      <w:numFmt w:val="decimal"/>
      <w:pStyle w:val="Heading7"/>
      <w:lvlText w:val="%1.%2.%3.%4.%5.%6.%7"/>
      <w:legacy w:legacy="1" w:legacySpace="0" w:legacyIndent="0"/>
      <w:lvlJc w:val="left"/>
      <w:rPr>
        <w:rFonts w:cs="Times New Roman"/>
      </w:rPr>
    </w:lvl>
    <w:lvl w:ilvl="7">
      <w:start w:val="1"/>
      <w:numFmt w:val="decimal"/>
      <w:pStyle w:val="Heading8"/>
      <w:lvlText w:val="%1.%2.%3.%4.%5.%6.%7.%8"/>
      <w:legacy w:legacy="1" w:legacySpace="0" w:legacyIndent="0"/>
      <w:lvlJc w:val="left"/>
      <w:rPr>
        <w:rFonts w:cs="Times New Roman"/>
      </w:rPr>
    </w:lvl>
    <w:lvl w:ilvl="8">
      <w:start w:val="1"/>
      <w:numFmt w:val="decimal"/>
      <w:pStyle w:val="Heading9"/>
      <w:lvlText w:val="%1.%2.%3.%4.%5.%6.%7.%8.%9"/>
      <w:legacy w:legacy="1" w:legacySpace="0" w:legacyIndent="0"/>
      <w:lvlJc w:val="left"/>
      <w:rPr>
        <w:rFonts w:cs="Times New Roman"/>
      </w:rPr>
    </w:lvl>
  </w:abstractNum>
  <w:abstractNum w:abstractNumId="1" w15:restartNumberingAfterBreak="0">
    <w:nsid w:val="029136B7"/>
    <w:multiLevelType w:val="hybridMultilevel"/>
    <w:tmpl w:val="B3BEED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C9147C"/>
    <w:multiLevelType w:val="hybridMultilevel"/>
    <w:tmpl w:val="28247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0F6DBE"/>
    <w:multiLevelType w:val="hybridMultilevel"/>
    <w:tmpl w:val="18AE1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9046E"/>
    <w:multiLevelType w:val="hybridMultilevel"/>
    <w:tmpl w:val="DD4667C0"/>
    <w:lvl w:ilvl="0" w:tplc="E0FA762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CE02F98"/>
    <w:multiLevelType w:val="hybridMultilevel"/>
    <w:tmpl w:val="6ACA2B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E796135"/>
    <w:multiLevelType w:val="hybridMultilevel"/>
    <w:tmpl w:val="29062E38"/>
    <w:lvl w:ilvl="0" w:tplc="FFFFFFFF">
      <w:start w:val="18"/>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E470FE"/>
    <w:multiLevelType w:val="hybridMultilevel"/>
    <w:tmpl w:val="2B026D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0BA651C"/>
    <w:multiLevelType w:val="hybridMultilevel"/>
    <w:tmpl w:val="23E21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413D1"/>
    <w:multiLevelType w:val="hybridMultilevel"/>
    <w:tmpl w:val="79FE708E"/>
    <w:lvl w:ilvl="0" w:tplc="08090001">
      <w:start w:val="1"/>
      <w:numFmt w:val="bullet"/>
      <w:lvlText w:val=""/>
      <w:lvlJc w:val="left"/>
      <w:pPr>
        <w:ind w:left="200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10" w15:restartNumberingAfterBreak="0">
    <w:nsid w:val="13CB10CC"/>
    <w:multiLevelType w:val="hybridMultilevel"/>
    <w:tmpl w:val="3F96BA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44152E"/>
    <w:multiLevelType w:val="hybridMultilevel"/>
    <w:tmpl w:val="2D88244A"/>
    <w:lvl w:ilvl="0" w:tplc="F51A7D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7233BF9"/>
    <w:multiLevelType w:val="hybridMultilevel"/>
    <w:tmpl w:val="03064260"/>
    <w:lvl w:ilvl="0" w:tplc="691481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97E2F1B"/>
    <w:multiLevelType w:val="hybridMultilevel"/>
    <w:tmpl w:val="FAFC3E60"/>
    <w:lvl w:ilvl="0" w:tplc="1FF0A9F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5562C"/>
    <w:multiLevelType w:val="hybridMultilevel"/>
    <w:tmpl w:val="775ED670"/>
    <w:lvl w:ilvl="0" w:tplc="067C25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F70F6B"/>
    <w:multiLevelType w:val="hybridMultilevel"/>
    <w:tmpl w:val="DD4667C0"/>
    <w:lvl w:ilvl="0" w:tplc="E0FA762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C44059D"/>
    <w:multiLevelType w:val="hybridMultilevel"/>
    <w:tmpl w:val="C3FC0D9C"/>
    <w:lvl w:ilvl="0" w:tplc="6F9E9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4657BE"/>
    <w:multiLevelType w:val="hybridMultilevel"/>
    <w:tmpl w:val="A46431D0"/>
    <w:lvl w:ilvl="0" w:tplc="31FA93DA">
      <w:start w:val="17"/>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B53CDA"/>
    <w:multiLevelType w:val="hybridMultilevel"/>
    <w:tmpl w:val="FF78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0A35120"/>
    <w:multiLevelType w:val="hybridMultilevel"/>
    <w:tmpl w:val="556C6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CD24E7"/>
    <w:multiLevelType w:val="hybridMultilevel"/>
    <w:tmpl w:val="B3F8B4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261C3661"/>
    <w:multiLevelType w:val="hybridMultilevel"/>
    <w:tmpl w:val="29062E38"/>
    <w:lvl w:ilvl="0" w:tplc="6FB00C2A">
      <w:start w:val="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D4C697C"/>
    <w:multiLevelType w:val="hybridMultilevel"/>
    <w:tmpl w:val="F9E68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3A1164"/>
    <w:multiLevelType w:val="hybridMultilevel"/>
    <w:tmpl w:val="01C4048C"/>
    <w:lvl w:ilvl="0" w:tplc="4224B4DE">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2F4A5695"/>
    <w:multiLevelType w:val="hybridMultilevel"/>
    <w:tmpl w:val="1A22109E"/>
    <w:lvl w:ilvl="0" w:tplc="93C8D29A">
      <w:start w:val="8"/>
      <w:numFmt w:val="bullet"/>
      <w:lvlText w:val=""/>
      <w:lvlJc w:val="left"/>
      <w:pPr>
        <w:ind w:left="297" w:hanging="360"/>
      </w:pPr>
      <w:rPr>
        <w:rFonts w:ascii="Calibri" w:eastAsia="Calibri" w:hAnsi="Calibri" w:cs="Calibri"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abstractNum w:abstractNumId="25" w15:restartNumberingAfterBreak="0">
    <w:nsid w:val="31FD65BA"/>
    <w:multiLevelType w:val="hybridMultilevel"/>
    <w:tmpl w:val="9DF2F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F64BD0"/>
    <w:multiLevelType w:val="hybridMultilevel"/>
    <w:tmpl w:val="41EC61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72953CB"/>
    <w:multiLevelType w:val="hybridMultilevel"/>
    <w:tmpl w:val="A0149022"/>
    <w:lvl w:ilvl="0" w:tplc="296C8804">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B00DE1"/>
    <w:multiLevelType w:val="hybridMultilevel"/>
    <w:tmpl w:val="DD4667C0"/>
    <w:lvl w:ilvl="0" w:tplc="E0FA762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A4940DB"/>
    <w:multiLevelType w:val="hybridMultilevel"/>
    <w:tmpl w:val="8E4679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A713629"/>
    <w:multiLevelType w:val="hybridMultilevel"/>
    <w:tmpl w:val="E17847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3BE33DA4"/>
    <w:multiLevelType w:val="hybridMultilevel"/>
    <w:tmpl w:val="804AFEEA"/>
    <w:lvl w:ilvl="0" w:tplc="E4180282">
      <w:start w:val="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3CDC0125"/>
    <w:multiLevelType w:val="hybridMultilevel"/>
    <w:tmpl w:val="29949B88"/>
    <w:lvl w:ilvl="0" w:tplc="14405376">
      <w:start w:val="17"/>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4E6587"/>
    <w:multiLevelType w:val="hybridMultilevel"/>
    <w:tmpl w:val="D64CA154"/>
    <w:lvl w:ilvl="0" w:tplc="748227A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3EC848B8"/>
    <w:multiLevelType w:val="hybridMultilevel"/>
    <w:tmpl w:val="09D814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418B29C6"/>
    <w:multiLevelType w:val="hybridMultilevel"/>
    <w:tmpl w:val="6B24D6A6"/>
    <w:lvl w:ilvl="0" w:tplc="6F8EF9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42212D85"/>
    <w:multiLevelType w:val="hybridMultilevel"/>
    <w:tmpl w:val="1D8E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60E4A3F"/>
    <w:multiLevelType w:val="hybridMultilevel"/>
    <w:tmpl w:val="545CAA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4C7A2319"/>
    <w:multiLevelType w:val="hybridMultilevel"/>
    <w:tmpl w:val="ADF083F8"/>
    <w:lvl w:ilvl="0" w:tplc="2F34402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51A0249D"/>
    <w:multiLevelType w:val="hybridMultilevel"/>
    <w:tmpl w:val="ADA63D4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0" w15:restartNumberingAfterBreak="0">
    <w:nsid w:val="52BE05C6"/>
    <w:multiLevelType w:val="hybridMultilevel"/>
    <w:tmpl w:val="4ECC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D735DC"/>
    <w:multiLevelType w:val="hybridMultilevel"/>
    <w:tmpl w:val="D6DEB12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2" w15:restartNumberingAfterBreak="0">
    <w:nsid w:val="54823D1E"/>
    <w:multiLevelType w:val="hybridMultilevel"/>
    <w:tmpl w:val="B2E6A0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97D6A2D"/>
    <w:multiLevelType w:val="hybridMultilevel"/>
    <w:tmpl w:val="0E449C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15:restartNumberingAfterBreak="0">
    <w:nsid w:val="66187704"/>
    <w:multiLevelType w:val="hybridMultilevel"/>
    <w:tmpl w:val="A2B8D9EA"/>
    <w:lvl w:ilvl="0" w:tplc="51B63732">
      <w:start w:val="9"/>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83E6D51"/>
    <w:multiLevelType w:val="hybridMultilevel"/>
    <w:tmpl w:val="290866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6CEE47F7"/>
    <w:multiLevelType w:val="hybridMultilevel"/>
    <w:tmpl w:val="7EFCE614"/>
    <w:lvl w:ilvl="0" w:tplc="9B4AED42">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DF7B07"/>
    <w:multiLevelType w:val="hybridMultilevel"/>
    <w:tmpl w:val="D138F3A2"/>
    <w:lvl w:ilvl="0" w:tplc="08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8" w15:restartNumberingAfterBreak="0">
    <w:nsid w:val="704024A3"/>
    <w:multiLevelType w:val="hybridMultilevel"/>
    <w:tmpl w:val="6EC601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73F710C9"/>
    <w:multiLevelType w:val="hybridMultilevel"/>
    <w:tmpl w:val="555C1D0A"/>
    <w:lvl w:ilvl="0" w:tplc="0C3CC356">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748D2536"/>
    <w:multiLevelType w:val="hybridMultilevel"/>
    <w:tmpl w:val="665C4AE2"/>
    <w:lvl w:ilvl="0" w:tplc="06BCDE02">
      <w:start w:val="17"/>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4B1A53"/>
    <w:multiLevelType w:val="hybridMultilevel"/>
    <w:tmpl w:val="6BC4D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78E24F43"/>
    <w:multiLevelType w:val="hybridMultilevel"/>
    <w:tmpl w:val="548E529C"/>
    <w:lvl w:ilvl="0" w:tplc="0C3CC35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A85445"/>
    <w:multiLevelType w:val="hybridMultilevel"/>
    <w:tmpl w:val="69D458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4" w15:restartNumberingAfterBreak="0">
    <w:nsid w:val="7DC00452"/>
    <w:multiLevelType w:val="hybridMultilevel"/>
    <w:tmpl w:val="F800C2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7F0662E1"/>
    <w:multiLevelType w:val="hybridMultilevel"/>
    <w:tmpl w:val="EEFE1AE2"/>
    <w:lvl w:ilvl="0" w:tplc="D9DEDC3E">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27755890">
    <w:abstractNumId w:val="0"/>
  </w:num>
  <w:num w:numId="2" w16cid:durableId="1729375483">
    <w:abstractNumId w:val="4"/>
  </w:num>
  <w:num w:numId="3" w16cid:durableId="1766532658">
    <w:abstractNumId w:val="23"/>
  </w:num>
  <w:num w:numId="4" w16cid:durableId="1128357014">
    <w:abstractNumId w:val="29"/>
  </w:num>
  <w:num w:numId="5" w16cid:durableId="1347823681">
    <w:abstractNumId w:val="42"/>
  </w:num>
  <w:num w:numId="6" w16cid:durableId="896089475">
    <w:abstractNumId w:val="54"/>
  </w:num>
  <w:num w:numId="7" w16cid:durableId="1425027678">
    <w:abstractNumId w:val="37"/>
  </w:num>
  <w:num w:numId="8" w16cid:durableId="990914094">
    <w:abstractNumId w:val="7"/>
  </w:num>
  <w:num w:numId="9" w16cid:durableId="1793860057">
    <w:abstractNumId w:val="25"/>
  </w:num>
  <w:num w:numId="10" w16cid:durableId="990208903">
    <w:abstractNumId w:val="52"/>
  </w:num>
  <w:num w:numId="11" w16cid:durableId="237138685">
    <w:abstractNumId w:val="49"/>
  </w:num>
  <w:num w:numId="12" w16cid:durableId="413940761">
    <w:abstractNumId w:val="24"/>
  </w:num>
  <w:num w:numId="13" w16cid:durableId="1671566370">
    <w:abstractNumId w:val="13"/>
  </w:num>
  <w:num w:numId="14" w16cid:durableId="593979343">
    <w:abstractNumId w:val="40"/>
  </w:num>
  <w:num w:numId="15" w16cid:durableId="1034117985">
    <w:abstractNumId w:val="53"/>
  </w:num>
  <w:num w:numId="16" w16cid:durableId="1833719504">
    <w:abstractNumId w:val="43"/>
  </w:num>
  <w:num w:numId="17" w16cid:durableId="2008942315">
    <w:abstractNumId w:val="20"/>
  </w:num>
  <w:num w:numId="18" w16cid:durableId="552303976">
    <w:abstractNumId w:val="34"/>
  </w:num>
  <w:num w:numId="19" w16cid:durableId="1139760334">
    <w:abstractNumId w:val="48"/>
  </w:num>
  <w:num w:numId="20" w16cid:durableId="2064870455">
    <w:abstractNumId w:val="30"/>
  </w:num>
  <w:num w:numId="21" w16cid:durableId="1730038219">
    <w:abstractNumId w:val="39"/>
  </w:num>
  <w:num w:numId="22" w16cid:durableId="2048993223">
    <w:abstractNumId w:val="10"/>
  </w:num>
  <w:num w:numId="23" w16cid:durableId="1157768093">
    <w:abstractNumId w:val="1"/>
  </w:num>
  <w:num w:numId="24" w16cid:durableId="1503661158">
    <w:abstractNumId w:val="28"/>
  </w:num>
  <w:num w:numId="25" w16cid:durableId="1654138860">
    <w:abstractNumId w:val="15"/>
  </w:num>
  <w:num w:numId="26" w16cid:durableId="1504512867">
    <w:abstractNumId w:val="27"/>
  </w:num>
  <w:num w:numId="27" w16cid:durableId="650983446">
    <w:abstractNumId w:val="51"/>
  </w:num>
  <w:num w:numId="28" w16cid:durableId="443312678">
    <w:abstractNumId w:val="5"/>
  </w:num>
  <w:num w:numId="29" w16cid:durableId="1719936964">
    <w:abstractNumId w:val="26"/>
  </w:num>
  <w:num w:numId="30" w16cid:durableId="398597015">
    <w:abstractNumId w:val="12"/>
  </w:num>
  <w:num w:numId="31" w16cid:durableId="760561821">
    <w:abstractNumId w:val="11"/>
  </w:num>
  <w:num w:numId="32" w16cid:durableId="1990086371">
    <w:abstractNumId w:val="38"/>
  </w:num>
  <w:num w:numId="33" w16cid:durableId="2136674574">
    <w:abstractNumId w:val="47"/>
  </w:num>
  <w:num w:numId="34" w16cid:durableId="1726565656">
    <w:abstractNumId w:val="45"/>
  </w:num>
  <w:num w:numId="35" w16cid:durableId="1941794995">
    <w:abstractNumId w:val="44"/>
  </w:num>
  <w:num w:numId="36" w16cid:durableId="1356033075">
    <w:abstractNumId w:val="17"/>
  </w:num>
  <w:num w:numId="37" w16cid:durableId="1417096104">
    <w:abstractNumId w:val="50"/>
  </w:num>
  <w:num w:numId="38" w16cid:durableId="588003482">
    <w:abstractNumId w:val="32"/>
  </w:num>
  <w:num w:numId="39" w16cid:durableId="1103843894">
    <w:abstractNumId w:val="36"/>
  </w:num>
  <w:num w:numId="40" w16cid:durableId="1443114662">
    <w:abstractNumId w:val="18"/>
  </w:num>
  <w:num w:numId="41" w16cid:durableId="1274628393">
    <w:abstractNumId w:val="3"/>
  </w:num>
  <w:num w:numId="42" w16cid:durableId="118492796">
    <w:abstractNumId w:val="2"/>
  </w:num>
  <w:num w:numId="43" w16cid:durableId="1674723068">
    <w:abstractNumId w:val="41"/>
  </w:num>
  <w:num w:numId="44" w16cid:durableId="2138838838">
    <w:abstractNumId w:val="35"/>
  </w:num>
  <w:num w:numId="45" w16cid:durableId="460422146">
    <w:abstractNumId w:val="33"/>
  </w:num>
  <w:num w:numId="46" w16cid:durableId="613295339">
    <w:abstractNumId w:val="31"/>
  </w:num>
  <w:num w:numId="47" w16cid:durableId="152759574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7571060">
    <w:abstractNumId w:val="46"/>
  </w:num>
  <w:num w:numId="49" w16cid:durableId="559557662">
    <w:abstractNumId w:val="21"/>
  </w:num>
  <w:num w:numId="50" w16cid:durableId="105926580">
    <w:abstractNumId w:val="6"/>
  </w:num>
  <w:num w:numId="51" w16cid:durableId="1224021926">
    <w:abstractNumId w:val="55"/>
  </w:num>
  <w:num w:numId="52" w16cid:durableId="276454626">
    <w:abstractNumId w:val="9"/>
  </w:num>
  <w:num w:numId="53" w16cid:durableId="1439763941">
    <w:abstractNumId w:val="19"/>
  </w:num>
  <w:num w:numId="54" w16cid:durableId="252591007">
    <w:abstractNumId w:val="22"/>
  </w:num>
  <w:num w:numId="55" w16cid:durableId="1724325439">
    <w:abstractNumId w:val="8"/>
  </w:num>
  <w:num w:numId="56" w16cid:durableId="919485466">
    <w:abstractNumId w:val="14"/>
  </w:num>
  <w:num w:numId="57" w16cid:durableId="1999730086">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ED"/>
    <w:rsid w:val="00000155"/>
    <w:rsid w:val="0000182E"/>
    <w:rsid w:val="00001FF6"/>
    <w:rsid w:val="00002186"/>
    <w:rsid w:val="00004741"/>
    <w:rsid w:val="00005A21"/>
    <w:rsid w:val="0000698B"/>
    <w:rsid w:val="000104D3"/>
    <w:rsid w:val="00010A99"/>
    <w:rsid w:val="00010C32"/>
    <w:rsid w:val="000117AF"/>
    <w:rsid w:val="00011CDC"/>
    <w:rsid w:val="00011FD7"/>
    <w:rsid w:val="00013247"/>
    <w:rsid w:val="00013C10"/>
    <w:rsid w:val="00013F6E"/>
    <w:rsid w:val="00014E2E"/>
    <w:rsid w:val="00015C82"/>
    <w:rsid w:val="000168F3"/>
    <w:rsid w:val="00016D06"/>
    <w:rsid w:val="0001727C"/>
    <w:rsid w:val="000176D3"/>
    <w:rsid w:val="00020C7A"/>
    <w:rsid w:val="00020FB1"/>
    <w:rsid w:val="00021B1B"/>
    <w:rsid w:val="00021C79"/>
    <w:rsid w:val="00021F18"/>
    <w:rsid w:val="0002236D"/>
    <w:rsid w:val="00022AD5"/>
    <w:rsid w:val="00022EE7"/>
    <w:rsid w:val="000230E6"/>
    <w:rsid w:val="00023D50"/>
    <w:rsid w:val="00023F7C"/>
    <w:rsid w:val="000245BD"/>
    <w:rsid w:val="000254CB"/>
    <w:rsid w:val="000257E6"/>
    <w:rsid w:val="00025C74"/>
    <w:rsid w:val="00025DF4"/>
    <w:rsid w:val="00025F4F"/>
    <w:rsid w:val="000266AD"/>
    <w:rsid w:val="0002730A"/>
    <w:rsid w:val="00027413"/>
    <w:rsid w:val="00027972"/>
    <w:rsid w:val="00027D1D"/>
    <w:rsid w:val="0003002A"/>
    <w:rsid w:val="00030773"/>
    <w:rsid w:val="00030F21"/>
    <w:rsid w:val="0003146A"/>
    <w:rsid w:val="00031BDE"/>
    <w:rsid w:val="00031C61"/>
    <w:rsid w:val="00031CDF"/>
    <w:rsid w:val="00031F86"/>
    <w:rsid w:val="00032491"/>
    <w:rsid w:val="00032ADE"/>
    <w:rsid w:val="00033CB4"/>
    <w:rsid w:val="000347B4"/>
    <w:rsid w:val="00034844"/>
    <w:rsid w:val="000348E3"/>
    <w:rsid w:val="00034A3F"/>
    <w:rsid w:val="000356BA"/>
    <w:rsid w:val="000357D5"/>
    <w:rsid w:val="00035A14"/>
    <w:rsid w:val="00035E04"/>
    <w:rsid w:val="00036C6D"/>
    <w:rsid w:val="00036CD2"/>
    <w:rsid w:val="00040C13"/>
    <w:rsid w:val="00041C48"/>
    <w:rsid w:val="000426F5"/>
    <w:rsid w:val="0004351D"/>
    <w:rsid w:val="00043EB5"/>
    <w:rsid w:val="00043ED7"/>
    <w:rsid w:val="00043FD2"/>
    <w:rsid w:val="000441F5"/>
    <w:rsid w:val="00044260"/>
    <w:rsid w:val="000442E1"/>
    <w:rsid w:val="0004507C"/>
    <w:rsid w:val="000454AC"/>
    <w:rsid w:val="00045610"/>
    <w:rsid w:val="00045BC1"/>
    <w:rsid w:val="00046021"/>
    <w:rsid w:val="0004605B"/>
    <w:rsid w:val="000467B9"/>
    <w:rsid w:val="000467D0"/>
    <w:rsid w:val="00046D85"/>
    <w:rsid w:val="00046ED5"/>
    <w:rsid w:val="000470D1"/>
    <w:rsid w:val="0004759E"/>
    <w:rsid w:val="000479AC"/>
    <w:rsid w:val="00047BD2"/>
    <w:rsid w:val="00050A0E"/>
    <w:rsid w:val="00050A9B"/>
    <w:rsid w:val="0005139B"/>
    <w:rsid w:val="0005145E"/>
    <w:rsid w:val="000518D9"/>
    <w:rsid w:val="00051A3A"/>
    <w:rsid w:val="00052888"/>
    <w:rsid w:val="00052E73"/>
    <w:rsid w:val="0005441A"/>
    <w:rsid w:val="000549A6"/>
    <w:rsid w:val="00054DA4"/>
    <w:rsid w:val="000552AF"/>
    <w:rsid w:val="000558CB"/>
    <w:rsid w:val="000567A8"/>
    <w:rsid w:val="00057464"/>
    <w:rsid w:val="000575B3"/>
    <w:rsid w:val="0005794F"/>
    <w:rsid w:val="00060372"/>
    <w:rsid w:val="00060B5D"/>
    <w:rsid w:val="00061219"/>
    <w:rsid w:val="00061F2D"/>
    <w:rsid w:val="00062ADB"/>
    <w:rsid w:val="000635FA"/>
    <w:rsid w:val="000636D5"/>
    <w:rsid w:val="0006371D"/>
    <w:rsid w:val="00063834"/>
    <w:rsid w:val="0006388A"/>
    <w:rsid w:val="00064BB6"/>
    <w:rsid w:val="00064BF1"/>
    <w:rsid w:val="0006558D"/>
    <w:rsid w:val="00066BE9"/>
    <w:rsid w:val="00067614"/>
    <w:rsid w:val="00067AC5"/>
    <w:rsid w:val="000711ED"/>
    <w:rsid w:val="00071944"/>
    <w:rsid w:val="00071A31"/>
    <w:rsid w:val="00071C13"/>
    <w:rsid w:val="00072D63"/>
    <w:rsid w:val="00073169"/>
    <w:rsid w:val="00073897"/>
    <w:rsid w:val="00075973"/>
    <w:rsid w:val="00075D83"/>
    <w:rsid w:val="00076250"/>
    <w:rsid w:val="0007643F"/>
    <w:rsid w:val="000767C2"/>
    <w:rsid w:val="000769DE"/>
    <w:rsid w:val="00076D83"/>
    <w:rsid w:val="00077735"/>
    <w:rsid w:val="00077A52"/>
    <w:rsid w:val="000808CA"/>
    <w:rsid w:val="00080EB5"/>
    <w:rsid w:val="00081286"/>
    <w:rsid w:val="00081CAA"/>
    <w:rsid w:val="00082021"/>
    <w:rsid w:val="0008257E"/>
    <w:rsid w:val="0008282E"/>
    <w:rsid w:val="000829C5"/>
    <w:rsid w:val="0008337E"/>
    <w:rsid w:val="00084039"/>
    <w:rsid w:val="00084218"/>
    <w:rsid w:val="000846CD"/>
    <w:rsid w:val="000851E7"/>
    <w:rsid w:val="000856FA"/>
    <w:rsid w:val="000857AC"/>
    <w:rsid w:val="00086413"/>
    <w:rsid w:val="000865D4"/>
    <w:rsid w:val="00087323"/>
    <w:rsid w:val="00087551"/>
    <w:rsid w:val="00087F00"/>
    <w:rsid w:val="00090B96"/>
    <w:rsid w:val="00090F55"/>
    <w:rsid w:val="0009104D"/>
    <w:rsid w:val="000915BB"/>
    <w:rsid w:val="000922CE"/>
    <w:rsid w:val="00093C78"/>
    <w:rsid w:val="000941EE"/>
    <w:rsid w:val="00095072"/>
    <w:rsid w:val="0009736F"/>
    <w:rsid w:val="0009739E"/>
    <w:rsid w:val="00097985"/>
    <w:rsid w:val="00097F21"/>
    <w:rsid w:val="000A03EF"/>
    <w:rsid w:val="000A0678"/>
    <w:rsid w:val="000A07C8"/>
    <w:rsid w:val="000A09B0"/>
    <w:rsid w:val="000A09B2"/>
    <w:rsid w:val="000A0CE0"/>
    <w:rsid w:val="000A0F3B"/>
    <w:rsid w:val="000A1384"/>
    <w:rsid w:val="000A1768"/>
    <w:rsid w:val="000A18B7"/>
    <w:rsid w:val="000A2084"/>
    <w:rsid w:val="000A2B69"/>
    <w:rsid w:val="000A43B1"/>
    <w:rsid w:val="000A4E67"/>
    <w:rsid w:val="000A53A5"/>
    <w:rsid w:val="000A5F15"/>
    <w:rsid w:val="000A6398"/>
    <w:rsid w:val="000A6C2F"/>
    <w:rsid w:val="000A7B8A"/>
    <w:rsid w:val="000B0042"/>
    <w:rsid w:val="000B14C5"/>
    <w:rsid w:val="000B1937"/>
    <w:rsid w:val="000B19B8"/>
    <w:rsid w:val="000B1B62"/>
    <w:rsid w:val="000B1CB4"/>
    <w:rsid w:val="000B20D5"/>
    <w:rsid w:val="000B2B1C"/>
    <w:rsid w:val="000B35BA"/>
    <w:rsid w:val="000B3C9C"/>
    <w:rsid w:val="000B463B"/>
    <w:rsid w:val="000B4E51"/>
    <w:rsid w:val="000B5585"/>
    <w:rsid w:val="000B55C5"/>
    <w:rsid w:val="000B5A22"/>
    <w:rsid w:val="000B6215"/>
    <w:rsid w:val="000B6A09"/>
    <w:rsid w:val="000B752E"/>
    <w:rsid w:val="000B777B"/>
    <w:rsid w:val="000C135B"/>
    <w:rsid w:val="000C147D"/>
    <w:rsid w:val="000C2F7F"/>
    <w:rsid w:val="000C317B"/>
    <w:rsid w:val="000C3288"/>
    <w:rsid w:val="000C3465"/>
    <w:rsid w:val="000C3670"/>
    <w:rsid w:val="000C4227"/>
    <w:rsid w:val="000C42BB"/>
    <w:rsid w:val="000C4F02"/>
    <w:rsid w:val="000C5134"/>
    <w:rsid w:val="000C5290"/>
    <w:rsid w:val="000C5343"/>
    <w:rsid w:val="000C53CD"/>
    <w:rsid w:val="000C5A37"/>
    <w:rsid w:val="000C5C79"/>
    <w:rsid w:val="000C610A"/>
    <w:rsid w:val="000C63EF"/>
    <w:rsid w:val="000C65EB"/>
    <w:rsid w:val="000C7595"/>
    <w:rsid w:val="000C7760"/>
    <w:rsid w:val="000D1CD5"/>
    <w:rsid w:val="000D1E66"/>
    <w:rsid w:val="000D2082"/>
    <w:rsid w:val="000D2580"/>
    <w:rsid w:val="000D2D74"/>
    <w:rsid w:val="000D2E99"/>
    <w:rsid w:val="000D39D7"/>
    <w:rsid w:val="000D4395"/>
    <w:rsid w:val="000D4A06"/>
    <w:rsid w:val="000D4D9A"/>
    <w:rsid w:val="000D5849"/>
    <w:rsid w:val="000D5E10"/>
    <w:rsid w:val="000D60E6"/>
    <w:rsid w:val="000D6342"/>
    <w:rsid w:val="000D6380"/>
    <w:rsid w:val="000D6619"/>
    <w:rsid w:val="000D6FDC"/>
    <w:rsid w:val="000E0190"/>
    <w:rsid w:val="000E0417"/>
    <w:rsid w:val="000E0801"/>
    <w:rsid w:val="000E1B78"/>
    <w:rsid w:val="000E1D67"/>
    <w:rsid w:val="000E2B1C"/>
    <w:rsid w:val="000E2FCC"/>
    <w:rsid w:val="000E344E"/>
    <w:rsid w:val="000E3A08"/>
    <w:rsid w:val="000E3A81"/>
    <w:rsid w:val="000E3C14"/>
    <w:rsid w:val="000E3D10"/>
    <w:rsid w:val="000E50D5"/>
    <w:rsid w:val="000E559F"/>
    <w:rsid w:val="000E56FE"/>
    <w:rsid w:val="000E599D"/>
    <w:rsid w:val="000E7676"/>
    <w:rsid w:val="000F01A8"/>
    <w:rsid w:val="000F0631"/>
    <w:rsid w:val="000F161E"/>
    <w:rsid w:val="000F1E77"/>
    <w:rsid w:val="000F22F9"/>
    <w:rsid w:val="000F315D"/>
    <w:rsid w:val="000F34A0"/>
    <w:rsid w:val="000F36FF"/>
    <w:rsid w:val="000F3D7F"/>
    <w:rsid w:val="000F3FC6"/>
    <w:rsid w:val="000F4679"/>
    <w:rsid w:val="000F46D5"/>
    <w:rsid w:val="000F5736"/>
    <w:rsid w:val="000F67BF"/>
    <w:rsid w:val="000F77A7"/>
    <w:rsid w:val="000F7ADE"/>
    <w:rsid w:val="000F7AEA"/>
    <w:rsid w:val="001003AE"/>
    <w:rsid w:val="00100BFE"/>
    <w:rsid w:val="001013BF"/>
    <w:rsid w:val="00101DDF"/>
    <w:rsid w:val="00105084"/>
    <w:rsid w:val="00105F0B"/>
    <w:rsid w:val="00106BFF"/>
    <w:rsid w:val="00106EFA"/>
    <w:rsid w:val="00110408"/>
    <w:rsid w:val="001108E8"/>
    <w:rsid w:val="001115F6"/>
    <w:rsid w:val="00111E4F"/>
    <w:rsid w:val="00111EE2"/>
    <w:rsid w:val="00112145"/>
    <w:rsid w:val="00112395"/>
    <w:rsid w:val="0011297B"/>
    <w:rsid w:val="00112DEA"/>
    <w:rsid w:val="0011360C"/>
    <w:rsid w:val="00113713"/>
    <w:rsid w:val="00114009"/>
    <w:rsid w:val="00114272"/>
    <w:rsid w:val="00114A4E"/>
    <w:rsid w:val="00114C09"/>
    <w:rsid w:val="001172B3"/>
    <w:rsid w:val="001203ED"/>
    <w:rsid w:val="001205D0"/>
    <w:rsid w:val="001225E8"/>
    <w:rsid w:val="0012333C"/>
    <w:rsid w:val="00123724"/>
    <w:rsid w:val="00124A8C"/>
    <w:rsid w:val="00124E4D"/>
    <w:rsid w:val="00124EE2"/>
    <w:rsid w:val="001251D7"/>
    <w:rsid w:val="00125CD7"/>
    <w:rsid w:val="00126D62"/>
    <w:rsid w:val="00127C4B"/>
    <w:rsid w:val="00127C86"/>
    <w:rsid w:val="001304BD"/>
    <w:rsid w:val="001309B7"/>
    <w:rsid w:val="00131170"/>
    <w:rsid w:val="001313CD"/>
    <w:rsid w:val="00131416"/>
    <w:rsid w:val="0013197E"/>
    <w:rsid w:val="001321C3"/>
    <w:rsid w:val="00133895"/>
    <w:rsid w:val="00133FE2"/>
    <w:rsid w:val="0013526A"/>
    <w:rsid w:val="0013531A"/>
    <w:rsid w:val="001359F7"/>
    <w:rsid w:val="00136AA8"/>
    <w:rsid w:val="00136D86"/>
    <w:rsid w:val="001371E2"/>
    <w:rsid w:val="00137245"/>
    <w:rsid w:val="001377CB"/>
    <w:rsid w:val="00137A11"/>
    <w:rsid w:val="001400D1"/>
    <w:rsid w:val="001408CC"/>
    <w:rsid w:val="00141404"/>
    <w:rsid w:val="0014221C"/>
    <w:rsid w:val="001428BF"/>
    <w:rsid w:val="00143966"/>
    <w:rsid w:val="00143BDE"/>
    <w:rsid w:val="001442A4"/>
    <w:rsid w:val="001447A0"/>
    <w:rsid w:val="00144BDC"/>
    <w:rsid w:val="00145E58"/>
    <w:rsid w:val="00145ECF"/>
    <w:rsid w:val="001460AA"/>
    <w:rsid w:val="0014672E"/>
    <w:rsid w:val="00146749"/>
    <w:rsid w:val="001500DD"/>
    <w:rsid w:val="00150131"/>
    <w:rsid w:val="00150D9F"/>
    <w:rsid w:val="001517D4"/>
    <w:rsid w:val="0015210E"/>
    <w:rsid w:val="001521A5"/>
    <w:rsid w:val="001522FC"/>
    <w:rsid w:val="00154B9E"/>
    <w:rsid w:val="001555CB"/>
    <w:rsid w:val="00155603"/>
    <w:rsid w:val="00155CE6"/>
    <w:rsid w:val="001561A3"/>
    <w:rsid w:val="00160640"/>
    <w:rsid w:val="00160A05"/>
    <w:rsid w:val="00160E73"/>
    <w:rsid w:val="00160FF9"/>
    <w:rsid w:val="001611F8"/>
    <w:rsid w:val="00161479"/>
    <w:rsid w:val="00161FDC"/>
    <w:rsid w:val="00162C90"/>
    <w:rsid w:val="001636A1"/>
    <w:rsid w:val="00163A52"/>
    <w:rsid w:val="001640EE"/>
    <w:rsid w:val="00166228"/>
    <w:rsid w:val="0016628F"/>
    <w:rsid w:val="001663A7"/>
    <w:rsid w:val="00166C34"/>
    <w:rsid w:val="00167E48"/>
    <w:rsid w:val="00170AA4"/>
    <w:rsid w:val="00171F71"/>
    <w:rsid w:val="001727DF"/>
    <w:rsid w:val="00172D33"/>
    <w:rsid w:val="00173A99"/>
    <w:rsid w:val="00174977"/>
    <w:rsid w:val="00175330"/>
    <w:rsid w:val="00175771"/>
    <w:rsid w:val="00175EFD"/>
    <w:rsid w:val="001768A7"/>
    <w:rsid w:val="00176D5D"/>
    <w:rsid w:val="00176EDD"/>
    <w:rsid w:val="00177A7B"/>
    <w:rsid w:val="0018008A"/>
    <w:rsid w:val="0018012C"/>
    <w:rsid w:val="00180F5E"/>
    <w:rsid w:val="001810E4"/>
    <w:rsid w:val="00181B19"/>
    <w:rsid w:val="00182A80"/>
    <w:rsid w:val="00182A81"/>
    <w:rsid w:val="00182F4F"/>
    <w:rsid w:val="001832EA"/>
    <w:rsid w:val="0018356D"/>
    <w:rsid w:val="00185958"/>
    <w:rsid w:val="00185FA2"/>
    <w:rsid w:val="00186BBE"/>
    <w:rsid w:val="0018716F"/>
    <w:rsid w:val="00187777"/>
    <w:rsid w:val="00187F4E"/>
    <w:rsid w:val="0019031F"/>
    <w:rsid w:val="00190F7D"/>
    <w:rsid w:val="00191296"/>
    <w:rsid w:val="00191943"/>
    <w:rsid w:val="00192550"/>
    <w:rsid w:val="0019373D"/>
    <w:rsid w:val="00193FAE"/>
    <w:rsid w:val="001940D6"/>
    <w:rsid w:val="0019428A"/>
    <w:rsid w:val="0019437E"/>
    <w:rsid w:val="00196355"/>
    <w:rsid w:val="0019715F"/>
    <w:rsid w:val="001A0C4F"/>
    <w:rsid w:val="001A1942"/>
    <w:rsid w:val="001A19CE"/>
    <w:rsid w:val="001A1D50"/>
    <w:rsid w:val="001A257F"/>
    <w:rsid w:val="001A2D7B"/>
    <w:rsid w:val="001A3D8D"/>
    <w:rsid w:val="001A47BB"/>
    <w:rsid w:val="001A5528"/>
    <w:rsid w:val="001A5B34"/>
    <w:rsid w:val="001A6A76"/>
    <w:rsid w:val="001A701D"/>
    <w:rsid w:val="001A77D5"/>
    <w:rsid w:val="001A7B23"/>
    <w:rsid w:val="001B0263"/>
    <w:rsid w:val="001B058D"/>
    <w:rsid w:val="001B109C"/>
    <w:rsid w:val="001B1B92"/>
    <w:rsid w:val="001B1D62"/>
    <w:rsid w:val="001B1DAD"/>
    <w:rsid w:val="001B2215"/>
    <w:rsid w:val="001B2408"/>
    <w:rsid w:val="001B2625"/>
    <w:rsid w:val="001B2A19"/>
    <w:rsid w:val="001B3877"/>
    <w:rsid w:val="001B3D86"/>
    <w:rsid w:val="001B4CDE"/>
    <w:rsid w:val="001B504E"/>
    <w:rsid w:val="001B50BB"/>
    <w:rsid w:val="001B5463"/>
    <w:rsid w:val="001B55A9"/>
    <w:rsid w:val="001B55C3"/>
    <w:rsid w:val="001B56B2"/>
    <w:rsid w:val="001B6347"/>
    <w:rsid w:val="001B6373"/>
    <w:rsid w:val="001B69EF"/>
    <w:rsid w:val="001B6A16"/>
    <w:rsid w:val="001B7CAC"/>
    <w:rsid w:val="001B7E01"/>
    <w:rsid w:val="001C0556"/>
    <w:rsid w:val="001C0635"/>
    <w:rsid w:val="001C0908"/>
    <w:rsid w:val="001C0A5F"/>
    <w:rsid w:val="001C227F"/>
    <w:rsid w:val="001C3609"/>
    <w:rsid w:val="001C45B5"/>
    <w:rsid w:val="001C4AA8"/>
    <w:rsid w:val="001C524C"/>
    <w:rsid w:val="001C592E"/>
    <w:rsid w:val="001C59A8"/>
    <w:rsid w:val="001C5E7F"/>
    <w:rsid w:val="001C6385"/>
    <w:rsid w:val="001C64C6"/>
    <w:rsid w:val="001C6535"/>
    <w:rsid w:val="001C7875"/>
    <w:rsid w:val="001C7EBE"/>
    <w:rsid w:val="001D02F2"/>
    <w:rsid w:val="001D0C99"/>
    <w:rsid w:val="001D0FF2"/>
    <w:rsid w:val="001D1341"/>
    <w:rsid w:val="001D2120"/>
    <w:rsid w:val="001D276C"/>
    <w:rsid w:val="001D2B9A"/>
    <w:rsid w:val="001D3317"/>
    <w:rsid w:val="001D3D80"/>
    <w:rsid w:val="001D3EE6"/>
    <w:rsid w:val="001D4620"/>
    <w:rsid w:val="001D4A43"/>
    <w:rsid w:val="001D4E34"/>
    <w:rsid w:val="001D54FD"/>
    <w:rsid w:val="001D5593"/>
    <w:rsid w:val="001D58D8"/>
    <w:rsid w:val="001D6268"/>
    <w:rsid w:val="001D62B9"/>
    <w:rsid w:val="001D68A7"/>
    <w:rsid w:val="001D6D08"/>
    <w:rsid w:val="001D76D6"/>
    <w:rsid w:val="001D77C9"/>
    <w:rsid w:val="001E0587"/>
    <w:rsid w:val="001E1A1F"/>
    <w:rsid w:val="001E20D6"/>
    <w:rsid w:val="001E2321"/>
    <w:rsid w:val="001E2C02"/>
    <w:rsid w:val="001E2C2C"/>
    <w:rsid w:val="001E3729"/>
    <w:rsid w:val="001E48B7"/>
    <w:rsid w:val="001E4EC3"/>
    <w:rsid w:val="001E530E"/>
    <w:rsid w:val="001E5312"/>
    <w:rsid w:val="001E591D"/>
    <w:rsid w:val="001E6054"/>
    <w:rsid w:val="001E69E9"/>
    <w:rsid w:val="001E6AF4"/>
    <w:rsid w:val="001E6E3A"/>
    <w:rsid w:val="001E6E9D"/>
    <w:rsid w:val="001F0087"/>
    <w:rsid w:val="001F0D20"/>
    <w:rsid w:val="001F1C33"/>
    <w:rsid w:val="001F248B"/>
    <w:rsid w:val="001F257D"/>
    <w:rsid w:val="001F29BA"/>
    <w:rsid w:val="001F2A9C"/>
    <w:rsid w:val="001F2CB0"/>
    <w:rsid w:val="001F3C92"/>
    <w:rsid w:val="001F404B"/>
    <w:rsid w:val="001F428E"/>
    <w:rsid w:val="001F4614"/>
    <w:rsid w:val="001F471E"/>
    <w:rsid w:val="001F4ED5"/>
    <w:rsid w:val="001F60B7"/>
    <w:rsid w:val="001F61A3"/>
    <w:rsid w:val="001F6736"/>
    <w:rsid w:val="001F72EA"/>
    <w:rsid w:val="001F771E"/>
    <w:rsid w:val="00200C81"/>
    <w:rsid w:val="002014E7"/>
    <w:rsid w:val="00202269"/>
    <w:rsid w:val="00202357"/>
    <w:rsid w:val="00202D8E"/>
    <w:rsid w:val="0020395E"/>
    <w:rsid w:val="002039AB"/>
    <w:rsid w:val="0020437A"/>
    <w:rsid w:val="002043B5"/>
    <w:rsid w:val="002054F2"/>
    <w:rsid w:val="00205D15"/>
    <w:rsid w:val="00206177"/>
    <w:rsid w:val="00206CB6"/>
    <w:rsid w:val="00207074"/>
    <w:rsid w:val="002071B6"/>
    <w:rsid w:val="002071D1"/>
    <w:rsid w:val="00207B12"/>
    <w:rsid w:val="002108D4"/>
    <w:rsid w:val="00211046"/>
    <w:rsid w:val="00211C59"/>
    <w:rsid w:val="00213127"/>
    <w:rsid w:val="00213431"/>
    <w:rsid w:val="002153F7"/>
    <w:rsid w:val="002157B1"/>
    <w:rsid w:val="00215881"/>
    <w:rsid w:val="00216956"/>
    <w:rsid w:val="00217891"/>
    <w:rsid w:val="002178F3"/>
    <w:rsid w:val="00220B27"/>
    <w:rsid w:val="00220F1B"/>
    <w:rsid w:val="002210FE"/>
    <w:rsid w:val="0022131A"/>
    <w:rsid w:val="00221632"/>
    <w:rsid w:val="002217FB"/>
    <w:rsid w:val="0022210F"/>
    <w:rsid w:val="00222A77"/>
    <w:rsid w:val="002230CA"/>
    <w:rsid w:val="0022376E"/>
    <w:rsid w:val="002237A7"/>
    <w:rsid w:val="00223AA9"/>
    <w:rsid w:val="00223B22"/>
    <w:rsid w:val="00224C14"/>
    <w:rsid w:val="00225FD8"/>
    <w:rsid w:val="002263D5"/>
    <w:rsid w:val="002269F9"/>
    <w:rsid w:val="00226D9C"/>
    <w:rsid w:val="002315F3"/>
    <w:rsid w:val="002324D0"/>
    <w:rsid w:val="00232F6F"/>
    <w:rsid w:val="00234515"/>
    <w:rsid w:val="00235876"/>
    <w:rsid w:val="00235B6F"/>
    <w:rsid w:val="00236FDE"/>
    <w:rsid w:val="00237486"/>
    <w:rsid w:val="00237836"/>
    <w:rsid w:val="00237984"/>
    <w:rsid w:val="00237D29"/>
    <w:rsid w:val="00237EC4"/>
    <w:rsid w:val="0024018C"/>
    <w:rsid w:val="002401B4"/>
    <w:rsid w:val="0024093C"/>
    <w:rsid w:val="0024143E"/>
    <w:rsid w:val="00241C9C"/>
    <w:rsid w:val="00243998"/>
    <w:rsid w:val="00243A4F"/>
    <w:rsid w:val="00243B47"/>
    <w:rsid w:val="00244291"/>
    <w:rsid w:val="0024470B"/>
    <w:rsid w:val="00245D3D"/>
    <w:rsid w:val="00245E06"/>
    <w:rsid w:val="00246642"/>
    <w:rsid w:val="0024674F"/>
    <w:rsid w:val="00246BCC"/>
    <w:rsid w:val="00246EA5"/>
    <w:rsid w:val="00247086"/>
    <w:rsid w:val="0024792E"/>
    <w:rsid w:val="00247A5E"/>
    <w:rsid w:val="00247B1D"/>
    <w:rsid w:val="00250F31"/>
    <w:rsid w:val="00252A13"/>
    <w:rsid w:val="00253A91"/>
    <w:rsid w:val="0025457E"/>
    <w:rsid w:val="00254608"/>
    <w:rsid w:val="00255537"/>
    <w:rsid w:val="002556C2"/>
    <w:rsid w:val="002560B8"/>
    <w:rsid w:val="00256BEF"/>
    <w:rsid w:val="00257128"/>
    <w:rsid w:val="00257347"/>
    <w:rsid w:val="00257C94"/>
    <w:rsid w:val="002602A5"/>
    <w:rsid w:val="00260AD7"/>
    <w:rsid w:val="002616D2"/>
    <w:rsid w:val="00261A66"/>
    <w:rsid w:val="00261CBA"/>
    <w:rsid w:val="0026200A"/>
    <w:rsid w:val="00262360"/>
    <w:rsid w:val="00262E19"/>
    <w:rsid w:val="00263048"/>
    <w:rsid w:val="0026397F"/>
    <w:rsid w:val="00264379"/>
    <w:rsid w:val="00264E16"/>
    <w:rsid w:val="00264E82"/>
    <w:rsid w:val="00265ABE"/>
    <w:rsid w:val="00265F1F"/>
    <w:rsid w:val="00266F1F"/>
    <w:rsid w:val="00266F87"/>
    <w:rsid w:val="0026744E"/>
    <w:rsid w:val="0026784F"/>
    <w:rsid w:val="00270649"/>
    <w:rsid w:val="0027088B"/>
    <w:rsid w:val="0027092D"/>
    <w:rsid w:val="00270BA0"/>
    <w:rsid w:val="00271BEB"/>
    <w:rsid w:val="00271D92"/>
    <w:rsid w:val="00271ED9"/>
    <w:rsid w:val="00272DEA"/>
    <w:rsid w:val="002730A0"/>
    <w:rsid w:val="00273CEA"/>
    <w:rsid w:val="00274094"/>
    <w:rsid w:val="002745A9"/>
    <w:rsid w:val="00274B96"/>
    <w:rsid w:val="002755F6"/>
    <w:rsid w:val="0027586A"/>
    <w:rsid w:val="00275EAF"/>
    <w:rsid w:val="002763AF"/>
    <w:rsid w:val="002765E5"/>
    <w:rsid w:val="002769B0"/>
    <w:rsid w:val="00276A7E"/>
    <w:rsid w:val="00276C96"/>
    <w:rsid w:val="00276F5E"/>
    <w:rsid w:val="002779E6"/>
    <w:rsid w:val="00277CCA"/>
    <w:rsid w:val="00280302"/>
    <w:rsid w:val="002806CF"/>
    <w:rsid w:val="00280B66"/>
    <w:rsid w:val="00280B98"/>
    <w:rsid w:val="002814BD"/>
    <w:rsid w:val="0028248F"/>
    <w:rsid w:val="002834B4"/>
    <w:rsid w:val="00283E1D"/>
    <w:rsid w:val="00284B3D"/>
    <w:rsid w:val="00285BA8"/>
    <w:rsid w:val="00286430"/>
    <w:rsid w:val="0028690C"/>
    <w:rsid w:val="00286F0A"/>
    <w:rsid w:val="0028781D"/>
    <w:rsid w:val="00287BBB"/>
    <w:rsid w:val="00287F8F"/>
    <w:rsid w:val="002904AB"/>
    <w:rsid w:val="00290ECA"/>
    <w:rsid w:val="0029231D"/>
    <w:rsid w:val="00292596"/>
    <w:rsid w:val="00292699"/>
    <w:rsid w:val="00292798"/>
    <w:rsid w:val="002927DB"/>
    <w:rsid w:val="002947EF"/>
    <w:rsid w:val="0029498F"/>
    <w:rsid w:val="00297076"/>
    <w:rsid w:val="00297786"/>
    <w:rsid w:val="00297A36"/>
    <w:rsid w:val="00297B86"/>
    <w:rsid w:val="002A05DE"/>
    <w:rsid w:val="002A0A13"/>
    <w:rsid w:val="002A0ACB"/>
    <w:rsid w:val="002A0D9F"/>
    <w:rsid w:val="002A1A45"/>
    <w:rsid w:val="002A1D48"/>
    <w:rsid w:val="002A1E25"/>
    <w:rsid w:val="002A2090"/>
    <w:rsid w:val="002A263A"/>
    <w:rsid w:val="002A4239"/>
    <w:rsid w:val="002A4282"/>
    <w:rsid w:val="002A6168"/>
    <w:rsid w:val="002A72ED"/>
    <w:rsid w:val="002A75BE"/>
    <w:rsid w:val="002A784E"/>
    <w:rsid w:val="002B00CA"/>
    <w:rsid w:val="002B011E"/>
    <w:rsid w:val="002B0E11"/>
    <w:rsid w:val="002B0F4A"/>
    <w:rsid w:val="002B1912"/>
    <w:rsid w:val="002B2062"/>
    <w:rsid w:val="002B2070"/>
    <w:rsid w:val="002B2855"/>
    <w:rsid w:val="002B347B"/>
    <w:rsid w:val="002B479B"/>
    <w:rsid w:val="002B4BC4"/>
    <w:rsid w:val="002B51D0"/>
    <w:rsid w:val="002B5392"/>
    <w:rsid w:val="002B5435"/>
    <w:rsid w:val="002B591D"/>
    <w:rsid w:val="002B5BA7"/>
    <w:rsid w:val="002B5DA4"/>
    <w:rsid w:val="002B65F0"/>
    <w:rsid w:val="002B6609"/>
    <w:rsid w:val="002B79E7"/>
    <w:rsid w:val="002B7D69"/>
    <w:rsid w:val="002C1D8C"/>
    <w:rsid w:val="002C21A6"/>
    <w:rsid w:val="002C2412"/>
    <w:rsid w:val="002C25F5"/>
    <w:rsid w:val="002C2F80"/>
    <w:rsid w:val="002C421C"/>
    <w:rsid w:val="002C45DF"/>
    <w:rsid w:val="002C5826"/>
    <w:rsid w:val="002D05E0"/>
    <w:rsid w:val="002D09C8"/>
    <w:rsid w:val="002D14A9"/>
    <w:rsid w:val="002D1C28"/>
    <w:rsid w:val="002D276D"/>
    <w:rsid w:val="002D280B"/>
    <w:rsid w:val="002D3011"/>
    <w:rsid w:val="002D4640"/>
    <w:rsid w:val="002D4859"/>
    <w:rsid w:val="002D59D7"/>
    <w:rsid w:val="002D6014"/>
    <w:rsid w:val="002D6460"/>
    <w:rsid w:val="002D6794"/>
    <w:rsid w:val="002D6A85"/>
    <w:rsid w:val="002D6B80"/>
    <w:rsid w:val="002E0953"/>
    <w:rsid w:val="002E0E8D"/>
    <w:rsid w:val="002E1B03"/>
    <w:rsid w:val="002E1BE4"/>
    <w:rsid w:val="002E2AB4"/>
    <w:rsid w:val="002E2CC3"/>
    <w:rsid w:val="002E3149"/>
    <w:rsid w:val="002E3B76"/>
    <w:rsid w:val="002E44AA"/>
    <w:rsid w:val="002E46E9"/>
    <w:rsid w:val="002E48FF"/>
    <w:rsid w:val="002E503A"/>
    <w:rsid w:val="002E503D"/>
    <w:rsid w:val="002E56DB"/>
    <w:rsid w:val="002E59F6"/>
    <w:rsid w:val="002E5B7B"/>
    <w:rsid w:val="002E5DD0"/>
    <w:rsid w:val="002E62B3"/>
    <w:rsid w:val="002E6E08"/>
    <w:rsid w:val="002E7523"/>
    <w:rsid w:val="002F0721"/>
    <w:rsid w:val="002F073A"/>
    <w:rsid w:val="002F0998"/>
    <w:rsid w:val="002F0D5B"/>
    <w:rsid w:val="002F106B"/>
    <w:rsid w:val="002F1157"/>
    <w:rsid w:val="002F1223"/>
    <w:rsid w:val="002F1271"/>
    <w:rsid w:val="002F1932"/>
    <w:rsid w:val="002F1BD7"/>
    <w:rsid w:val="002F265D"/>
    <w:rsid w:val="002F2937"/>
    <w:rsid w:val="002F346F"/>
    <w:rsid w:val="002F3CA3"/>
    <w:rsid w:val="002F4004"/>
    <w:rsid w:val="002F47CC"/>
    <w:rsid w:val="002F551E"/>
    <w:rsid w:val="002F5E65"/>
    <w:rsid w:val="002F6049"/>
    <w:rsid w:val="002F64C7"/>
    <w:rsid w:val="002F71EC"/>
    <w:rsid w:val="002F77A1"/>
    <w:rsid w:val="002F7ACF"/>
    <w:rsid w:val="0030017C"/>
    <w:rsid w:val="00300438"/>
    <w:rsid w:val="0030088C"/>
    <w:rsid w:val="003009B8"/>
    <w:rsid w:val="00300AB4"/>
    <w:rsid w:val="00300B89"/>
    <w:rsid w:val="003010AB"/>
    <w:rsid w:val="00301448"/>
    <w:rsid w:val="00301626"/>
    <w:rsid w:val="00301B2C"/>
    <w:rsid w:val="003026A8"/>
    <w:rsid w:val="00303462"/>
    <w:rsid w:val="0030360C"/>
    <w:rsid w:val="00303745"/>
    <w:rsid w:val="00303AB9"/>
    <w:rsid w:val="003048B5"/>
    <w:rsid w:val="00304DD8"/>
    <w:rsid w:val="0030568A"/>
    <w:rsid w:val="003058E3"/>
    <w:rsid w:val="00305C6E"/>
    <w:rsid w:val="00305DB3"/>
    <w:rsid w:val="00306357"/>
    <w:rsid w:val="00306718"/>
    <w:rsid w:val="00306E0E"/>
    <w:rsid w:val="00307A62"/>
    <w:rsid w:val="00310FC6"/>
    <w:rsid w:val="0031128D"/>
    <w:rsid w:val="0031136A"/>
    <w:rsid w:val="00311424"/>
    <w:rsid w:val="00311917"/>
    <w:rsid w:val="00311F04"/>
    <w:rsid w:val="00312FD6"/>
    <w:rsid w:val="00313545"/>
    <w:rsid w:val="00313556"/>
    <w:rsid w:val="0031381C"/>
    <w:rsid w:val="00313889"/>
    <w:rsid w:val="00313B8D"/>
    <w:rsid w:val="00313CE6"/>
    <w:rsid w:val="00314469"/>
    <w:rsid w:val="003145D4"/>
    <w:rsid w:val="00314CBF"/>
    <w:rsid w:val="00314FC4"/>
    <w:rsid w:val="003158B9"/>
    <w:rsid w:val="00315F6A"/>
    <w:rsid w:val="00316753"/>
    <w:rsid w:val="00316766"/>
    <w:rsid w:val="00316A00"/>
    <w:rsid w:val="003176CF"/>
    <w:rsid w:val="00320217"/>
    <w:rsid w:val="00320CBB"/>
    <w:rsid w:val="003214B5"/>
    <w:rsid w:val="00321FC2"/>
    <w:rsid w:val="00322075"/>
    <w:rsid w:val="003225CE"/>
    <w:rsid w:val="00322A92"/>
    <w:rsid w:val="00322D4F"/>
    <w:rsid w:val="00322D9C"/>
    <w:rsid w:val="00323187"/>
    <w:rsid w:val="00323300"/>
    <w:rsid w:val="003238EA"/>
    <w:rsid w:val="00323B27"/>
    <w:rsid w:val="00324FE0"/>
    <w:rsid w:val="003256A6"/>
    <w:rsid w:val="0032600A"/>
    <w:rsid w:val="003260F2"/>
    <w:rsid w:val="003267FC"/>
    <w:rsid w:val="00326D6B"/>
    <w:rsid w:val="00326E83"/>
    <w:rsid w:val="00327471"/>
    <w:rsid w:val="00330F55"/>
    <w:rsid w:val="0033109B"/>
    <w:rsid w:val="003316CA"/>
    <w:rsid w:val="00331876"/>
    <w:rsid w:val="00331CAA"/>
    <w:rsid w:val="0033235B"/>
    <w:rsid w:val="00333D2C"/>
    <w:rsid w:val="00334408"/>
    <w:rsid w:val="003345F2"/>
    <w:rsid w:val="00335227"/>
    <w:rsid w:val="00335CD5"/>
    <w:rsid w:val="00336F40"/>
    <w:rsid w:val="003378C5"/>
    <w:rsid w:val="0034034A"/>
    <w:rsid w:val="003403B0"/>
    <w:rsid w:val="003408CC"/>
    <w:rsid w:val="00340D47"/>
    <w:rsid w:val="0034166E"/>
    <w:rsid w:val="00341E34"/>
    <w:rsid w:val="00344C5A"/>
    <w:rsid w:val="00344D14"/>
    <w:rsid w:val="00345399"/>
    <w:rsid w:val="00345A8A"/>
    <w:rsid w:val="00347605"/>
    <w:rsid w:val="00347840"/>
    <w:rsid w:val="00350863"/>
    <w:rsid w:val="00352A6D"/>
    <w:rsid w:val="00352DBD"/>
    <w:rsid w:val="0035398F"/>
    <w:rsid w:val="003540B0"/>
    <w:rsid w:val="003543DF"/>
    <w:rsid w:val="00355411"/>
    <w:rsid w:val="003554D0"/>
    <w:rsid w:val="00355527"/>
    <w:rsid w:val="00355596"/>
    <w:rsid w:val="00355918"/>
    <w:rsid w:val="00355A4B"/>
    <w:rsid w:val="003565DB"/>
    <w:rsid w:val="00356D6F"/>
    <w:rsid w:val="00357C0E"/>
    <w:rsid w:val="003615B5"/>
    <w:rsid w:val="00361EBC"/>
    <w:rsid w:val="0036207C"/>
    <w:rsid w:val="00362674"/>
    <w:rsid w:val="00362968"/>
    <w:rsid w:val="0036312B"/>
    <w:rsid w:val="003632AA"/>
    <w:rsid w:val="00363D87"/>
    <w:rsid w:val="003652D6"/>
    <w:rsid w:val="00367E76"/>
    <w:rsid w:val="0037083B"/>
    <w:rsid w:val="00370D79"/>
    <w:rsid w:val="00371288"/>
    <w:rsid w:val="003714B7"/>
    <w:rsid w:val="00371770"/>
    <w:rsid w:val="003717D3"/>
    <w:rsid w:val="00371CD3"/>
    <w:rsid w:val="00372603"/>
    <w:rsid w:val="003730DD"/>
    <w:rsid w:val="00373894"/>
    <w:rsid w:val="00373DA3"/>
    <w:rsid w:val="00373EB4"/>
    <w:rsid w:val="003749CE"/>
    <w:rsid w:val="003752CB"/>
    <w:rsid w:val="00375B41"/>
    <w:rsid w:val="00375D52"/>
    <w:rsid w:val="00376115"/>
    <w:rsid w:val="00376E80"/>
    <w:rsid w:val="00377551"/>
    <w:rsid w:val="003779BB"/>
    <w:rsid w:val="003806B5"/>
    <w:rsid w:val="003808B4"/>
    <w:rsid w:val="00380ABA"/>
    <w:rsid w:val="00381283"/>
    <w:rsid w:val="00384442"/>
    <w:rsid w:val="003845A1"/>
    <w:rsid w:val="00384A44"/>
    <w:rsid w:val="00384CF4"/>
    <w:rsid w:val="00385674"/>
    <w:rsid w:val="0038569B"/>
    <w:rsid w:val="00385C6F"/>
    <w:rsid w:val="003863D9"/>
    <w:rsid w:val="00386DBE"/>
    <w:rsid w:val="00390162"/>
    <w:rsid w:val="00390237"/>
    <w:rsid w:val="003904D4"/>
    <w:rsid w:val="00390B21"/>
    <w:rsid w:val="00390BDC"/>
    <w:rsid w:val="00390EF1"/>
    <w:rsid w:val="003918A5"/>
    <w:rsid w:val="003919A2"/>
    <w:rsid w:val="00391DC1"/>
    <w:rsid w:val="00392408"/>
    <w:rsid w:val="003927D2"/>
    <w:rsid w:val="0039286A"/>
    <w:rsid w:val="00392DF2"/>
    <w:rsid w:val="003933D9"/>
    <w:rsid w:val="0039368D"/>
    <w:rsid w:val="00393895"/>
    <w:rsid w:val="00393AF5"/>
    <w:rsid w:val="00394445"/>
    <w:rsid w:val="00394671"/>
    <w:rsid w:val="00394D38"/>
    <w:rsid w:val="003962BD"/>
    <w:rsid w:val="003965F2"/>
    <w:rsid w:val="00396A5D"/>
    <w:rsid w:val="00396EAB"/>
    <w:rsid w:val="0039714E"/>
    <w:rsid w:val="003A04A7"/>
    <w:rsid w:val="003A065E"/>
    <w:rsid w:val="003A1843"/>
    <w:rsid w:val="003A2088"/>
    <w:rsid w:val="003A21B4"/>
    <w:rsid w:val="003A2624"/>
    <w:rsid w:val="003A2A85"/>
    <w:rsid w:val="003A30E6"/>
    <w:rsid w:val="003A3884"/>
    <w:rsid w:val="003A50E4"/>
    <w:rsid w:val="003A5361"/>
    <w:rsid w:val="003A53C4"/>
    <w:rsid w:val="003A597A"/>
    <w:rsid w:val="003A7EF1"/>
    <w:rsid w:val="003B0272"/>
    <w:rsid w:val="003B0D5A"/>
    <w:rsid w:val="003B1BA1"/>
    <w:rsid w:val="003B1CD3"/>
    <w:rsid w:val="003B1D5B"/>
    <w:rsid w:val="003B1E57"/>
    <w:rsid w:val="003B214B"/>
    <w:rsid w:val="003B23CF"/>
    <w:rsid w:val="003B24AB"/>
    <w:rsid w:val="003B28F8"/>
    <w:rsid w:val="003B2BE8"/>
    <w:rsid w:val="003B31EC"/>
    <w:rsid w:val="003B32BB"/>
    <w:rsid w:val="003B350D"/>
    <w:rsid w:val="003B485F"/>
    <w:rsid w:val="003B4A2A"/>
    <w:rsid w:val="003B4DF5"/>
    <w:rsid w:val="003B5251"/>
    <w:rsid w:val="003B589E"/>
    <w:rsid w:val="003B5E8E"/>
    <w:rsid w:val="003B5FC9"/>
    <w:rsid w:val="003B603A"/>
    <w:rsid w:val="003B6615"/>
    <w:rsid w:val="003B6C40"/>
    <w:rsid w:val="003B6FB7"/>
    <w:rsid w:val="003B700F"/>
    <w:rsid w:val="003B7160"/>
    <w:rsid w:val="003B7D1B"/>
    <w:rsid w:val="003C0114"/>
    <w:rsid w:val="003C03B9"/>
    <w:rsid w:val="003C0CDE"/>
    <w:rsid w:val="003C14F5"/>
    <w:rsid w:val="003C1866"/>
    <w:rsid w:val="003C1E3D"/>
    <w:rsid w:val="003C22BD"/>
    <w:rsid w:val="003C2EF0"/>
    <w:rsid w:val="003C3E05"/>
    <w:rsid w:val="003C43D4"/>
    <w:rsid w:val="003C503D"/>
    <w:rsid w:val="003C576A"/>
    <w:rsid w:val="003C6354"/>
    <w:rsid w:val="003C6576"/>
    <w:rsid w:val="003C6A50"/>
    <w:rsid w:val="003C6BB4"/>
    <w:rsid w:val="003C6E6B"/>
    <w:rsid w:val="003D0C32"/>
    <w:rsid w:val="003D0C3C"/>
    <w:rsid w:val="003D1158"/>
    <w:rsid w:val="003D11C2"/>
    <w:rsid w:val="003D15F6"/>
    <w:rsid w:val="003D2757"/>
    <w:rsid w:val="003D2C32"/>
    <w:rsid w:val="003D3027"/>
    <w:rsid w:val="003D3A5F"/>
    <w:rsid w:val="003D3CA0"/>
    <w:rsid w:val="003D3DE0"/>
    <w:rsid w:val="003D3E4F"/>
    <w:rsid w:val="003D5588"/>
    <w:rsid w:val="003D5F86"/>
    <w:rsid w:val="003D68FB"/>
    <w:rsid w:val="003D784E"/>
    <w:rsid w:val="003D78B8"/>
    <w:rsid w:val="003E0AA6"/>
    <w:rsid w:val="003E1068"/>
    <w:rsid w:val="003E2CD8"/>
    <w:rsid w:val="003E30E0"/>
    <w:rsid w:val="003E4746"/>
    <w:rsid w:val="003E4E6A"/>
    <w:rsid w:val="003E50D4"/>
    <w:rsid w:val="003E51A8"/>
    <w:rsid w:val="003E6B35"/>
    <w:rsid w:val="003E6F9E"/>
    <w:rsid w:val="003F02EF"/>
    <w:rsid w:val="003F0DB5"/>
    <w:rsid w:val="003F124B"/>
    <w:rsid w:val="003F1B88"/>
    <w:rsid w:val="003F1E71"/>
    <w:rsid w:val="003F27F2"/>
    <w:rsid w:val="003F2BA3"/>
    <w:rsid w:val="003F2F07"/>
    <w:rsid w:val="003F2F43"/>
    <w:rsid w:val="003F3426"/>
    <w:rsid w:val="003F34B9"/>
    <w:rsid w:val="003F63D7"/>
    <w:rsid w:val="003F657D"/>
    <w:rsid w:val="003F77DA"/>
    <w:rsid w:val="003F7FD3"/>
    <w:rsid w:val="004000F3"/>
    <w:rsid w:val="00400B2A"/>
    <w:rsid w:val="004017BE"/>
    <w:rsid w:val="00402213"/>
    <w:rsid w:val="0040228B"/>
    <w:rsid w:val="00402DEC"/>
    <w:rsid w:val="00403543"/>
    <w:rsid w:val="00403DEA"/>
    <w:rsid w:val="00403F3F"/>
    <w:rsid w:val="0040416D"/>
    <w:rsid w:val="0040517A"/>
    <w:rsid w:val="00405C75"/>
    <w:rsid w:val="00405CBF"/>
    <w:rsid w:val="004063AE"/>
    <w:rsid w:val="0040658F"/>
    <w:rsid w:val="00406BAC"/>
    <w:rsid w:val="00407BC5"/>
    <w:rsid w:val="00410E19"/>
    <w:rsid w:val="00410F31"/>
    <w:rsid w:val="004111B7"/>
    <w:rsid w:val="0041176B"/>
    <w:rsid w:val="0041225A"/>
    <w:rsid w:val="0041319F"/>
    <w:rsid w:val="004131B3"/>
    <w:rsid w:val="00413AC9"/>
    <w:rsid w:val="00414F17"/>
    <w:rsid w:val="004153D0"/>
    <w:rsid w:val="00417B6D"/>
    <w:rsid w:val="00420450"/>
    <w:rsid w:val="0042047B"/>
    <w:rsid w:val="0042050B"/>
    <w:rsid w:val="004205B1"/>
    <w:rsid w:val="00420C67"/>
    <w:rsid w:val="00421946"/>
    <w:rsid w:val="00421AB2"/>
    <w:rsid w:val="0042378A"/>
    <w:rsid w:val="00424E1B"/>
    <w:rsid w:val="00424F98"/>
    <w:rsid w:val="004255B0"/>
    <w:rsid w:val="004258A1"/>
    <w:rsid w:val="00425905"/>
    <w:rsid w:val="00425BF0"/>
    <w:rsid w:val="00426CF4"/>
    <w:rsid w:val="00426E56"/>
    <w:rsid w:val="004273E5"/>
    <w:rsid w:val="004273ED"/>
    <w:rsid w:val="0043066F"/>
    <w:rsid w:val="00430CDC"/>
    <w:rsid w:val="00432967"/>
    <w:rsid w:val="00432AFD"/>
    <w:rsid w:val="00432D9A"/>
    <w:rsid w:val="00433020"/>
    <w:rsid w:val="0043304C"/>
    <w:rsid w:val="00433139"/>
    <w:rsid w:val="004346C4"/>
    <w:rsid w:val="0043609C"/>
    <w:rsid w:val="004367C5"/>
    <w:rsid w:val="004375EA"/>
    <w:rsid w:val="004379DB"/>
    <w:rsid w:val="00437BFD"/>
    <w:rsid w:val="00437E85"/>
    <w:rsid w:val="00440F50"/>
    <w:rsid w:val="00441663"/>
    <w:rsid w:val="004421C4"/>
    <w:rsid w:val="004429BA"/>
    <w:rsid w:val="00442E47"/>
    <w:rsid w:val="004443D6"/>
    <w:rsid w:val="00444E18"/>
    <w:rsid w:val="004452F7"/>
    <w:rsid w:val="004459F2"/>
    <w:rsid w:val="004465F8"/>
    <w:rsid w:val="004469EB"/>
    <w:rsid w:val="00446B65"/>
    <w:rsid w:val="004501EA"/>
    <w:rsid w:val="004502AA"/>
    <w:rsid w:val="00450613"/>
    <w:rsid w:val="00450C22"/>
    <w:rsid w:val="00450CB0"/>
    <w:rsid w:val="00451183"/>
    <w:rsid w:val="00451C83"/>
    <w:rsid w:val="00452449"/>
    <w:rsid w:val="00452598"/>
    <w:rsid w:val="004528E1"/>
    <w:rsid w:val="00452FAB"/>
    <w:rsid w:val="00453004"/>
    <w:rsid w:val="00453691"/>
    <w:rsid w:val="0045378F"/>
    <w:rsid w:val="00453887"/>
    <w:rsid w:val="00453DEE"/>
    <w:rsid w:val="00453EF1"/>
    <w:rsid w:val="0045444A"/>
    <w:rsid w:val="004546DF"/>
    <w:rsid w:val="00454C25"/>
    <w:rsid w:val="00454D15"/>
    <w:rsid w:val="00454E0C"/>
    <w:rsid w:val="00455593"/>
    <w:rsid w:val="00455633"/>
    <w:rsid w:val="00455789"/>
    <w:rsid w:val="0045583E"/>
    <w:rsid w:val="004566FF"/>
    <w:rsid w:val="00456D6D"/>
    <w:rsid w:val="004579D7"/>
    <w:rsid w:val="00460373"/>
    <w:rsid w:val="00460929"/>
    <w:rsid w:val="00460BE3"/>
    <w:rsid w:val="00461E92"/>
    <w:rsid w:val="00464320"/>
    <w:rsid w:val="004658F4"/>
    <w:rsid w:val="00465945"/>
    <w:rsid w:val="00465F77"/>
    <w:rsid w:val="00466A63"/>
    <w:rsid w:val="004670FD"/>
    <w:rsid w:val="00467160"/>
    <w:rsid w:val="00467270"/>
    <w:rsid w:val="004674DC"/>
    <w:rsid w:val="0047050C"/>
    <w:rsid w:val="0047068D"/>
    <w:rsid w:val="004707CC"/>
    <w:rsid w:val="00470DBF"/>
    <w:rsid w:val="00470E95"/>
    <w:rsid w:val="004713EE"/>
    <w:rsid w:val="00472B2F"/>
    <w:rsid w:val="004730FC"/>
    <w:rsid w:val="00473691"/>
    <w:rsid w:val="00473BF5"/>
    <w:rsid w:val="00473DE4"/>
    <w:rsid w:val="00475399"/>
    <w:rsid w:val="00476097"/>
    <w:rsid w:val="004769A5"/>
    <w:rsid w:val="0047781F"/>
    <w:rsid w:val="00477B42"/>
    <w:rsid w:val="00477B9D"/>
    <w:rsid w:val="0048036A"/>
    <w:rsid w:val="00480750"/>
    <w:rsid w:val="00480BE9"/>
    <w:rsid w:val="0048146E"/>
    <w:rsid w:val="00481BD3"/>
    <w:rsid w:val="00482FAF"/>
    <w:rsid w:val="0048397C"/>
    <w:rsid w:val="0048417F"/>
    <w:rsid w:val="00484286"/>
    <w:rsid w:val="00484F9B"/>
    <w:rsid w:val="00484F9E"/>
    <w:rsid w:val="004864A1"/>
    <w:rsid w:val="00486518"/>
    <w:rsid w:val="0048756D"/>
    <w:rsid w:val="004911CF"/>
    <w:rsid w:val="0049171E"/>
    <w:rsid w:val="00491A75"/>
    <w:rsid w:val="004926A1"/>
    <w:rsid w:val="00492B36"/>
    <w:rsid w:val="00494AD1"/>
    <w:rsid w:val="00494D81"/>
    <w:rsid w:val="004959AA"/>
    <w:rsid w:val="00497F79"/>
    <w:rsid w:val="00497FFD"/>
    <w:rsid w:val="004A0001"/>
    <w:rsid w:val="004A0633"/>
    <w:rsid w:val="004A0A87"/>
    <w:rsid w:val="004A0BAE"/>
    <w:rsid w:val="004A0CE6"/>
    <w:rsid w:val="004A0F59"/>
    <w:rsid w:val="004A1132"/>
    <w:rsid w:val="004A1274"/>
    <w:rsid w:val="004A1B0B"/>
    <w:rsid w:val="004A1C14"/>
    <w:rsid w:val="004A26BF"/>
    <w:rsid w:val="004A32E7"/>
    <w:rsid w:val="004A3E72"/>
    <w:rsid w:val="004A42E5"/>
    <w:rsid w:val="004A4842"/>
    <w:rsid w:val="004A4C25"/>
    <w:rsid w:val="004A5F5D"/>
    <w:rsid w:val="004A6595"/>
    <w:rsid w:val="004A7783"/>
    <w:rsid w:val="004B1BB7"/>
    <w:rsid w:val="004B1E96"/>
    <w:rsid w:val="004B214A"/>
    <w:rsid w:val="004B2829"/>
    <w:rsid w:val="004B2A57"/>
    <w:rsid w:val="004B3967"/>
    <w:rsid w:val="004B3C20"/>
    <w:rsid w:val="004B4627"/>
    <w:rsid w:val="004B5693"/>
    <w:rsid w:val="004B783A"/>
    <w:rsid w:val="004B7DA2"/>
    <w:rsid w:val="004C00D6"/>
    <w:rsid w:val="004C0609"/>
    <w:rsid w:val="004C0914"/>
    <w:rsid w:val="004C0FB7"/>
    <w:rsid w:val="004C1182"/>
    <w:rsid w:val="004C13F9"/>
    <w:rsid w:val="004C3CE0"/>
    <w:rsid w:val="004C3DB2"/>
    <w:rsid w:val="004C3F8E"/>
    <w:rsid w:val="004C40BA"/>
    <w:rsid w:val="004C58FB"/>
    <w:rsid w:val="004C5D9E"/>
    <w:rsid w:val="004C6242"/>
    <w:rsid w:val="004C7171"/>
    <w:rsid w:val="004C76AC"/>
    <w:rsid w:val="004C7FD9"/>
    <w:rsid w:val="004D14AF"/>
    <w:rsid w:val="004D1700"/>
    <w:rsid w:val="004D1A7A"/>
    <w:rsid w:val="004D2447"/>
    <w:rsid w:val="004D26F7"/>
    <w:rsid w:val="004D27D8"/>
    <w:rsid w:val="004D2E27"/>
    <w:rsid w:val="004D2FCB"/>
    <w:rsid w:val="004D324D"/>
    <w:rsid w:val="004D3472"/>
    <w:rsid w:val="004D42AE"/>
    <w:rsid w:val="004D56A3"/>
    <w:rsid w:val="004D72D5"/>
    <w:rsid w:val="004D769A"/>
    <w:rsid w:val="004E00BB"/>
    <w:rsid w:val="004E14F1"/>
    <w:rsid w:val="004E16FB"/>
    <w:rsid w:val="004E187A"/>
    <w:rsid w:val="004E1EC8"/>
    <w:rsid w:val="004E229E"/>
    <w:rsid w:val="004E237F"/>
    <w:rsid w:val="004E2CAD"/>
    <w:rsid w:val="004E5DE5"/>
    <w:rsid w:val="004E635C"/>
    <w:rsid w:val="004E680F"/>
    <w:rsid w:val="004E7186"/>
    <w:rsid w:val="004E7794"/>
    <w:rsid w:val="004E7C59"/>
    <w:rsid w:val="004E7E96"/>
    <w:rsid w:val="004F00E7"/>
    <w:rsid w:val="004F1887"/>
    <w:rsid w:val="004F1AE4"/>
    <w:rsid w:val="004F2394"/>
    <w:rsid w:val="004F3E93"/>
    <w:rsid w:val="004F491C"/>
    <w:rsid w:val="004F57E3"/>
    <w:rsid w:val="004F6AF7"/>
    <w:rsid w:val="004F6BE0"/>
    <w:rsid w:val="004F6CD6"/>
    <w:rsid w:val="004F6DF8"/>
    <w:rsid w:val="004F74DD"/>
    <w:rsid w:val="0050077F"/>
    <w:rsid w:val="005024B0"/>
    <w:rsid w:val="00502526"/>
    <w:rsid w:val="0050301E"/>
    <w:rsid w:val="00503E61"/>
    <w:rsid w:val="00504CD0"/>
    <w:rsid w:val="005050B1"/>
    <w:rsid w:val="00505435"/>
    <w:rsid w:val="005061C1"/>
    <w:rsid w:val="0050793D"/>
    <w:rsid w:val="00507AA0"/>
    <w:rsid w:val="005102B8"/>
    <w:rsid w:val="005105C4"/>
    <w:rsid w:val="00510919"/>
    <w:rsid w:val="005110BF"/>
    <w:rsid w:val="00511828"/>
    <w:rsid w:val="00512544"/>
    <w:rsid w:val="0051379A"/>
    <w:rsid w:val="005144EE"/>
    <w:rsid w:val="00514596"/>
    <w:rsid w:val="00514773"/>
    <w:rsid w:val="00515287"/>
    <w:rsid w:val="00515645"/>
    <w:rsid w:val="005157B6"/>
    <w:rsid w:val="00515D38"/>
    <w:rsid w:val="005161B2"/>
    <w:rsid w:val="0051648C"/>
    <w:rsid w:val="005179D7"/>
    <w:rsid w:val="00520597"/>
    <w:rsid w:val="00520738"/>
    <w:rsid w:val="0052094E"/>
    <w:rsid w:val="00521502"/>
    <w:rsid w:val="0052202F"/>
    <w:rsid w:val="00522758"/>
    <w:rsid w:val="005232D8"/>
    <w:rsid w:val="005249BC"/>
    <w:rsid w:val="00524CB0"/>
    <w:rsid w:val="00524CD1"/>
    <w:rsid w:val="00525DBD"/>
    <w:rsid w:val="00526D19"/>
    <w:rsid w:val="0053009B"/>
    <w:rsid w:val="00530446"/>
    <w:rsid w:val="0053099A"/>
    <w:rsid w:val="00531A83"/>
    <w:rsid w:val="00532216"/>
    <w:rsid w:val="005348E5"/>
    <w:rsid w:val="00534CFF"/>
    <w:rsid w:val="00534D7C"/>
    <w:rsid w:val="0053598D"/>
    <w:rsid w:val="00535B39"/>
    <w:rsid w:val="00536192"/>
    <w:rsid w:val="005366CB"/>
    <w:rsid w:val="0053684A"/>
    <w:rsid w:val="00536948"/>
    <w:rsid w:val="0053710A"/>
    <w:rsid w:val="00540041"/>
    <w:rsid w:val="00540414"/>
    <w:rsid w:val="005404C9"/>
    <w:rsid w:val="00540F01"/>
    <w:rsid w:val="005410A7"/>
    <w:rsid w:val="005420CC"/>
    <w:rsid w:val="00542A52"/>
    <w:rsid w:val="00542EF5"/>
    <w:rsid w:val="00543106"/>
    <w:rsid w:val="00543742"/>
    <w:rsid w:val="005440F9"/>
    <w:rsid w:val="0054491C"/>
    <w:rsid w:val="00545518"/>
    <w:rsid w:val="00545850"/>
    <w:rsid w:val="00545BF0"/>
    <w:rsid w:val="00547010"/>
    <w:rsid w:val="00547F15"/>
    <w:rsid w:val="00550159"/>
    <w:rsid w:val="00550A71"/>
    <w:rsid w:val="00551481"/>
    <w:rsid w:val="0055178F"/>
    <w:rsid w:val="0055240F"/>
    <w:rsid w:val="0055291A"/>
    <w:rsid w:val="00552FE8"/>
    <w:rsid w:val="005538E2"/>
    <w:rsid w:val="00553F87"/>
    <w:rsid w:val="00554619"/>
    <w:rsid w:val="00554CB8"/>
    <w:rsid w:val="0055533A"/>
    <w:rsid w:val="00555FA7"/>
    <w:rsid w:val="00556193"/>
    <w:rsid w:val="00556CC3"/>
    <w:rsid w:val="00556F35"/>
    <w:rsid w:val="005602D0"/>
    <w:rsid w:val="0056038E"/>
    <w:rsid w:val="005603E9"/>
    <w:rsid w:val="0056155C"/>
    <w:rsid w:val="00561585"/>
    <w:rsid w:val="0056182D"/>
    <w:rsid w:val="00562FF1"/>
    <w:rsid w:val="00563173"/>
    <w:rsid w:val="00563BBE"/>
    <w:rsid w:val="00563DC8"/>
    <w:rsid w:val="005644A8"/>
    <w:rsid w:val="0056531F"/>
    <w:rsid w:val="00565358"/>
    <w:rsid w:val="00565AAD"/>
    <w:rsid w:val="00565F02"/>
    <w:rsid w:val="00565F83"/>
    <w:rsid w:val="005662D0"/>
    <w:rsid w:val="0056695E"/>
    <w:rsid w:val="00567E04"/>
    <w:rsid w:val="0057015E"/>
    <w:rsid w:val="00570986"/>
    <w:rsid w:val="00571029"/>
    <w:rsid w:val="0057164B"/>
    <w:rsid w:val="00571C08"/>
    <w:rsid w:val="00572428"/>
    <w:rsid w:val="0057252E"/>
    <w:rsid w:val="00572D9F"/>
    <w:rsid w:val="00572F57"/>
    <w:rsid w:val="00573395"/>
    <w:rsid w:val="00573BB5"/>
    <w:rsid w:val="00576853"/>
    <w:rsid w:val="00576A6A"/>
    <w:rsid w:val="00576B0F"/>
    <w:rsid w:val="00576E82"/>
    <w:rsid w:val="00577045"/>
    <w:rsid w:val="00577187"/>
    <w:rsid w:val="005775CC"/>
    <w:rsid w:val="005778DD"/>
    <w:rsid w:val="005778E8"/>
    <w:rsid w:val="00577C3D"/>
    <w:rsid w:val="00580B11"/>
    <w:rsid w:val="00580ED9"/>
    <w:rsid w:val="00580F47"/>
    <w:rsid w:val="005830F9"/>
    <w:rsid w:val="00583225"/>
    <w:rsid w:val="00583533"/>
    <w:rsid w:val="00583AB8"/>
    <w:rsid w:val="00583E83"/>
    <w:rsid w:val="0058479B"/>
    <w:rsid w:val="00584CFE"/>
    <w:rsid w:val="005859AD"/>
    <w:rsid w:val="00586516"/>
    <w:rsid w:val="0058662C"/>
    <w:rsid w:val="00586F19"/>
    <w:rsid w:val="00586F24"/>
    <w:rsid w:val="00587148"/>
    <w:rsid w:val="00587474"/>
    <w:rsid w:val="0059004F"/>
    <w:rsid w:val="005900B0"/>
    <w:rsid w:val="00590AA3"/>
    <w:rsid w:val="00591346"/>
    <w:rsid w:val="00591974"/>
    <w:rsid w:val="005928EC"/>
    <w:rsid w:val="00592913"/>
    <w:rsid w:val="00592ED9"/>
    <w:rsid w:val="00592F12"/>
    <w:rsid w:val="0059350D"/>
    <w:rsid w:val="00593686"/>
    <w:rsid w:val="005944B6"/>
    <w:rsid w:val="00594C5A"/>
    <w:rsid w:val="00595726"/>
    <w:rsid w:val="00596319"/>
    <w:rsid w:val="00596729"/>
    <w:rsid w:val="00597861"/>
    <w:rsid w:val="005A0EC0"/>
    <w:rsid w:val="005A1321"/>
    <w:rsid w:val="005A1647"/>
    <w:rsid w:val="005A2306"/>
    <w:rsid w:val="005A2E40"/>
    <w:rsid w:val="005A2FAB"/>
    <w:rsid w:val="005A42E8"/>
    <w:rsid w:val="005A44C0"/>
    <w:rsid w:val="005A5AC8"/>
    <w:rsid w:val="005A5D15"/>
    <w:rsid w:val="005A5EE3"/>
    <w:rsid w:val="005A62A7"/>
    <w:rsid w:val="005A6FA0"/>
    <w:rsid w:val="005A77E5"/>
    <w:rsid w:val="005A78FE"/>
    <w:rsid w:val="005B03BD"/>
    <w:rsid w:val="005B071D"/>
    <w:rsid w:val="005B1785"/>
    <w:rsid w:val="005B26EA"/>
    <w:rsid w:val="005B29E4"/>
    <w:rsid w:val="005B2F57"/>
    <w:rsid w:val="005B3158"/>
    <w:rsid w:val="005B324F"/>
    <w:rsid w:val="005B3448"/>
    <w:rsid w:val="005B35F5"/>
    <w:rsid w:val="005B3759"/>
    <w:rsid w:val="005B3F62"/>
    <w:rsid w:val="005B4324"/>
    <w:rsid w:val="005B468E"/>
    <w:rsid w:val="005B47C2"/>
    <w:rsid w:val="005B4CA4"/>
    <w:rsid w:val="005B4D36"/>
    <w:rsid w:val="005B6639"/>
    <w:rsid w:val="005B695E"/>
    <w:rsid w:val="005B6D8E"/>
    <w:rsid w:val="005B76A4"/>
    <w:rsid w:val="005B77F5"/>
    <w:rsid w:val="005B7B7C"/>
    <w:rsid w:val="005B7B82"/>
    <w:rsid w:val="005B7F66"/>
    <w:rsid w:val="005C0C72"/>
    <w:rsid w:val="005C0D10"/>
    <w:rsid w:val="005C0F83"/>
    <w:rsid w:val="005C1480"/>
    <w:rsid w:val="005C187C"/>
    <w:rsid w:val="005C1E64"/>
    <w:rsid w:val="005C1E9B"/>
    <w:rsid w:val="005C24B9"/>
    <w:rsid w:val="005C323E"/>
    <w:rsid w:val="005C3616"/>
    <w:rsid w:val="005C469C"/>
    <w:rsid w:val="005C4A37"/>
    <w:rsid w:val="005C512C"/>
    <w:rsid w:val="005C5F9F"/>
    <w:rsid w:val="005C693E"/>
    <w:rsid w:val="005D0539"/>
    <w:rsid w:val="005D133A"/>
    <w:rsid w:val="005D1545"/>
    <w:rsid w:val="005D1639"/>
    <w:rsid w:val="005D176F"/>
    <w:rsid w:val="005D17F7"/>
    <w:rsid w:val="005D21B6"/>
    <w:rsid w:val="005D2295"/>
    <w:rsid w:val="005D26D3"/>
    <w:rsid w:val="005D2ED8"/>
    <w:rsid w:val="005D2F51"/>
    <w:rsid w:val="005D38FD"/>
    <w:rsid w:val="005D3DE0"/>
    <w:rsid w:val="005D42AF"/>
    <w:rsid w:val="005D6E07"/>
    <w:rsid w:val="005E0A89"/>
    <w:rsid w:val="005E0D02"/>
    <w:rsid w:val="005E1017"/>
    <w:rsid w:val="005E161C"/>
    <w:rsid w:val="005E2083"/>
    <w:rsid w:val="005E21C6"/>
    <w:rsid w:val="005E224E"/>
    <w:rsid w:val="005E29A9"/>
    <w:rsid w:val="005E345C"/>
    <w:rsid w:val="005E37C7"/>
    <w:rsid w:val="005E37DE"/>
    <w:rsid w:val="005E3F0A"/>
    <w:rsid w:val="005E45BA"/>
    <w:rsid w:val="005E47C4"/>
    <w:rsid w:val="005E5207"/>
    <w:rsid w:val="005E5CB0"/>
    <w:rsid w:val="005E64FF"/>
    <w:rsid w:val="005E65DA"/>
    <w:rsid w:val="005E6D2D"/>
    <w:rsid w:val="005E6F31"/>
    <w:rsid w:val="005E74BA"/>
    <w:rsid w:val="005E7915"/>
    <w:rsid w:val="005F0CF4"/>
    <w:rsid w:val="005F1232"/>
    <w:rsid w:val="005F193C"/>
    <w:rsid w:val="005F28D6"/>
    <w:rsid w:val="005F2D40"/>
    <w:rsid w:val="005F2DEB"/>
    <w:rsid w:val="005F316B"/>
    <w:rsid w:val="005F34C6"/>
    <w:rsid w:val="005F4D65"/>
    <w:rsid w:val="005F5271"/>
    <w:rsid w:val="005F6429"/>
    <w:rsid w:val="005F66DD"/>
    <w:rsid w:val="005F6935"/>
    <w:rsid w:val="005F755E"/>
    <w:rsid w:val="005F793F"/>
    <w:rsid w:val="005F7A91"/>
    <w:rsid w:val="0060172E"/>
    <w:rsid w:val="00601B72"/>
    <w:rsid w:val="00601F95"/>
    <w:rsid w:val="006027E3"/>
    <w:rsid w:val="00602D7D"/>
    <w:rsid w:val="006044E8"/>
    <w:rsid w:val="006058E4"/>
    <w:rsid w:val="0060659B"/>
    <w:rsid w:val="006065CC"/>
    <w:rsid w:val="00606A09"/>
    <w:rsid w:val="0060707E"/>
    <w:rsid w:val="00607C56"/>
    <w:rsid w:val="00610F9B"/>
    <w:rsid w:val="0061126A"/>
    <w:rsid w:val="00611695"/>
    <w:rsid w:val="00611E1E"/>
    <w:rsid w:val="00611F92"/>
    <w:rsid w:val="00612058"/>
    <w:rsid w:val="006126DF"/>
    <w:rsid w:val="00612F80"/>
    <w:rsid w:val="00613E6D"/>
    <w:rsid w:val="00614913"/>
    <w:rsid w:val="00614BCB"/>
    <w:rsid w:val="00616960"/>
    <w:rsid w:val="00617057"/>
    <w:rsid w:val="006175B1"/>
    <w:rsid w:val="0061779A"/>
    <w:rsid w:val="006204FE"/>
    <w:rsid w:val="0062198B"/>
    <w:rsid w:val="00622252"/>
    <w:rsid w:val="00622D86"/>
    <w:rsid w:val="00623CB9"/>
    <w:rsid w:val="006242FA"/>
    <w:rsid w:val="00624DD7"/>
    <w:rsid w:val="0062593B"/>
    <w:rsid w:val="00625BFD"/>
    <w:rsid w:val="00625C40"/>
    <w:rsid w:val="0062659F"/>
    <w:rsid w:val="00627A93"/>
    <w:rsid w:val="00627E0E"/>
    <w:rsid w:val="006300A4"/>
    <w:rsid w:val="006300EF"/>
    <w:rsid w:val="00631106"/>
    <w:rsid w:val="00631A5A"/>
    <w:rsid w:val="00634FCA"/>
    <w:rsid w:val="006354E4"/>
    <w:rsid w:val="00635DA4"/>
    <w:rsid w:val="00636EC1"/>
    <w:rsid w:val="00637514"/>
    <w:rsid w:val="00640394"/>
    <w:rsid w:val="0064062F"/>
    <w:rsid w:val="006406DE"/>
    <w:rsid w:val="00640ACB"/>
    <w:rsid w:val="00640BF3"/>
    <w:rsid w:val="00640CDE"/>
    <w:rsid w:val="00640F7D"/>
    <w:rsid w:val="006410E3"/>
    <w:rsid w:val="00641E9A"/>
    <w:rsid w:val="0064221B"/>
    <w:rsid w:val="006423E0"/>
    <w:rsid w:val="006424E1"/>
    <w:rsid w:val="0064286F"/>
    <w:rsid w:val="00642B43"/>
    <w:rsid w:val="00642E96"/>
    <w:rsid w:val="0064394B"/>
    <w:rsid w:val="006440F3"/>
    <w:rsid w:val="006452EA"/>
    <w:rsid w:val="0064705D"/>
    <w:rsid w:val="0064731F"/>
    <w:rsid w:val="006473AD"/>
    <w:rsid w:val="00650349"/>
    <w:rsid w:val="00651319"/>
    <w:rsid w:val="0065267C"/>
    <w:rsid w:val="00653785"/>
    <w:rsid w:val="0065438C"/>
    <w:rsid w:val="00654775"/>
    <w:rsid w:val="00656361"/>
    <w:rsid w:val="00656C47"/>
    <w:rsid w:val="00656F64"/>
    <w:rsid w:val="006573BE"/>
    <w:rsid w:val="006600AC"/>
    <w:rsid w:val="00660631"/>
    <w:rsid w:val="0066129D"/>
    <w:rsid w:val="0066145B"/>
    <w:rsid w:val="006618B8"/>
    <w:rsid w:val="00661C4E"/>
    <w:rsid w:val="006622DF"/>
    <w:rsid w:val="0066299C"/>
    <w:rsid w:val="00662E86"/>
    <w:rsid w:val="006641AB"/>
    <w:rsid w:val="006647F8"/>
    <w:rsid w:val="00664A21"/>
    <w:rsid w:val="00665389"/>
    <w:rsid w:val="006661BB"/>
    <w:rsid w:val="00666827"/>
    <w:rsid w:val="00666954"/>
    <w:rsid w:val="00666AE5"/>
    <w:rsid w:val="00667D29"/>
    <w:rsid w:val="0067009B"/>
    <w:rsid w:val="00670542"/>
    <w:rsid w:val="00670E7D"/>
    <w:rsid w:val="00670EA6"/>
    <w:rsid w:val="00671924"/>
    <w:rsid w:val="00671CA9"/>
    <w:rsid w:val="006720AC"/>
    <w:rsid w:val="006724CD"/>
    <w:rsid w:val="00673127"/>
    <w:rsid w:val="006737A1"/>
    <w:rsid w:val="006744CE"/>
    <w:rsid w:val="00674DC2"/>
    <w:rsid w:val="006766A1"/>
    <w:rsid w:val="00676BF7"/>
    <w:rsid w:val="00676DEB"/>
    <w:rsid w:val="00676FEC"/>
    <w:rsid w:val="00677C40"/>
    <w:rsid w:val="00677FB5"/>
    <w:rsid w:val="00680241"/>
    <w:rsid w:val="006808A0"/>
    <w:rsid w:val="006815FE"/>
    <w:rsid w:val="00682381"/>
    <w:rsid w:val="0068293F"/>
    <w:rsid w:val="00682D08"/>
    <w:rsid w:val="0068371D"/>
    <w:rsid w:val="00683E8A"/>
    <w:rsid w:val="0068412B"/>
    <w:rsid w:val="006854C6"/>
    <w:rsid w:val="006862E1"/>
    <w:rsid w:val="006867C4"/>
    <w:rsid w:val="00686BE3"/>
    <w:rsid w:val="00687A11"/>
    <w:rsid w:val="00690D09"/>
    <w:rsid w:val="0069259F"/>
    <w:rsid w:val="00693103"/>
    <w:rsid w:val="00693C0B"/>
    <w:rsid w:val="00693EA0"/>
    <w:rsid w:val="00693ECA"/>
    <w:rsid w:val="0069445D"/>
    <w:rsid w:val="0069485A"/>
    <w:rsid w:val="006957D5"/>
    <w:rsid w:val="006A01D8"/>
    <w:rsid w:val="006A1665"/>
    <w:rsid w:val="006A17C8"/>
    <w:rsid w:val="006A1BD4"/>
    <w:rsid w:val="006A20DF"/>
    <w:rsid w:val="006A24F2"/>
    <w:rsid w:val="006A422D"/>
    <w:rsid w:val="006A4861"/>
    <w:rsid w:val="006A5B27"/>
    <w:rsid w:val="006A652F"/>
    <w:rsid w:val="006A6628"/>
    <w:rsid w:val="006A69CF"/>
    <w:rsid w:val="006A6E20"/>
    <w:rsid w:val="006A7113"/>
    <w:rsid w:val="006A715D"/>
    <w:rsid w:val="006A7282"/>
    <w:rsid w:val="006A7801"/>
    <w:rsid w:val="006A7FA7"/>
    <w:rsid w:val="006B1035"/>
    <w:rsid w:val="006B107A"/>
    <w:rsid w:val="006B148B"/>
    <w:rsid w:val="006B2642"/>
    <w:rsid w:val="006B2DFD"/>
    <w:rsid w:val="006B2F38"/>
    <w:rsid w:val="006B3D50"/>
    <w:rsid w:val="006B5C72"/>
    <w:rsid w:val="006B61F1"/>
    <w:rsid w:val="006B626F"/>
    <w:rsid w:val="006B64E4"/>
    <w:rsid w:val="006B73AF"/>
    <w:rsid w:val="006B7B49"/>
    <w:rsid w:val="006C0AB6"/>
    <w:rsid w:val="006C141D"/>
    <w:rsid w:val="006C1429"/>
    <w:rsid w:val="006C1455"/>
    <w:rsid w:val="006C17C6"/>
    <w:rsid w:val="006C1AAD"/>
    <w:rsid w:val="006C21C9"/>
    <w:rsid w:val="006C2238"/>
    <w:rsid w:val="006C2F07"/>
    <w:rsid w:val="006C3070"/>
    <w:rsid w:val="006C392F"/>
    <w:rsid w:val="006C3BBC"/>
    <w:rsid w:val="006C5126"/>
    <w:rsid w:val="006C7839"/>
    <w:rsid w:val="006C78BD"/>
    <w:rsid w:val="006C7ED0"/>
    <w:rsid w:val="006D0B2A"/>
    <w:rsid w:val="006D0D51"/>
    <w:rsid w:val="006D0EAD"/>
    <w:rsid w:val="006D1855"/>
    <w:rsid w:val="006D1D78"/>
    <w:rsid w:val="006D1ECF"/>
    <w:rsid w:val="006D3270"/>
    <w:rsid w:val="006D394D"/>
    <w:rsid w:val="006D420B"/>
    <w:rsid w:val="006D45AB"/>
    <w:rsid w:val="006D500C"/>
    <w:rsid w:val="006D506A"/>
    <w:rsid w:val="006D639D"/>
    <w:rsid w:val="006D7BC9"/>
    <w:rsid w:val="006D7FD4"/>
    <w:rsid w:val="006E0350"/>
    <w:rsid w:val="006E06A0"/>
    <w:rsid w:val="006E08AE"/>
    <w:rsid w:val="006E0FD6"/>
    <w:rsid w:val="006E0FE0"/>
    <w:rsid w:val="006E1166"/>
    <w:rsid w:val="006E1808"/>
    <w:rsid w:val="006E1F88"/>
    <w:rsid w:val="006E2F0F"/>
    <w:rsid w:val="006E3101"/>
    <w:rsid w:val="006E45F3"/>
    <w:rsid w:val="006E4B70"/>
    <w:rsid w:val="006E4D5A"/>
    <w:rsid w:val="006E5247"/>
    <w:rsid w:val="006E55AF"/>
    <w:rsid w:val="006E59A3"/>
    <w:rsid w:val="006E7F02"/>
    <w:rsid w:val="006F0C8D"/>
    <w:rsid w:val="006F17B0"/>
    <w:rsid w:val="006F1B4C"/>
    <w:rsid w:val="006F2C83"/>
    <w:rsid w:val="006F2CF7"/>
    <w:rsid w:val="006F2F15"/>
    <w:rsid w:val="006F37C5"/>
    <w:rsid w:val="006F3990"/>
    <w:rsid w:val="006F3CA0"/>
    <w:rsid w:val="006F4851"/>
    <w:rsid w:val="006F5D39"/>
    <w:rsid w:val="006F6021"/>
    <w:rsid w:val="006F609F"/>
    <w:rsid w:val="006F62C3"/>
    <w:rsid w:val="006F6821"/>
    <w:rsid w:val="006F6BBA"/>
    <w:rsid w:val="006F7286"/>
    <w:rsid w:val="006F7CA8"/>
    <w:rsid w:val="007000C7"/>
    <w:rsid w:val="00700B48"/>
    <w:rsid w:val="00700B9F"/>
    <w:rsid w:val="00701912"/>
    <w:rsid w:val="00701D92"/>
    <w:rsid w:val="0070213E"/>
    <w:rsid w:val="00703A9F"/>
    <w:rsid w:val="0070569B"/>
    <w:rsid w:val="00705A04"/>
    <w:rsid w:val="00705D40"/>
    <w:rsid w:val="00707511"/>
    <w:rsid w:val="00707B54"/>
    <w:rsid w:val="00707B67"/>
    <w:rsid w:val="0071071E"/>
    <w:rsid w:val="00710CA4"/>
    <w:rsid w:val="00710CAC"/>
    <w:rsid w:val="0071279F"/>
    <w:rsid w:val="0071318F"/>
    <w:rsid w:val="007146EB"/>
    <w:rsid w:val="00714B1B"/>
    <w:rsid w:val="00715EBC"/>
    <w:rsid w:val="00716674"/>
    <w:rsid w:val="00716677"/>
    <w:rsid w:val="007169CA"/>
    <w:rsid w:val="00717662"/>
    <w:rsid w:val="00717854"/>
    <w:rsid w:val="00717A3D"/>
    <w:rsid w:val="00717BB8"/>
    <w:rsid w:val="00717C1D"/>
    <w:rsid w:val="00717F28"/>
    <w:rsid w:val="007200B5"/>
    <w:rsid w:val="00722A03"/>
    <w:rsid w:val="00723371"/>
    <w:rsid w:val="007233A5"/>
    <w:rsid w:val="00723A5F"/>
    <w:rsid w:val="00723DB0"/>
    <w:rsid w:val="00723F7F"/>
    <w:rsid w:val="00723F9A"/>
    <w:rsid w:val="00723FD8"/>
    <w:rsid w:val="007251C4"/>
    <w:rsid w:val="00725F38"/>
    <w:rsid w:val="00726ACC"/>
    <w:rsid w:val="00727767"/>
    <w:rsid w:val="00727EA2"/>
    <w:rsid w:val="007304B1"/>
    <w:rsid w:val="00730573"/>
    <w:rsid w:val="00730D5F"/>
    <w:rsid w:val="007311B4"/>
    <w:rsid w:val="00731FAA"/>
    <w:rsid w:val="007326C8"/>
    <w:rsid w:val="00732E09"/>
    <w:rsid w:val="007334A5"/>
    <w:rsid w:val="007341AF"/>
    <w:rsid w:val="00734AFC"/>
    <w:rsid w:val="00734D9A"/>
    <w:rsid w:val="00735456"/>
    <w:rsid w:val="00735F1A"/>
    <w:rsid w:val="0073625E"/>
    <w:rsid w:val="00737D56"/>
    <w:rsid w:val="00741268"/>
    <w:rsid w:val="00741849"/>
    <w:rsid w:val="00741881"/>
    <w:rsid w:val="007420F6"/>
    <w:rsid w:val="007423F9"/>
    <w:rsid w:val="007429EA"/>
    <w:rsid w:val="00742B53"/>
    <w:rsid w:val="00743F65"/>
    <w:rsid w:val="007449B6"/>
    <w:rsid w:val="00744C42"/>
    <w:rsid w:val="00744C5E"/>
    <w:rsid w:val="00745503"/>
    <w:rsid w:val="007463B1"/>
    <w:rsid w:val="0074643A"/>
    <w:rsid w:val="007465BD"/>
    <w:rsid w:val="0074698C"/>
    <w:rsid w:val="007503A3"/>
    <w:rsid w:val="00750512"/>
    <w:rsid w:val="0075088C"/>
    <w:rsid w:val="00750EBE"/>
    <w:rsid w:val="00750F8A"/>
    <w:rsid w:val="00751151"/>
    <w:rsid w:val="0075121C"/>
    <w:rsid w:val="00752508"/>
    <w:rsid w:val="00752872"/>
    <w:rsid w:val="0075376C"/>
    <w:rsid w:val="00754318"/>
    <w:rsid w:val="0075448D"/>
    <w:rsid w:val="00755F74"/>
    <w:rsid w:val="00756128"/>
    <w:rsid w:val="00756C29"/>
    <w:rsid w:val="0075747C"/>
    <w:rsid w:val="00757C22"/>
    <w:rsid w:val="007605E3"/>
    <w:rsid w:val="007607E9"/>
    <w:rsid w:val="0076116C"/>
    <w:rsid w:val="007621B8"/>
    <w:rsid w:val="00762C4B"/>
    <w:rsid w:val="00763130"/>
    <w:rsid w:val="007632D4"/>
    <w:rsid w:val="00763D5C"/>
    <w:rsid w:val="00764774"/>
    <w:rsid w:val="00764834"/>
    <w:rsid w:val="00764AE6"/>
    <w:rsid w:val="00764C8A"/>
    <w:rsid w:val="00766E68"/>
    <w:rsid w:val="00767A9E"/>
    <w:rsid w:val="0077057C"/>
    <w:rsid w:val="00770CEE"/>
    <w:rsid w:val="00770F91"/>
    <w:rsid w:val="007715D3"/>
    <w:rsid w:val="00771D1B"/>
    <w:rsid w:val="0077285B"/>
    <w:rsid w:val="00773534"/>
    <w:rsid w:val="0077425F"/>
    <w:rsid w:val="0077680F"/>
    <w:rsid w:val="0077716B"/>
    <w:rsid w:val="007812F9"/>
    <w:rsid w:val="00781861"/>
    <w:rsid w:val="00782292"/>
    <w:rsid w:val="007829CA"/>
    <w:rsid w:val="00783047"/>
    <w:rsid w:val="007842B1"/>
    <w:rsid w:val="007849CC"/>
    <w:rsid w:val="00784BE8"/>
    <w:rsid w:val="007851CF"/>
    <w:rsid w:val="00785E7C"/>
    <w:rsid w:val="00786C36"/>
    <w:rsid w:val="00786EFA"/>
    <w:rsid w:val="007875D4"/>
    <w:rsid w:val="00787724"/>
    <w:rsid w:val="00787BC5"/>
    <w:rsid w:val="00790A8A"/>
    <w:rsid w:val="007913D2"/>
    <w:rsid w:val="007915E6"/>
    <w:rsid w:val="00791749"/>
    <w:rsid w:val="00791D0F"/>
    <w:rsid w:val="00791D14"/>
    <w:rsid w:val="00792541"/>
    <w:rsid w:val="007942CC"/>
    <w:rsid w:val="007949A1"/>
    <w:rsid w:val="00794BE2"/>
    <w:rsid w:val="007955F6"/>
    <w:rsid w:val="00795E08"/>
    <w:rsid w:val="00796D00"/>
    <w:rsid w:val="00796E56"/>
    <w:rsid w:val="007971C2"/>
    <w:rsid w:val="007A0057"/>
    <w:rsid w:val="007A01DF"/>
    <w:rsid w:val="007A02A2"/>
    <w:rsid w:val="007A04FD"/>
    <w:rsid w:val="007A080B"/>
    <w:rsid w:val="007A0882"/>
    <w:rsid w:val="007A15CB"/>
    <w:rsid w:val="007A247C"/>
    <w:rsid w:val="007A262A"/>
    <w:rsid w:val="007A2F00"/>
    <w:rsid w:val="007A2FB3"/>
    <w:rsid w:val="007A3233"/>
    <w:rsid w:val="007A36C3"/>
    <w:rsid w:val="007A38D6"/>
    <w:rsid w:val="007A3C1E"/>
    <w:rsid w:val="007A48EE"/>
    <w:rsid w:val="007A4BB0"/>
    <w:rsid w:val="007A4D3D"/>
    <w:rsid w:val="007A56EA"/>
    <w:rsid w:val="007A5D46"/>
    <w:rsid w:val="007A63C1"/>
    <w:rsid w:val="007A6EA7"/>
    <w:rsid w:val="007A745A"/>
    <w:rsid w:val="007A7EAF"/>
    <w:rsid w:val="007B0365"/>
    <w:rsid w:val="007B0743"/>
    <w:rsid w:val="007B0DEB"/>
    <w:rsid w:val="007B17D3"/>
    <w:rsid w:val="007B208F"/>
    <w:rsid w:val="007B2C19"/>
    <w:rsid w:val="007B3F80"/>
    <w:rsid w:val="007B4415"/>
    <w:rsid w:val="007B45ED"/>
    <w:rsid w:val="007B49EB"/>
    <w:rsid w:val="007B4A3D"/>
    <w:rsid w:val="007B4A69"/>
    <w:rsid w:val="007B4AEE"/>
    <w:rsid w:val="007B62EF"/>
    <w:rsid w:val="007B6961"/>
    <w:rsid w:val="007B6A27"/>
    <w:rsid w:val="007C019C"/>
    <w:rsid w:val="007C087E"/>
    <w:rsid w:val="007C090F"/>
    <w:rsid w:val="007C18B6"/>
    <w:rsid w:val="007C1A7F"/>
    <w:rsid w:val="007C1C9D"/>
    <w:rsid w:val="007C1FFD"/>
    <w:rsid w:val="007C2C28"/>
    <w:rsid w:val="007C2F73"/>
    <w:rsid w:val="007C331A"/>
    <w:rsid w:val="007C3324"/>
    <w:rsid w:val="007C3F99"/>
    <w:rsid w:val="007C471B"/>
    <w:rsid w:val="007C4861"/>
    <w:rsid w:val="007C4A74"/>
    <w:rsid w:val="007C4CE3"/>
    <w:rsid w:val="007C5372"/>
    <w:rsid w:val="007C622E"/>
    <w:rsid w:val="007C69AE"/>
    <w:rsid w:val="007C6B16"/>
    <w:rsid w:val="007C6E47"/>
    <w:rsid w:val="007C7635"/>
    <w:rsid w:val="007D04E8"/>
    <w:rsid w:val="007D05DB"/>
    <w:rsid w:val="007D180E"/>
    <w:rsid w:val="007D1D5D"/>
    <w:rsid w:val="007D2181"/>
    <w:rsid w:val="007D345E"/>
    <w:rsid w:val="007D557C"/>
    <w:rsid w:val="007D5F11"/>
    <w:rsid w:val="007D60E1"/>
    <w:rsid w:val="007D6F8C"/>
    <w:rsid w:val="007D6FD2"/>
    <w:rsid w:val="007D7334"/>
    <w:rsid w:val="007D7732"/>
    <w:rsid w:val="007D7830"/>
    <w:rsid w:val="007E03DC"/>
    <w:rsid w:val="007E05B4"/>
    <w:rsid w:val="007E075E"/>
    <w:rsid w:val="007E28BD"/>
    <w:rsid w:val="007E2973"/>
    <w:rsid w:val="007E2C95"/>
    <w:rsid w:val="007E2D5B"/>
    <w:rsid w:val="007E39F5"/>
    <w:rsid w:val="007E3E12"/>
    <w:rsid w:val="007E4570"/>
    <w:rsid w:val="007E4726"/>
    <w:rsid w:val="007E5052"/>
    <w:rsid w:val="007E5354"/>
    <w:rsid w:val="007E5908"/>
    <w:rsid w:val="007E6A6B"/>
    <w:rsid w:val="007E7652"/>
    <w:rsid w:val="007E78FB"/>
    <w:rsid w:val="007F020D"/>
    <w:rsid w:val="007F14E1"/>
    <w:rsid w:val="007F1886"/>
    <w:rsid w:val="007F18AF"/>
    <w:rsid w:val="007F1A2F"/>
    <w:rsid w:val="007F2093"/>
    <w:rsid w:val="007F2D63"/>
    <w:rsid w:val="007F308B"/>
    <w:rsid w:val="007F3595"/>
    <w:rsid w:val="007F3C85"/>
    <w:rsid w:val="007F3EC7"/>
    <w:rsid w:val="007F4028"/>
    <w:rsid w:val="007F424B"/>
    <w:rsid w:val="007F4426"/>
    <w:rsid w:val="007F4912"/>
    <w:rsid w:val="007F49F0"/>
    <w:rsid w:val="007F6A62"/>
    <w:rsid w:val="0080007B"/>
    <w:rsid w:val="008009D6"/>
    <w:rsid w:val="00800D15"/>
    <w:rsid w:val="00800F80"/>
    <w:rsid w:val="008013CF"/>
    <w:rsid w:val="00801B93"/>
    <w:rsid w:val="00801EFD"/>
    <w:rsid w:val="008026DB"/>
    <w:rsid w:val="008028C3"/>
    <w:rsid w:val="00802CA5"/>
    <w:rsid w:val="00802FA9"/>
    <w:rsid w:val="008039B5"/>
    <w:rsid w:val="00803FE2"/>
    <w:rsid w:val="00804FE4"/>
    <w:rsid w:val="00805241"/>
    <w:rsid w:val="00806D69"/>
    <w:rsid w:val="0080767D"/>
    <w:rsid w:val="00807933"/>
    <w:rsid w:val="00807A3E"/>
    <w:rsid w:val="00811906"/>
    <w:rsid w:val="00811BAB"/>
    <w:rsid w:val="00811CCA"/>
    <w:rsid w:val="00812F33"/>
    <w:rsid w:val="008133D9"/>
    <w:rsid w:val="00813ED4"/>
    <w:rsid w:val="0081465D"/>
    <w:rsid w:val="0081546C"/>
    <w:rsid w:val="00817644"/>
    <w:rsid w:val="00817819"/>
    <w:rsid w:val="008206C2"/>
    <w:rsid w:val="0082077E"/>
    <w:rsid w:val="00820C7D"/>
    <w:rsid w:val="0082151A"/>
    <w:rsid w:val="00821526"/>
    <w:rsid w:val="00821D0D"/>
    <w:rsid w:val="00821D19"/>
    <w:rsid w:val="008220CF"/>
    <w:rsid w:val="0082245D"/>
    <w:rsid w:val="00823520"/>
    <w:rsid w:val="00824DD2"/>
    <w:rsid w:val="00824FB7"/>
    <w:rsid w:val="00825023"/>
    <w:rsid w:val="00825BB1"/>
    <w:rsid w:val="00826525"/>
    <w:rsid w:val="0082689A"/>
    <w:rsid w:val="00826C0A"/>
    <w:rsid w:val="00826DC8"/>
    <w:rsid w:val="008273C2"/>
    <w:rsid w:val="00827479"/>
    <w:rsid w:val="0082759D"/>
    <w:rsid w:val="00827D95"/>
    <w:rsid w:val="008306FD"/>
    <w:rsid w:val="00830745"/>
    <w:rsid w:val="008308CD"/>
    <w:rsid w:val="00830DDE"/>
    <w:rsid w:val="008320C6"/>
    <w:rsid w:val="0083241F"/>
    <w:rsid w:val="00832F3B"/>
    <w:rsid w:val="0083347D"/>
    <w:rsid w:val="0083466A"/>
    <w:rsid w:val="00834686"/>
    <w:rsid w:val="00834CAF"/>
    <w:rsid w:val="00835B76"/>
    <w:rsid w:val="00836B13"/>
    <w:rsid w:val="00836DBC"/>
    <w:rsid w:val="00836E4A"/>
    <w:rsid w:val="00837C23"/>
    <w:rsid w:val="00840303"/>
    <w:rsid w:val="0084068B"/>
    <w:rsid w:val="008413F6"/>
    <w:rsid w:val="00841705"/>
    <w:rsid w:val="0084198A"/>
    <w:rsid w:val="00841E47"/>
    <w:rsid w:val="008424D6"/>
    <w:rsid w:val="0084283F"/>
    <w:rsid w:val="00843DB9"/>
    <w:rsid w:val="008442F1"/>
    <w:rsid w:val="00844C3D"/>
    <w:rsid w:val="00845483"/>
    <w:rsid w:val="00845529"/>
    <w:rsid w:val="00845831"/>
    <w:rsid w:val="00845BC9"/>
    <w:rsid w:val="00845D07"/>
    <w:rsid w:val="00845D1C"/>
    <w:rsid w:val="00846275"/>
    <w:rsid w:val="0084747C"/>
    <w:rsid w:val="00847A58"/>
    <w:rsid w:val="00847F2D"/>
    <w:rsid w:val="00850833"/>
    <w:rsid w:val="00850955"/>
    <w:rsid w:val="00850E97"/>
    <w:rsid w:val="008516C1"/>
    <w:rsid w:val="008525EF"/>
    <w:rsid w:val="00852B13"/>
    <w:rsid w:val="00854EC8"/>
    <w:rsid w:val="00855330"/>
    <w:rsid w:val="008557B5"/>
    <w:rsid w:val="00855B3F"/>
    <w:rsid w:val="008563B7"/>
    <w:rsid w:val="0086012A"/>
    <w:rsid w:val="008601BD"/>
    <w:rsid w:val="008607E3"/>
    <w:rsid w:val="008607E7"/>
    <w:rsid w:val="0086090A"/>
    <w:rsid w:val="00860A0A"/>
    <w:rsid w:val="00860AA2"/>
    <w:rsid w:val="008610CA"/>
    <w:rsid w:val="00861E24"/>
    <w:rsid w:val="00861F4A"/>
    <w:rsid w:val="008621B7"/>
    <w:rsid w:val="00862C18"/>
    <w:rsid w:val="00862E60"/>
    <w:rsid w:val="00863681"/>
    <w:rsid w:val="008638BC"/>
    <w:rsid w:val="00863B22"/>
    <w:rsid w:val="00864644"/>
    <w:rsid w:val="00864F57"/>
    <w:rsid w:val="00865A60"/>
    <w:rsid w:val="00866916"/>
    <w:rsid w:val="00866E8E"/>
    <w:rsid w:val="00867109"/>
    <w:rsid w:val="008677C7"/>
    <w:rsid w:val="00867ABA"/>
    <w:rsid w:val="00870BD6"/>
    <w:rsid w:val="00871D50"/>
    <w:rsid w:val="0087496B"/>
    <w:rsid w:val="00874B91"/>
    <w:rsid w:val="00874E14"/>
    <w:rsid w:val="00874F28"/>
    <w:rsid w:val="008758FB"/>
    <w:rsid w:val="00875F34"/>
    <w:rsid w:val="00876421"/>
    <w:rsid w:val="00876490"/>
    <w:rsid w:val="00876520"/>
    <w:rsid w:val="00876DC5"/>
    <w:rsid w:val="00877248"/>
    <w:rsid w:val="0087735A"/>
    <w:rsid w:val="00880A7E"/>
    <w:rsid w:val="00880E55"/>
    <w:rsid w:val="0088171B"/>
    <w:rsid w:val="0088281B"/>
    <w:rsid w:val="008828CB"/>
    <w:rsid w:val="0088319D"/>
    <w:rsid w:val="0088369A"/>
    <w:rsid w:val="00883BB8"/>
    <w:rsid w:val="00883C4C"/>
    <w:rsid w:val="0088559B"/>
    <w:rsid w:val="0088619F"/>
    <w:rsid w:val="00886429"/>
    <w:rsid w:val="0088713A"/>
    <w:rsid w:val="0088727C"/>
    <w:rsid w:val="00890025"/>
    <w:rsid w:val="00890098"/>
    <w:rsid w:val="0089063C"/>
    <w:rsid w:val="00890D4D"/>
    <w:rsid w:val="00891522"/>
    <w:rsid w:val="00891625"/>
    <w:rsid w:val="00891ADB"/>
    <w:rsid w:val="008933BB"/>
    <w:rsid w:val="0089353A"/>
    <w:rsid w:val="008937C5"/>
    <w:rsid w:val="0089385A"/>
    <w:rsid w:val="0089459C"/>
    <w:rsid w:val="00894788"/>
    <w:rsid w:val="00894B18"/>
    <w:rsid w:val="00894E8C"/>
    <w:rsid w:val="008951C7"/>
    <w:rsid w:val="008953E9"/>
    <w:rsid w:val="00896413"/>
    <w:rsid w:val="00896B38"/>
    <w:rsid w:val="008977A8"/>
    <w:rsid w:val="00897874"/>
    <w:rsid w:val="008A13D8"/>
    <w:rsid w:val="008A1D07"/>
    <w:rsid w:val="008A2132"/>
    <w:rsid w:val="008A2381"/>
    <w:rsid w:val="008A2DB0"/>
    <w:rsid w:val="008A2E9F"/>
    <w:rsid w:val="008A3782"/>
    <w:rsid w:val="008A39D3"/>
    <w:rsid w:val="008A4DFE"/>
    <w:rsid w:val="008A55D6"/>
    <w:rsid w:val="008A6562"/>
    <w:rsid w:val="008A6B6A"/>
    <w:rsid w:val="008A6E6A"/>
    <w:rsid w:val="008A7572"/>
    <w:rsid w:val="008A7D7E"/>
    <w:rsid w:val="008B095E"/>
    <w:rsid w:val="008B0B76"/>
    <w:rsid w:val="008B0C2A"/>
    <w:rsid w:val="008B1995"/>
    <w:rsid w:val="008B1B6E"/>
    <w:rsid w:val="008B23BA"/>
    <w:rsid w:val="008B36DA"/>
    <w:rsid w:val="008B441B"/>
    <w:rsid w:val="008B4B77"/>
    <w:rsid w:val="008B5416"/>
    <w:rsid w:val="008B60A5"/>
    <w:rsid w:val="008B6490"/>
    <w:rsid w:val="008B6E7C"/>
    <w:rsid w:val="008B7A40"/>
    <w:rsid w:val="008B7FB0"/>
    <w:rsid w:val="008C209F"/>
    <w:rsid w:val="008C2A6C"/>
    <w:rsid w:val="008C2DF2"/>
    <w:rsid w:val="008C32AC"/>
    <w:rsid w:val="008C398A"/>
    <w:rsid w:val="008C3AF2"/>
    <w:rsid w:val="008C52CC"/>
    <w:rsid w:val="008C697C"/>
    <w:rsid w:val="008C72E5"/>
    <w:rsid w:val="008C744A"/>
    <w:rsid w:val="008C78C3"/>
    <w:rsid w:val="008D0201"/>
    <w:rsid w:val="008D03B8"/>
    <w:rsid w:val="008D0E95"/>
    <w:rsid w:val="008D3C79"/>
    <w:rsid w:val="008D3DD0"/>
    <w:rsid w:val="008D47F7"/>
    <w:rsid w:val="008D4F64"/>
    <w:rsid w:val="008D6963"/>
    <w:rsid w:val="008D7B2A"/>
    <w:rsid w:val="008E0045"/>
    <w:rsid w:val="008E0C0E"/>
    <w:rsid w:val="008E15B7"/>
    <w:rsid w:val="008E174D"/>
    <w:rsid w:val="008E3397"/>
    <w:rsid w:val="008E33E8"/>
    <w:rsid w:val="008E38E7"/>
    <w:rsid w:val="008E4806"/>
    <w:rsid w:val="008E4A8C"/>
    <w:rsid w:val="008E5215"/>
    <w:rsid w:val="008E53B1"/>
    <w:rsid w:val="008E544C"/>
    <w:rsid w:val="008E6670"/>
    <w:rsid w:val="008E68BE"/>
    <w:rsid w:val="008E6BF9"/>
    <w:rsid w:val="008E6C74"/>
    <w:rsid w:val="008E722E"/>
    <w:rsid w:val="008E73DA"/>
    <w:rsid w:val="008E7811"/>
    <w:rsid w:val="008E789B"/>
    <w:rsid w:val="008F013A"/>
    <w:rsid w:val="008F088B"/>
    <w:rsid w:val="008F08A3"/>
    <w:rsid w:val="008F0C3C"/>
    <w:rsid w:val="008F1328"/>
    <w:rsid w:val="008F182E"/>
    <w:rsid w:val="008F1B26"/>
    <w:rsid w:val="008F1B47"/>
    <w:rsid w:val="008F1C4F"/>
    <w:rsid w:val="008F2878"/>
    <w:rsid w:val="008F2D34"/>
    <w:rsid w:val="008F30F6"/>
    <w:rsid w:val="008F38FF"/>
    <w:rsid w:val="008F455D"/>
    <w:rsid w:val="008F45A7"/>
    <w:rsid w:val="008F4E3B"/>
    <w:rsid w:val="008F57A4"/>
    <w:rsid w:val="008F5917"/>
    <w:rsid w:val="008F5DBE"/>
    <w:rsid w:val="008F61AC"/>
    <w:rsid w:val="008F6AC6"/>
    <w:rsid w:val="008F6C05"/>
    <w:rsid w:val="008F7721"/>
    <w:rsid w:val="008F79C4"/>
    <w:rsid w:val="00900352"/>
    <w:rsid w:val="009009AB"/>
    <w:rsid w:val="009017A3"/>
    <w:rsid w:val="00901A16"/>
    <w:rsid w:val="00901C54"/>
    <w:rsid w:val="00901DED"/>
    <w:rsid w:val="00902CA1"/>
    <w:rsid w:val="00903332"/>
    <w:rsid w:val="00903646"/>
    <w:rsid w:val="00903FC4"/>
    <w:rsid w:val="00904C2F"/>
    <w:rsid w:val="00905BEC"/>
    <w:rsid w:val="00906936"/>
    <w:rsid w:val="00906E5C"/>
    <w:rsid w:val="00906E88"/>
    <w:rsid w:val="00907A63"/>
    <w:rsid w:val="00907C46"/>
    <w:rsid w:val="009108D8"/>
    <w:rsid w:val="009112C5"/>
    <w:rsid w:val="009113B3"/>
    <w:rsid w:val="009125FF"/>
    <w:rsid w:val="00912623"/>
    <w:rsid w:val="00912FD9"/>
    <w:rsid w:val="00913357"/>
    <w:rsid w:val="00913377"/>
    <w:rsid w:val="00913841"/>
    <w:rsid w:val="00914F7E"/>
    <w:rsid w:val="0091532C"/>
    <w:rsid w:val="00915388"/>
    <w:rsid w:val="00915E9F"/>
    <w:rsid w:val="00915FA8"/>
    <w:rsid w:val="009164AC"/>
    <w:rsid w:val="0091673C"/>
    <w:rsid w:val="009168DF"/>
    <w:rsid w:val="009169D6"/>
    <w:rsid w:val="00917360"/>
    <w:rsid w:val="00917EE8"/>
    <w:rsid w:val="00920A01"/>
    <w:rsid w:val="00920A28"/>
    <w:rsid w:val="0092119B"/>
    <w:rsid w:val="009227FB"/>
    <w:rsid w:val="009233F5"/>
    <w:rsid w:val="009236F7"/>
    <w:rsid w:val="00923BB9"/>
    <w:rsid w:val="00924DAF"/>
    <w:rsid w:val="0092530F"/>
    <w:rsid w:val="00925AFD"/>
    <w:rsid w:val="00925E72"/>
    <w:rsid w:val="009260DD"/>
    <w:rsid w:val="00926259"/>
    <w:rsid w:val="009262A8"/>
    <w:rsid w:val="00926E3D"/>
    <w:rsid w:val="009272EF"/>
    <w:rsid w:val="009304B1"/>
    <w:rsid w:val="009307CC"/>
    <w:rsid w:val="009316A5"/>
    <w:rsid w:val="00934079"/>
    <w:rsid w:val="009342FF"/>
    <w:rsid w:val="00934308"/>
    <w:rsid w:val="00934BC0"/>
    <w:rsid w:val="00935914"/>
    <w:rsid w:val="00936779"/>
    <w:rsid w:val="00937665"/>
    <w:rsid w:val="00937D73"/>
    <w:rsid w:val="00940254"/>
    <w:rsid w:val="0094050D"/>
    <w:rsid w:val="00940AF3"/>
    <w:rsid w:val="009412B1"/>
    <w:rsid w:val="00942671"/>
    <w:rsid w:val="009432E0"/>
    <w:rsid w:val="00944C86"/>
    <w:rsid w:val="00944DD1"/>
    <w:rsid w:val="0094592D"/>
    <w:rsid w:val="009462F3"/>
    <w:rsid w:val="00946764"/>
    <w:rsid w:val="00946AB0"/>
    <w:rsid w:val="009474DC"/>
    <w:rsid w:val="0094784D"/>
    <w:rsid w:val="00947E2D"/>
    <w:rsid w:val="0095046A"/>
    <w:rsid w:val="00950849"/>
    <w:rsid w:val="0095087D"/>
    <w:rsid w:val="00950989"/>
    <w:rsid w:val="009517BC"/>
    <w:rsid w:val="009520F5"/>
    <w:rsid w:val="00952620"/>
    <w:rsid w:val="00952999"/>
    <w:rsid w:val="00952FC9"/>
    <w:rsid w:val="00953E25"/>
    <w:rsid w:val="0095573A"/>
    <w:rsid w:val="00955BD1"/>
    <w:rsid w:val="009562AA"/>
    <w:rsid w:val="00957771"/>
    <w:rsid w:val="00957BEC"/>
    <w:rsid w:val="009611FB"/>
    <w:rsid w:val="00961BA2"/>
    <w:rsid w:val="0096202A"/>
    <w:rsid w:val="009622AA"/>
    <w:rsid w:val="00962A33"/>
    <w:rsid w:val="00962E11"/>
    <w:rsid w:val="00963084"/>
    <w:rsid w:val="00963D93"/>
    <w:rsid w:val="0096497F"/>
    <w:rsid w:val="00965214"/>
    <w:rsid w:val="0096526D"/>
    <w:rsid w:val="009662F8"/>
    <w:rsid w:val="009663CF"/>
    <w:rsid w:val="0096663F"/>
    <w:rsid w:val="00967373"/>
    <w:rsid w:val="00967825"/>
    <w:rsid w:val="0097120F"/>
    <w:rsid w:val="009716B8"/>
    <w:rsid w:val="00971760"/>
    <w:rsid w:val="009718E2"/>
    <w:rsid w:val="0097217A"/>
    <w:rsid w:val="009724F0"/>
    <w:rsid w:val="00972974"/>
    <w:rsid w:val="00973723"/>
    <w:rsid w:val="00973B69"/>
    <w:rsid w:val="009748BF"/>
    <w:rsid w:val="00975599"/>
    <w:rsid w:val="00975BD6"/>
    <w:rsid w:val="00977348"/>
    <w:rsid w:val="0098064A"/>
    <w:rsid w:val="00980CB1"/>
    <w:rsid w:val="00982BF0"/>
    <w:rsid w:val="00982E72"/>
    <w:rsid w:val="0098308D"/>
    <w:rsid w:val="009832B0"/>
    <w:rsid w:val="009838BB"/>
    <w:rsid w:val="00983BC7"/>
    <w:rsid w:val="00983CC9"/>
    <w:rsid w:val="0098432B"/>
    <w:rsid w:val="009843C5"/>
    <w:rsid w:val="00984845"/>
    <w:rsid w:val="00984E6F"/>
    <w:rsid w:val="00984FE0"/>
    <w:rsid w:val="00985026"/>
    <w:rsid w:val="009855F7"/>
    <w:rsid w:val="0098629D"/>
    <w:rsid w:val="00986882"/>
    <w:rsid w:val="00986B75"/>
    <w:rsid w:val="00987192"/>
    <w:rsid w:val="009912E9"/>
    <w:rsid w:val="009916E6"/>
    <w:rsid w:val="00992239"/>
    <w:rsid w:val="0099249E"/>
    <w:rsid w:val="00993472"/>
    <w:rsid w:val="00993897"/>
    <w:rsid w:val="009946A8"/>
    <w:rsid w:val="009949E3"/>
    <w:rsid w:val="00996496"/>
    <w:rsid w:val="00996944"/>
    <w:rsid w:val="009976C8"/>
    <w:rsid w:val="0099786C"/>
    <w:rsid w:val="00997FB6"/>
    <w:rsid w:val="009A06D1"/>
    <w:rsid w:val="009A06E4"/>
    <w:rsid w:val="009A06FA"/>
    <w:rsid w:val="009A077D"/>
    <w:rsid w:val="009A0FAC"/>
    <w:rsid w:val="009A1935"/>
    <w:rsid w:val="009A1C96"/>
    <w:rsid w:val="009A2851"/>
    <w:rsid w:val="009A4A07"/>
    <w:rsid w:val="009A50AD"/>
    <w:rsid w:val="009A5218"/>
    <w:rsid w:val="009A633D"/>
    <w:rsid w:val="009A6559"/>
    <w:rsid w:val="009A6FFA"/>
    <w:rsid w:val="009B1BA2"/>
    <w:rsid w:val="009B21DA"/>
    <w:rsid w:val="009B241F"/>
    <w:rsid w:val="009B354F"/>
    <w:rsid w:val="009B405F"/>
    <w:rsid w:val="009B517A"/>
    <w:rsid w:val="009B6A1B"/>
    <w:rsid w:val="009B7B5A"/>
    <w:rsid w:val="009C04AB"/>
    <w:rsid w:val="009C0C9B"/>
    <w:rsid w:val="009C136E"/>
    <w:rsid w:val="009C15F6"/>
    <w:rsid w:val="009C168F"/>
    <w:rsid w:val="009C26D5"/>
    <w:rsid w:val="009C2F14"/>
    <w:rsid w:val="009C3005"/>
    <w:rsid w:val="009C3868"/>
    <w:rsid w:val="009C3D22"/>
    <w:rsid w:val="009C534C"/>
    <w:rsid w:val="009C5601"/>
    <w:rsid w:val="009C5625"/>
    <w:rsid w:val="009C5F19"/>
    <w:rsid w:val="009C6677"/>
    <w:rsid w:val="009C69EA"/>
    <w:rsid w:val="009C6A22"/>
    <w:rsid w:val="009C7E0E"/>
    <w:rsid w:val="009D2393"/>
    <w:rsid w:val="009D2C47"/>
    <w:rsid w:val="009D3A90"/>
    <w:rsid w:val="009D403A"/>
    <w:rsid w:val="009D5434"/>
    <w:rsid w:val="009D54F6"/>
    <w:rsid w:val="009D5D8D"/>
    <w:rsid w:val="009D5F1D"/>
    <w:rsid w:val="009D6003"/>
    <w:rsid w:val="009D6244"/>
    <w:rsid w:val="009D6C6F"/>
    <w:rsid w:val="009D7E39"/>
    <w:rsid w:val="009E0611"/>
    <w:rsid w:val="009E1554"/>
    <w:rsid w:val="009E1984"/>
    <w:rsid w:val="009E2CBE"/>
    <w:rsid w:val="009E4271"/>
    <w:rsid w:val="009E44E9"/>
    <w:rsid w:val="009E452B"/>
    <w:rsid w:val="009E4DBA"/>
    <w:rsid w:val="009E4E76"/>
    <w:rsid w:val="009E51C6"/>
    <w:rsid w:val="009E5CE0"/>
    <w:rsid w:val="009E5DDC"/>
    <w:rsid w:val="009E65C4"/>
    <w:rsid w:val="009E6E36"/>
    <w:rsid w:val="009E70BE"/>
    <w:rsid w:val="009E7A4B"/>
    <w:rsid w:val="009F03AA"/>
    <w:rsid w:val="009F0528"/>
    <w:rsid w:val="009F0D89"/>
    <w:rsid w:val="009F0DA1"/>
    <w:rsid w:val="009F1ADE"/>
    <w:rsid w:val="009F1DF5"/>
    <w:rsid w:val="009F2167"/>
    <w:rsid w:val="009F2986"/>
    <w:rsid w:val="009F2C02"/>
    <w:rsid w:val="009F2C34"/>
    <w:rsid w:val="009F2FBE"/>
    <w:rsid w:val="009F3B31"/>
    <w:rsid w:val="009F4278"/>
    <w:rsid w:val="009F4C6A"/>
    <w:rsid w:val="009F4D2F"/>
    <w:rsid w:val="009F56A5"/>
    <w:rsid w:val="009F5753"/>
    <w:rsid w:val="009F5DD8"/>
    <w:rsid w:val="009F662F"/>
    <w:rsid w:val="009F6E5E"/>
    <w:rsid w:val="009F7B5D"/>
    <w:rsid w:val="009F7D32"/>
    <w:rsid w:val="00A00E08"/>
    <w:rsid w:val="00A01474"/>
    <w:rsid w:val="00A0168E"/>
    <w:rsid w:val="00A016A3"/>
    <w:rsid w:val="00A019AB"/>
    <w:rsid w:val="00A03F4F"/>
    <w:rsid w:val="00A044DE"/>
    <w:rsid w:val="00A04BFD"/>
    <w:rsid w:val="00A04CCD"/>
    <w:rsid w:val="00A05A01"/>
    <w:rsid w:val="00A0617D"/>
    <w:rsid w:val="00A06570"/>
    <w:rsid w:val="00A07E35"/>
    <w:rsid w:val="00A100AE"/>
    <w:rsid w:val="00A10110"/>
    <w:rsid w:val="00A11351"/>
    <w:rsid w:val="00A12259"/>
    <w:rsid w:val="00A128EE"/>
    <w:rsid w:val="00A12AA6"/>
    <w:rsid w:val="00A13028"/>
    <w:rsid w:val="00A13102"/>
    <w:rsid w:val="00A13E15"/>
    <w:rsid w:val="00A1463B"/>
    <w:rsid w:val="00A14B95"/>
    <w:rsid w:val="00A156AA"/>
    <w:rsid w:val="00A15810"/>
    <w:rsid w:val="00A15C69"/>
    <w:rsid w:val="00A16783"/>
    <w:rsid w:val="00A1709E"/>
    <w:rsid w:val="00A1781F"/>
    <w:rsid w:val="00A17B2E"/>
    <w:rsid w:val="00A17FE5"/>
    <w:rsid w:val="00A20582"/>
    <w:rsid w:val="00A2123D"/>
    <w:rsid w:val="00A21360"/>
    <w:rsid w:val="00A223C3"/>
    <w:rsid w:val="00A22B08"/>
    <w:rsid w:val="00A22DD7"/>
    <w:rsid w:val="00A23FD9"/>
    <w:rsid w:val="00A2474A"/>
    <w:rsid w:val="00A258E7"/>
    <w:rsid w:val="00A2626C"/>
    <w:rsid w:val="00A276FB"/>
    <w:rsid w:val="00A27E0E"/>
    <w:rsid w:val="00A318B0"/>
    <w:rsid w:val="00A31A0E"/>
    <w:rsid w:val="00A32363"/>
    <w:rsid w:val="00A32568"/>
    <w:rsid w:val="00A339C7"/>
    <w:rsid w:val="00A36256"/>
    <w:rsid w:val="00A40254"/>
    <w:rsid w:val="00A40E35"/>
    <w:rsid w:val="00A417A2"/>
    <w:rsid w:val="00A41862"/>
    <w:rsid w:val="00A4291D"/>
    <w:rsid w:val="00A43938"/>
    <w:rsid w:val="00A43A43"/>
    <w:rsid w:val="00A43B4C"/>
    <w:rsid w:val="00A4462B"/>
    <w:rsid w:val="00A46714"/>
    <w:rsid w:val="00A46A27"/>
    <w:rsid w:val="00A46D01"/>
    <w:rsid w:val="00A4735B"/>
    <w:rsid w:val="00A474F5"/>
    <w:rsid w:val="00A47AE7"/>
    <w:rsid w:val="00A47F44"/>
    <w:rsid w:val="00A50459"/>
    <w:rsid w:val="00A50654"/>
    <w:rsid w:val="00A507AD"/>
    <w:rsid w:val="00A50FB3"/>
    <w:rsid w:val="00A512A3"/>
    <w:rsid w:val="00A51632"/>
    <w:rsid w:val="00A51FB9"/>
    <w:rsid w:val="00A52C48"/>
    <w:rsid w:val="00A5328B"/>
    <w:rsid w:val="00A53844"/>
    <w:rsid w:val="00A54026"/>
    <w:rsid w:val="00A544AC"/>
    <w:rsid w:val="00A5488D"/>
    <w:rsid w:val="00A553B8"/>
    <w:rsid w:val="00A5580F"/>
    <w:rsid w:val="00A55A44"/>
    <w:rsid w:val="00A55B31"/>
    <w:rsid w:val="00A55B5A"/>
    <w:rsid w:val="00A576DA"/>
    <w:rsid w:val="00A57A49"/>
    <w:rsid w:val="00A57F0D"/>
    <w:rsid w:val="00A606AD"/>
    <w:rsid w:val="00A606DF"/>
    <w:rsid w:val="00A60C18"/>
    <w:rsid w:val="00A60ECC"/>
    <w:rsid w:val="00A60F4B"/>
    <w:rsid w:val="00A6158E"/>
    <w:rsid w:val="00A61C52"/>
    <w:rsid w:val="00A62230"/>
    <w:rsid w:val="00A622C1"/>
    <w:rsid w:val="00A62458"/>
    <w:rsid w:val="00A62E28"/>
    <w:rsid w:val="00A63D0C"/>
    <w:rsid w:val="00A64478"/>
    <w:rsid w:val="00A64A04"/>
    <w:rsid w:val="00A64BFF"/>
    <w:rsid w:val="00A659D2"/>
    <w:rsid w:val="00A65EE8"/>
    <w:rsid w:val="00A677A8"/>
    <w:rsid w:val="00A67EBE"/>
    <w:rsid w:val="00A7145F"/>
    <w:rsid w:val="00A71AAD"/>
    <w:rsid w:val="00A71B13"/>
    <w:rsid w:val="00A7285C"/>
    <w:rsid w:val="00A72BC7"/>
    <w:rsid w:val="00A73313"/>
    <w:rsid w:val="00A73C09"/>
    <w:rsid w:val="00A73ECF"/>
    <w:rsid w:val="00A74BFC"/>
    <w:rsid w:val="00A75225"/>
    <w:rsid w:val="00A75619"/>
    <w:rsid w:val="00A80F78"/>
    <w:rsid w:val="00A81127"/>
    <w:rsid w:val="00A8147A"/>
    <w:rsid w:val="00A81A26"/>
    <w:rsid w:val="00A81D64"/>
    <w:rsid w:val="00A81D8C"/>
    <w:rsid w:val="00A82626"/>
    <w:rsid w:val="00A833F4"/>
    <w:rsid w:val="00A83EC5"/>
    <w:rsid w:val="00A84796"/>
    <w:rsid w:val="00A84B8A"/>
    <w:rsid w:val="00A84C99"/>
    <w:rsid w:val="00A862BB"/>
    <w:rsid w:val="00A8707F"/>
    <w:rsid w:val="00A90031"/>
    <w:rsid w:val="00A907B4"/>
    <w:rsid w:val="00A90BAB"/>
    <w:rsid w:val="00A915CB"/>
    <w:rsid w:val="00A91A35"/>
    <w:rsid w:val="00A91AED"/>
    <w:rsid w:val="00A92C1C"/>
    <w:rsid w:val="00A92FFC"/>
    <w:rsid w:val="00A93033"/>
    <w:rsid w:val="00A93A98"/>
    <w:rsid w:val="00A950A0"/>
    <w:rsid w:val="00A96764"/>
    <w:rsid w:val="00A96D81"/>
    <w:rsid w:val="00A96E80"/>
    <w:rsid w:val="00AA07BF"/>
    <w:rsid w:val="00AA0F61"/>
    <w:rsid w:val="00AA1180"/>
    <w:rsid w:val="00AA12C6"/>
    <w:rsid w:val="00AA16A6"/>
    <w:rsid w:val="00AA1CFD"/>
    <w:rsid w:val="00AA214A"/>
    <w:rsid w:val="00AA23FF"/>
    <w:rsid w:val="00AA2494"/>
    <w:rsid w:val="00AA25A8"/>
    <w:rsid w:val="00AA26B5"/>
    <w:rsid w:val="00AA2915"/>
    <w:rsid w:val="00AA2ADF"/>
    <w:rsid w:val="00AA2B7B"/>
    <w:rsid w:val="00AA2FA0"/>
    <w:rsid w:val="00AA31D9"/>
    <w:rsid w:val="00AA3771"/>
    <w:rsid w:val="00AA3CB4"/>
    <w:rsid w:val="00AA44AC"/>
    <w:rsid w:val="00AA45B8"/>
    <w:rsid w:val="00AA46BE"/>
    <w:rsid w:val="00AA5003"/>
    <w:rsid w:val="00AA6A15"/>
    <w:rsid w:val="00AA6A6F"/>
    <w:rsid w:val="00AA6CE4"/>
    <w:rsid w:val="00AA6ED2"/>
    <w:rsid w:val="00AA78FB"/>
    <w:rsid w:val="00AB089F"/>
    <w:rsid w:val="00AB1215"/>
    <w:rsid w:val="00AB136D"/>
    <w:rsid w:val="00AB1910"/>
    <w:rsid w:val="00AB1A07"/>
    <w:rsid w:val="00AB1B34"/>
    <w:rsid w:val="00AB1DF5"/>
    <w:rsid w:val="00AB1FA3"/>
    <w:rsid w:val="00AB3CC1"/>
    <w:rsid w:val="00AB5AB9"/>
    <w:rsid w:val="00AB6412"/>
    <w:rsid w:val="00AB6A56"/>
    <w:rsid w:val="00AB78EE"/>
    <w:rsid w:val="00AB7EC8"/>
    <w:rsid w:val="00AC0185"/>
    <w:rsid w:val="00AC0320"/>
    <w:rsid w:val="00AC194D"/>
    <w:rsid w:val="00AC2455"/>
    <w:rsid w:val="00AC3078"/>
    <w:rsid w:val="00AC30CC"/>
    <w:rsid w:val="00AC3BB0"/>
    <w:rsid w:val="00AC43FD"/>
    <w:rsid w:val="00AC5CD6"/>
    <w:rsid w:val="00AC5DB5"/>
    <w:rsid w:val="00AC6F74"/>
    <w:rsid w:val="00AC7261"/>
    <w:rsid w:val="00AD0406"/>
    <w:rsid w:val="00AD08B7"/>
    <w:rsid w:val="00AD1312"/>
    <w:rsid w:val="00AD1C72"/>
    <w:rsid w:val="00AD1DEA"/>
    <w:rsid w:val="00AD22D8"/>
    <w:rsid w:val="00AD261A"/>
    <w:rsid w:val="00AD2724"/>
    <w:rsid w:val="00AD288C"/>
    <w:rsid w:val="00AD2DDF"/>
    <w:rsid w:val="00AD3DD4"/>
    <w:rsid w:val="00AD4807"/>
    <w:rsid w:val="00AD52C8"/>
    <w:rsid w:val="00AD53E7"/>
    <w:rsid w:val="00AD5CB3"/>
    <w:rsid w:val="00AD5FC4"/>
    <w:rsid w:val="00AD7580"/>
    <w:rsid w:val="00AD7AEC"/>
    <w:rsid w:val="00AD7EE6"/>
    <w:rsid w:val="00AE07DF"/>
    <w:rsid w:val="00AE13B9"/>
    <w:rsid w:val="00AE33E4"/>
    <w:rsid w:val="00AE3830"/>
    <w:rsid w:val="00AE3F93"/>
    <w:rsid w:val="00AE455F"/>
    <w:rsid w:val="00AE4F49"/>
    <w:rsid w:val="00AE558A"/>
    <w:rsid w:val="00AE5FC7"/>
    <w:rsid w:val="00AE62D6"/>
    <w:rsid w:val="00AE64F5"/>
    <w:rsid w:val="00AE6935"/>
    <w:rsid w:val="00AE6A7B"/>
    <w:rsid w:val="00AE6D3B"/>
    <w:rsid w:val="00AE794B"/>
    <w:rsid w:val="00AE7B72"/>
    <w:rsid w:val="00AE7DA9"/>
    <w:rsid w:val="00AE7E8B"/>
    <w:rsid w:val="00AF0890"/>
    <w:rsid w:val="00AF0B90"/>
    <w:rsid w:val="00AF14D3"/>
    <w:rsid w:val="00AF1E72"/>
    <w:rsid w:val="00AF1FC5"/>
    <w:rsid w:val="00AF276A"/>
    <w:rsid w:val="00AF3D52"/>
    <w:rsid w:val="00AF4BF7"/>
    <w:rsid w:val="00AF590D"/>
    <w:rsid w:val="00AF5BCE"/>
    <w:rsid w:val="00AF670B"/>
    <w:rsid w:val="00AF6B89"/>
    <w:rsid w:val="00B0057F"/>
    <w:rsid w:val="00B006EB"/>
    <w:rsid w:val="00B010D7"/>
    <w:rsid w:val="00B010FF"/>
    <w:rsid w:val="00B01DFD"/>
    <w:rsid w:val="00B01F17"/>
    <w:rsid w:val="00B01F35"/>
    <w:rsid w:val="00B01F9B"/>
    <w:rsid w:val="00B0269A"/>
    <w:rsid w:val="00B034D6"/>
    <w:rsid w:val="00B03736"/>
    <w:rsid w:val="00B04564"/>
    <w:rsid w:val="00B04D4D"/>
    <w:rsid w:val="00B04E04"/>
    <w:rsid w:val="00B0568F"/>
    <w:rsid w:val="00B05736"/>
    <w:rsid w:val="00B058C1"/>
    <w:rsid w:val="00B06AA3"/>
    <w:rsid w:val="00B0742E"/>
    <w:rsid w:val="00B10BC4"/>
    <w:rsid w:val="00B10D44"/>
    <w:rsid w:val="00B113E1"/>
    <w:rsid w:val="00B119C1"/>
    <w:rsid w:val="00B11E26"/>
    <w:rsid w:val="00B11ECC"/>
    <w:rsid w:val="00B125D2"/>
    <w:rsid w:val="00B1468C"/>
    <w:rsid w:val="00B154C8"/>
    <w:rsid w:val="00B15773"/>
    <w:rsid w:val="00B157FA"/>
    <w:rsid w:val="00B1753B"/>
    <w:rsid w:val="00B17E77"/>
    <w:rsid w:val="00B205DC"/>
    <w:rsid w:val="00B21276"/>
    <w:rsid w:val="00B21360"/>
    <w:rsid w:val="00B22162"/>
    <w:rsid w:val="00B2230E"/>
    <w:rsid w:val="00B22653"/>
    <w:rsid w:val="00B22B49"/>
    <w:rsid w:val="00B22C04"/>
    <w:rsid w:val="00B233B1"/>
    <w:rsid w:val="00B24A88"/>
    <w:rsid w:val="00B251A0"/>
    <w:rsid w:val="00B256FB"/>
    <w:rsid w:val="00B26C7A"/>
    <w:rsid w:val="00B271A1"/>
    <w:rsid w:val="00B27610"/>
    <w:rsid w:val="00B2796D"/>
    <w:rsid w:val="00B30463"/>
    <w:rsid w:val="00B3094B"/>
    <w:rsid w:val="00B312BF"/>
    <w:rsid w:val="00B31561"/>
    <w:rsid w:val="00B32BCA"/>
    <w:rsid w:val="00B32F5B"/>
    <w:rsid w:val="00B3352F"/>
    <w:rsid w:val="00B33D7D"/>
    <w:rsid w:val="00B33F58"/>
    <w:rsid w:val="00B34057"/>
    <w:rsid w:val="00B343CF"/>
    <w:rsid w:val="00B348F6"/>
    <w:rsid w:val="00B34D42"/>
    <w:rsid w:val="00B34D78"/>
    <w:rsid w:val="00B3602C"/>
    <w:rsid w:val="00B36861"/>
    <w:rsid w:val="00B37F4F"/>
    <w:rsid w:val="00B40036"/>
    <w:rsid w:val="00B402B2"/>
    <w:rsid w:val="00B4076C"/>
    <w:rsid w:val="00B411F6"/>
    <w:rsid w:val="00B4237F"/>
    <w:rsid w:val="00B425B6"/>
    <w:rsid w:val="00B42749"/>
    <w:rsid w:val="00B43ADF"/>
    <w:rsid w:val="00B4401B"/>
    <w:rsid w:val="00B44D7B"/>
    <w:rsid w:val="00B45722"/>
    <w:rsid w:val="00B458FF"/>
    <w:rsid w:val="00B46082"/>
    <w:rsid w:val="00B4688C"/>
    <w:rsid w:val="00B46B73"/>
    <w:rsid w:val="00B47DBE"/>
    <w:rsid w:val="00B5015C"/>
    <w:rsid w:val="00B5030F"/>
    <w:rsid w:val="00B50DBE"/>
    <w:rsid w:val="00B51038"/>
    <w:rsid w:val="00B51B33"/>
    <w:rsid w:val="00B52357"/>
    <w:rsid w:val="00B525C3"/>
    <w:rsid w:val="00B5362F"/>
    <w:rsid w:val="00B53FC5"/>
    <w:rsid w:val="00B54437"/>
    <w:rsid w:val="00B54CC6"/>
    <w:rsid w:val="00B54D70"/>
    <w:rsid w:val="00B55156"/>
    <w:rsid w:val="00B555C4"/>
    <w:rsid w:val="00B5632A"/>
    <w:rsid w:val="00B5646C"/>
    <w:rsid w:val="00B565DA"/>
    <w:rsid w:val="00B565DD"/>
    <w:rsid w:val="00B567FD"/>
    <w:rsid w:val="00B57079"/>
    <w:rsid w:val="00B57089"/>
    <w:rsid w:val="00B57921"/>
    <w:rsid w:val="00B57F0A"/>
    <w:rsid w:val="00B60876"/>
    <w:rsid w:val="00B60E3C"/>
    <w:rsid w:val="00B6264F"/>
    <w:rsid w:val="00B63207"/>
    <w:rsid w:val="00B64552"/>
    <w:rsid w:val="00B64B5C"/>
    <w:rsid w:val="00B64DCC"/>
    <w:rsid w:val="00B65229"/>
    <w:rsid w:val="00B65CC4"/>
    <w:rsid w:val="00B661B6"/>
    <w:rsid w:val="00B6665B"/>
    <w:rsid w:val="00B667F6"/>
    <w:rsid w:val="00B67000"/>
    <w:rsid w:val="00B67257"/>
    <w:rsid w:val="00B6766B"/>
    <w:rsid w:val="00B67938"/>
    <w:rsid w:val="00B700A7"/>
    <w:rsid w:val="00B70108"/>
    <w:rsid w:val="00B709D8"/>
    <w:rsid w:val="00B71B2F"/>
    <w:rsid w:val="00B73B5B"/>
    <w:rsid w:val="00B740D6"/>
    <w:rsid w:val="00B74B25"/>
    <w:rsid w:val="00B759C0"/>
    <w:rsid w:val="00B7630D"/>
    <w:rsid w:val="00B76B81"/>
    <w:rsid w:val="00B76BB0"/>
    <w:rsid w:val="00B76F8A"/>
    <w:rsid w:val="00B77822"/>
    <w:rsid w:val="00B77C48"/>
    <w:rsid w:val="00B800BC"/>
    <w:rsid w:val="00B8026D"/>
    <w:rsid w:val="00B806F1"/>
    <w:rsid w:val="00B80B86"/>
    <w:rsid w:val="00B80C33"/>
    <w:rsid w:val="00B8145B"/>
    <w:rsid w:val="00B81FB7"/>
    <w:rsid w:val="00B82E6E"/>
    <w:rsid w:val="00B83AE0"/>
    <w:rsid w:val="00B83BEA"/>
    <w:rsid w:val="00B84613"/>
    <w:rsid w:val="00B85254"/>
    <w:rsid w:val="00B85384"/>
    <w:rsid w:val="00B85415"/>
    <w:rsid w:val="00B8568E"/>
    <w:rsid w:val="00B858F1"/>
    <w:rsid w:val="00B85B0A"/>
    <w:rsid w:val="00B86059"/>
    <w:rsid w:val="00B86220"/>
    <w:rsid w:val="00B8657E"/>
    <w:rsid w:val="00B86AC7"/>
    <w:rsid w:val="00B86C79"/>
    <w:rsid w:val="00B870C5"/>
    <w:rsid w:val="00B871CF"/>
    <w:rsid w:val="00B87FC0"/>
    <w:rsid w:val="00B90A78"/>
    <w:rsid w:val="00B91306"/>
    <w:rsid w:val="00B91D54"/>
    <w:rsid w:val="00B92954"/>
    <w:rsid w:val="00B934CE"/>
    <w:rsid w:val="00B93804"/>
    <w:rsid w:val="00B944A0"/>
    <w:rsid w:val="00B949D1"/>
    <w:rsid w:val="00B951F2"/>
    <w:rsid w:val="00B9605F"/>
    <w:rsid w:val="00B96643"/>
    <w:rsid w:val="00B969D6"/>
    <w:rsid w:val="00B970EA"/>
    <w:rsid w:val="00BA075B"/>
    <w:rsid w:val="00BA0BFC"/>
    <w:rsid w:val="00BA20D5"/>
    <w:rsid w:val="00BA2335"/>
    <w:rsid w:val="00BA2D27"/>
    <w:rsid w:val="00BA3C58"/>
    <w:rsid w:val="00BA4B84"/>
    <w:rsid w:val="00BA5AA6"/>
    <w:rsid w:val="00BA62AD"/>
    <w:rsid w:val="00BA673D"/>
    <w:rsid w:val="00BA7571"/>
    <w:rsid w:val="00BB0232"/>
    <w:rsid w:val="00BB19C5"/>
    <w:rsid w:val="00BB1D40"/>
    <w:rsid w:val="00BB1D7E"/>
    <w:rsid w:val="00BB1FDE"/>
    <w:rsid w:val="00BB28B6"/>
    <w:rsid w:val="00BB2A75"/>
    <w:rsid w:val="00BB3682"/>
    <w:rsid w:val="00BB3936"/>
    <w:rsid w:val="00BB3A02"/>
    <w:rsid w:val="00BB3C18"/>
    <w:rsid w:val="00BB3D8E"/>
    <w:rsid w:val="00BB4567"/>
    <w:rsid w:val="00BB4E65"/>
    <w:rsid w:val="00BB541B"/>
    <w:rsid w:val="00BB55C5"/>
    <w:rsid w:val="00BB6321"/>
    <w:rsid w:val="00BB657F"/>
    <w:rsid w:val="00BB7B7E"/>
    <w:rsid w:val="00BB7E1C"/>
    <w:rsid w:val="00BB7EA6"/>
    <w:rsid w:val="00BC0090"/>
    <w:rsid w:val="00BC0DD5"/>
    <w:rsid w:val="00BC2014"/>
    <w:rsid w:val="00BC248F"/>
    <w:rsid w:val="00BC2B61"/>
    <w:rsid w:val="00BC3884"/>
    <w:rsid w:val="00BC3AA7"/>
    <w:rsid w:val="00BC4196"/>
    <w:rsid w:val="00BC44C3"/>
    <w:rsid w:val="00BC48C5"/>
    <w:rsid w:val="00BC6391"/>
    <w:rsid w:val="00BC63E9"/>
    <w:rsid w:val="00BC6BDB"/>
    <w:rsid w:val="00BC77DB"/>
    <w:rsid w:val="00BC7D1A"/>
    <w:rsid w:val="00BC7FE8"/>
    <w:rsid w:val="00BD02B9"/>
    <w:rsid w:val="00BD096E"/>
    <w:rsid w:val="00BD12F9"/>
    <w:rsid w:val="00BD1512"/>
    <w:rsid w:val="00BD1759"/>
    <w:rsid w:val="00BD207F"/>
    <w:rsid w:val="00BD30FC"/>
    <w:rsid w:val="00BD36FF"/>
    <w:rsid w:val="00BD3A77"/>
    <w:rsid w:val="00BD5129"/>
    <w:rsid w:val="00BD522F"/>
    <w:rsid w:val="00BD538B"/>
    <w:rsid w:val="00BD6FEF"/>
    <w:rsid w:val="00BD75F4"/>
    <w:rsid w:val="00BE060D"/>
    <w:rsid w:val="00BE074D"/>
    <w:rsid w:val="00BE0A86"/>
    <w:rsid w:val="00BE0D83"/>
    <w:rsid w:val="00BE143F"/>
    <w:rsid w:val="00BE1487"/>
    <w:rsid w:val="00BE1812"/>
    <w:rsid w:val="00BE21E3"/>
    <w:rsid w:val="00BE2E9D"/>
    <w:rsid w:val="00BE30EB"/>
    <w:rsid w:val="00BE3116"/>
    <w:rsid w:val="00BE3663"/>
    <w:rsid w:val="00BE3A5B"/>
    <w:rsid w:val="00BE4588"/>
    <w:rsid w:val="00BE54D3"/>
    <w:rsid w:val="00BE5DCA"/>
    <w:rsid w:val="00BE6330"/>
    <w:rsid w:val="00BE6333"/>
    <w:rsid w:val="00BE70CB"/>
    <w:rsid w:val="00BE76F7"/>
    <w:rsid w:val="00BF025D"/>
    <w:rsid w:val="00BF04A9"/>
    <w:rsid w:val="00BF0684"/>
    <w:rsid w:val="00BF110B"/>
    <w:rsid w:val="00BF1316"/>
    <w:rsid w:val="00BF1C45"/>
    <w:rsid w:val="00BF2133"/>
    <w:rsid w:val="00BF2181"/>
    <w:rsid w:val="00BF2950"/>
    <w:rsid w:val="00BF309D"/>
    <w:rsid w:val="00BF3C23"/>
    <w:rsid w:val="00BF410B"/>
    <w:rsid w:val="00BF4346"/>
    <w:rsid w:val="00BF45D6"/>
    <w:rsid w:val="00BF5055"/>
    <w:rsid w:val="00BF5099"/>
    <w:rsid w:val="00BF5250"/>
    <w:rsid w:val="00BF5288"/>
    <w:rsid w:val="00BF629D"/>
    <w:rsid w:val="00BF7D57"/>
    <w:rsid w:val="00C00F58"/>
    <w:rsid w:val="00C01398"/>
    <w:rsid w:val="00C01F9D"/>
    <w:rsid w:val="00C02556"/>
    <w:rsid w:val="00C027D0"/>
    <w:rsid w:val="00C02A8E"/>
    <w:rsid w:val="00C02B94"/>
    <w:rsid w:val="00C02C63"/>
    <w:rsid w:val="00C031D6"/>
    <w:rsid w:val="00C03F36"/>
    <w:rsid w:val="00C03F7D"/>
    <w:rsid w:val="00C042A0"/>
    <w:rsid w:val="00C05183"/>
    <w:rsid w:val="00C05ADC"/>
    <w:rsid w:val="00C0680B"/>
    <w:rsid w:val="00C06A3B"/>
    <w:rsid w:val="00C074F8"/>
    <w:rsid w:val="00C07B5C"/>
    <w:rsid w:val="00C10444"/>
    <w:rsid w:val="00C105CC"/>
    <w:rsid w:val="00C10614"/>
    <w:rsid w:val="00C111DC"/>
    <w:rsid w:val="00C11744"/>
    <w:rsid w:val="00C118B0"/>
    <w:rsid w:val="00C119A5"/>
    <w:rsid w:val="00C11A80"/>
    <w:rsid w:val="00C11C49"/>
    <w:rsid w:val="00C1292D"/>
    <w:rsid w:val="00C12BFD"/>
    <w:rsid w:val="00C13011"/>
    <w:rsid w:val="00C15BC8"/>
    <w:rsid w:val="00C15CE6"/>
    <w:rsid w:val="00C16214"/>
    <w:rsid w:val="00C16D4B"/>
    <w:rsid w:val="00C16E08"/>
    <w:rsid w:val="00C1770C"/>
    <w:rsid w:val="00C17C96"/>
    <w:rsid w:val="00C17CD3"/>
    <w:rsid w:val="00C20137"/>
    <w:rsid w:val="00C20D22"/>
    <w:rsid w:val="00C20FD4"/>
    <w:rsid w:val="00C210F4"/>
    <w:rsid w:val="00C2133A"/>
    <w:rsid w:val="00C22648"/>
    <w:rsid w:val="00C227AF"/>
    <w:rsid w:val="00C22B49"/>
    <w:rsid w:val="00C22E76"/>
    <w:rsid w:val="00C2305F"/>
    <w:rsid w:val="00C23633"/>
    <w:rsid w:val="00C23C34"/>
    <w:rsid w:val="00C24439"/>
    <w:rsid w:val="00C255B5"/>
    <w:rsid w:val="00C25B75"/>
    <w:rsid w:val="00C2649F"/>
    <w:rsid w:val="00C265A4"/>
    <w:rsid w:val="00C27EDC"/>
    <w:rsid w:val="00C27F6C"/>
    <w:rsid w:val="00C301C6"/>
    <w:rsid w:val="00C31BB5"/>
    <w:rsid w:val="00C31DCE"/>
    <w:rsid w:val="00C3323B"/>
    <w:rsid w:val="00C3381D"/>
    <w:rsid w:val="00C33D42"/>
    <w:rsid w:val="00C34890"/>
    <w:rsid w:val="00C34A67"/>
    <w:rsid w:val="00C358F5"/>
    <w:rsid w:val="00C35D79"/>
    <w:rsid w:val="00C35D90"/>
    <w:rsid w:val="00C36050"/>
    <w:rsid w:val="00C360F2"/>
    <w:rsid w:val="00C3618C"/>
    <w:rsid w:val="00C36ADF"/>
    <w:rsid w:val="00C36C66"/>
    <w:rsid w:val="00C374C1"/>
    <w:rsid w:val="00C37904"/>
    <w:rsid w:val="00C37B2F"/>
    <w:rsid w:val="00C4059F"/>
    <w:rsid w:val="00C4130C"/>
    <w:rsid w:val="00C41801"/>
    <w:rsid w:val="00C41850"/>
    <w:rsid w:val="00C41BF0"/>
    <w:rsid w:val="00C426D7"/>
    <w:rsid w:val="00C42DDC"/>
    <w:rsid w:val="00C43B43"/>
    <w:rsid w:val="00C43B44"/>
    <w:rsid w:val="00C43F1F"/>
    <w:rsid w:val="00C451BE"/>
    <w:rsid w:val="00C456F1"/>
    <w:rsid w:val="00C47A4A"/>
    <w:rsid w:val="00C509A9"/>
    <w:rsid w:val="00C50CC7"/>
    <w:rsid w:val="00C515C5"/>
    <w:rsid w:val="00C51650"/>
    <w:rsid w:val="00C518B3"/>
    <w:rsid w:val="00C52395"/>
    <w:rsid w:val="00C52899"/>
    <w:rsid w:val="00C52D6D"/>
    <w:rsid w:val="00C53265"/>
    <w:rsid w:val="00C54BD7"/>
    <w:rsid w:val="00C54DB6"/>
    <w:rsid w:val="00C550AD"/>
    <w:rsid w:val="00C55667"/>
    <w:rsid w:val="00C55904"/>
    <w:rsid w:val="00C5618E"/>
    <w:rsid w:val="00C568A8"/>
    <w:rsid w:val="00C56B2C"/>
    <w:rsid w:val="00C56C4A"/>
    <w:rsid w:val="00C57399"/>
    <w:rsid w:val="00C57CAC"/>
    <w:rsid w:val="00C603B4"/>
    <w:rsid w:val="00C605B4"/>
    <w:rsid w:val="00C60DC3"/>
    <w:rsid w:val="00C613CC"/>
    <w:rsid w:val="00C616DB"/>
    <w:rsid w:val="00C61A4C"/>
    <w:rsid w:val="00C6395F"/>
    <w:rsid w:val="00C639C8"/>
    <w:rsid w:val="00C63AC6"/>
    <w:rsid w:val="00C64695"/>
    <w:rsid w:val="00C65D17"/>
    <w:rsid w:val="00C664EB"/>
    <w:rsid w:val="00C67D08"/>
    <w:rsid w:val="00C67EFB"/>
    <w:rsid w:val="00C7038A"/>
    <w:rsid w:val="00C70B91"/>
    <w:rsid w:val="00C7181D"/>
    <w:rsid w:val="00C71904"/>
    <w:rsid w:val="00C71BB7"/>
    <w:rsid w:val="00C71FE3"/>
    <w:rsid w:val="00C725DF"/>
    <w:rsid w:val="00C72A25"/>
    <w:rsid w:val="00C72AD2"/>
    <w:rsid w:val="00C72BC0"/>
    <w:rsid w:val="00C72DBF"/>
    <w:rsid w:val="00C739B5"/>
    <w:rsid w:val="00C74A3A"/>
    <w:rsid w:val="00C74CD5"/>
    <w:rsid w:val="00C76438"/>
    <w:rsid w:val="00C764F2"/>
    <w:rsid w:val="00C77CB9"/>
    <w:rsid w:val="00C8090A"/>
    <w:rsid w:val="00C8193E"/>
    <w:rsid w:val="00C823AF"/>
    <w:rsid w:val="00C82759"/>
    <w:rsid w:val="00C82A7E"/>
    <w:rsid w:val="00C82B7A"/>
    <w:rsid w:val="00C83F37"/>
    <w:rsid w:val="00C8472C"/>
    <w:rsid w:val="00C8497E"/>
    <w:rsid w:val="00C85315"/>
    <w:rsid w:val="00C8563B"/>
    <w:rsid w:val="00C869B8"/>
    <w:rsid w:val="00C8728C"/>
    <w:rsid w:val="00C872FE"/>
    <w:rsid w:val="00C8777B"/>
    <w:rsid w:val="00C90413"/>
    <w:rsid w:val="00C9068A"/>
    <w:rsid w:val="00C911A1"/>
    <w:rsid w:val="00C911FF"/>
    <w:rsid w:val="00C9150D"/>
    <w:rsid w:val="00C91D00"/>
    <w:rsid w:val="00C92D9C"/>
    <w:rsid w:val="00C92F0F"/>
    <w:rsid w:val="00C93AA4"/>
    <w:rsid w:val="00C93C21"/>
    <w:rsid w:val="00C94050"/>
    <w:rsid w:val="00C94388"/>
    <w:rsid w:val="00C944AD"/>
    <w:rsid w:val="00C946F0"/>
    <w:rsid w:val="00C952DE"/>
    <w:rsid w:val="00C95491"/>
    <w:rsid w:val="00C96300"/>
    <w:rsid w:val="00C965A1"/>
    <w:rsid w:val="00C96B3E"/>
    <w:rsid w:val="00C97006"/>
    <w:rsid w:val="00C9720C"/>
    <w:rsid w:val="00C97750"/>
    <w:rsid w:val="00C97AED"/>
    <w:rsid w:val="00CA165F"/>
    <w:rsid w:val="00CA1746"/>
    <w:rsid w:val="00CA2B2F"/>
    <w:rsid w:val="00CA468B"/>
    <w:rsid w:val="00CA499D"/>
    <w:rsid w:val="00CA4DB8"/>
    <w:rsid w:val="00CA52A6"/>
    <w:rsid w:val="00CA5549"/>
    <w:rsid w:val="00CA60A4"/>
    <w:rsid w:val="00CA6B6E"/>
    <w:rsid w:val="00CA7DD4"/>
    <w:rsid w:val="00CB0F4E"/>
    <w:rsid w:val="00CB274A"/>
    <w:rsid w:val="00CB2EA9"/>
    <w:rsid w:val="00CB2F79"/>
    <w:rsid w:val="00CB3F72"/>
    <w:rsid w:val="00CB43E8"/>
    <w:rsid w:val="00CB471B"/>
    <w:rsid w:val="00CB56DE"/>
    <w:rsid w:val="00CB5E07"/>
    <w:rsid w:val="00CB657C"/>
    <w:rsid w:val="00CB6E25"/>
    <w:rsid w:val="00CB7440"/>
    <w:rsid w:val="00CB7519"/>
    <w:rsid w:val="00CB7879"/>
    <w:rsid w:val="00CB78D3"/>
    <w:rsid w:val="00CB7D22"/>
    <w:rsid w:val="00CC09C8"/>
    <w:rsid w:val="00CC0A9E"/>
    <w:rsid w:val="00CC2215"/>
    <w:rsid w:val="00CC27DF"/>
    <w:rsid w:val="00CC358A"/>
    <w:rsid w:val="00CC360D"/>
    <w:rsid w:val="00CC3761"/>
    <w:rsid w:val="00CC388F"/>
    <w:rsid w:val="00CC3B94"/>
    <w:rsid w:val="00CC4860"/>
    <w:rsid w:val="00CC4A1C"/>
    <w:rsid w:val="00CC5C1B"/>
    <w:rsid w:val="00CC6578"/>
    <w:rsid w:val="00CC69A6"/>
    <w:rsid w:val="00CC796B"/>
    <w:rsid w:val="00CC7E5C"/>
    <w:rsid w:val="00CD034F"/>
    <w:rsid w:val="00CD0497"/>
    <w:rsid w:val="00CD1128"/>
    <w:rsid w:val="00CD14C6"/>
    <w:rsid w:val="00CD1F7B"/>
    <w:rsid w:val="00CD22F1"/>
    <w:rsid w:val="00CD2D6B"/>
    <w:rsid w:val="00CD354C"/>
    <w:rsid w:val="00CD3956"/>
    <w:rsid w:val="00CD4529"/>
    <w:rsid w:val="00CD5D52"/>
    <w:rsid w:val="00CD5EE4"/>
    <w:rsid w:val="00CD60C0"/>
    <w:rsid w:val="00CD6C37"/>
    <w:rsid w:val="00CD762C"/>
    <w:rsid w:val="00CD7ADE"/>
    <w:rsid w:val="00CD7E0B"/>
    <w:rsid w:val="00CE00E0"/>
    <w:rsid w:val="00CE0FAB"/>
    <w:rsid w:val="00CE1095"/>
    <w:rsid w:val="00CE1363"/>
    <w:rsid w:val="00CE1761"/>
    <w:rsid w:val="00CE1C5D"/>
    <w:rsid w:val="00CE2824"/>
    <w:rsid w:val="00CE292C"/>
    <w:rsid w:val="00CE3292"/>
    <w:rsid w:val="00CE3315"/>
    <w:rsid w:val="00CE3C79"/>
    <w:rsid w:val="00CE3EE1"/>
    <w:rsid w:val="00CE4F28"/>
    <w:rsid w:val="00CE5B23"/>
    <w:rsid w:val="00CE5C09"/>
    <w:rsid w:val="00CE68AA"/>
    <w:rsid w:val="00CE6F0D"/>
    <w:rsid w:val="00CE7036"/>
    <w:rsid w:val="00CE7A10"/>
    <w:rsid w:val="00CE7FA5"/>
    <w:rsid w:val="00CF0536"/>
    <w:rsid w:val="00CF0629"/>
    <w:rsid w:val="00CF0B33"/>
    <w:rsid w:val="00CF0CD1"/>
    <w:rsid w:val="00CF1524"/>
    <w:rsid w:val="00CF2241"/>
    <w:rsid w:val="00CF2DF3"/>
    <w:rsid w:val="00CF3705"/>
    <w:rsid w:val="00CF3D47"/>
    <w:rsid w:val="00CF40F7"/>
    <w:rsid w:val="00CF62F1"/>
    <w:rsid w:val="00D000A9"/>
    <w:rsid w:val="00D0049A"/>
    <w:rsid w:val="00D005B7"/>
    <w:rsid w:val="00D01322"/>
    <w:rsid w:val="00D01F05"/>
    <w:rsid w:val="00D0260B"/>
    <w:rsid w:val="00D029AA"/>
    <w:rsid w:val="00D030FC"/>
    <w:rsid w:val="00D03B46"/>
    <w:rsid w:val="00D03F5F"/>
    <w:rsid w:val="00D040EF"/>
    <w:rsid w:val="00D054AF"/>
    <w:rsid w:val="00D05983"/>
    <w:rsid w:val="00D05D54"/>
    <w:rsid w:val="00D062FB"/>
    <w:rsid w:val="00D0699F"/>
    <w:rsid w:val="00D06C99"/>
    <w:rsid w:val="00D071C7"/>
    <w:rsid w:val="00D075F5"/>
    <w:rsid w:val="00D0768B"/>
    <w:rsid w:val="00D07C0D"/>
    <w:rsid w:val="00D106EC"/>
    <w:rsid w:val="00D10E51"/>
    <w:rsid w:val="00D10EA4"/>
    <w:rsid w:val="00D118C2"/>
    <w:rsid w:val="00D11AA6"/>
    <w:rsid w:val="00D13746"/>
    <w:rsid w:val="00D13C6B"/>
    <w:rsid w:val="00D13F60"/>
    <w:rsid w:val="00D14488"/>
    <w:rsid w:val="00D145CD"/>
    <w:rsid w:val="00D15D0F"/>
    <w:rsid w:val="00D16000"/>
    <w:rsid w:val="00D1607F"/>
    <w:rsid w:val="00D16377"/>
    <w:rsid w:val="00D1643A"/>
    <w:rsid w:val="00D1733B"/>
    <w:rsid w:val="00D203D6"/>
    <w:rsid w:val="00D208FA"/>
    <w:rsid w:val="00D21415"/>
    <w:rsid w:val="00D2144C"/>
    <w:rsid w:val="00D21DFA"/>
    <w:rsid w:val="00D21EAF"/>
    <w:rsid w:val="00D21EE3"/>
    <w:rsid w:val="00D221FA"/>
    <w:rsid w:val="00D22AE5"/>
    <w:rsid w:val="00D23DF7"/>
    <w:rsid w:val="00D2436D"/>
    <w:rsid w:val="00D24849"/>
    <w:rsid w:val="00D25A8F"/>
    <w:rsid w:val="00D269EE"/>
    <w:rsid w:val="00D2759C"/>
    <w:rsid w:val="00D27673"/>
    <w:rsid w:val="00D303B2"/>
    <w:rsid w:val="00D30A81"/>
    <w:rsid w:val="00D31268"/>
    <w:rsid w:val="00D31BC9"/>
    <w:rsid w:val="00D31EC6"/>
    <w:rsid w:val="00D31F2D"/>
    <w:rsid w:val="00D32856"/>
    <w:rsid w:val="00D32A9E"/>
    <w:rsid w:val="00D33AFA"/>
    <w:rsid w:val="00D33BB6"/>
    <w:rsid w:val="00D33C3B"/>
    <w:rsid w:val="00D34BC8"/>
    <w:rsid w:val="00D34EF5"/>
    <w:rsid w:val="00D35512"/>
    <w:rsid w:val="00D36015"/>
    <w:rsid w:val="00D36FBF"/>
    <w:rsid w:val="00D372E9"/>
    <w:rsid w:val="00D3747D"/>
    <w:rsid w:val="00D4078B"/>
    <w:rsid w:val="00D41495"/>
    <w:rsid w:val="00D41AB7"/>
    <w:rsid w:val="00D41E55"/>
    <w:rsid w:val="00D42275"/>
    <w:rsid w:val="00D42452"/>
    <w:rsid w:val="00D42F0B"/>
    <w:rsid w:val="00D43482"/>
    <w:rsid w:val="00D43854"/>
    <w:rsid w:val="00D44190"/>
    <w:rsid w:val="00D44BDD"/>
    <w:rsid w:val="00D44D92"/>
    <w:rsid w:val="00D44E77"/>
    <w:rsid w:val="00D44FAC"/>
    <w:rsid w:val="00D452D1"/>
    <w:rsid w:val="00D457E8"/>
    <w:rsid w:val="00D459A5"/>
    <w:rsid w:val="00D46437"/>
    <w:rsid w:val="00D47349"/>
    <w:rsid w:val="00D476D3"/>
    <w:rsid w:val="00D5041C"/>
    <w:rsid w:val="00D5089C"/>
    <w:rsid w:val="00D51182"/>
    <w:rsid w:val="00D51634"/>
    <w:rsid w:val="00D52978"/>
    <w:rsid w:val="00D54645"/>
    <w:rsid w:val="00D546DE"/>
    <w:rsid w:val="00D54D74"/>
    <w:rsid w:val="00D55281"/>
    <w:rsid w:val="00D55673"/>
    <w:rsid w:val="00D55B9A"/>
    <w:rsid w:val="00D55F6D"/>
    <w:rsid w:val="00D5636D"/>
    <w:rsid w:val="00D57DAC"/>
    <w:rsid w:val="00D57E49"/>
    <w:rsid w:val="00D61078"/>
    <w:rsid w:val="00D6244B"/>
    <w:rsid w:val="00D627A3"/>
    <w:rsid w:val="00D62854"/>
    <w:rsid w:val="00D62BFF"/>
    <w:rsid w:val="00D63375"/>
    <w:rsid w:val="00D633F1"/>
    <w:rsid w:val="00D6443F"/>
    <w:rsid w:val="00D64AD0"/>
    <w:rsid w:val="00D65848"/>
    <w:rsid w:val="00D65E1F"/>
    <w:rsid w:val="00D660D5"/>
    <w:rsid w:val="00D6689B"/>
    <w:rsid w:val="00D66939"/>
    <w:rsid w:val="00D6699A"/>
    <w:rsid w:val="00D66C3A"/>
    <w:rsid w:val="00D66DB2"/>
    <w:rsid w:val="00D671C8"/>
    <w:rsid w:val="00D676AA"/>
    <w:rsid w:val="00D679D0"/>
    <w:rsid w:val="00D67C88"/>
    <w:rsid w:val="00D71387"/>
    <w:rsid w:val="00D719BF"/>
    <w:rsid w:val="00D719D8"/>
    <w:rsid w:val="00D728FB"/>
    <w:rsid w:val="00D72CEE"/>
    <w:rsid w:val="00D740E1"/>
    <w:rsid w:val="00D74665"/>
    <w:rsid w:val="00D74F09"/>
    <w:rsid w:val="00D75DA0"/>
    <w:rsid w:val="00D75DCE"/>
    <w:rsid w:val="00D761ED"/>
    <w:rsid w:val="00D779D3"/>
    <w:rsid w:val="00D77E20"/>
    <w:rsid w:val="00D80187"/>
    <w:rsid w:val="00D803EF"/>
    <w:rsid w:val="00D813A3"/>
    <w:rsid w:val="00D81D8E"/>
    <w:rsid w:val="00D820E0"/>
    <w:rsid w:val="00D8266C"/>
    <w:rsid w:val="00D83438"/>
    <w:rsid w:val="00D84298"/>
    <w:rsid w:val="00D848B7"/>
    <w:rsid w:val="00D85C25"/>
    <w:rsid w:val="00D86203"/>
    <w:rsid w:val="00D872E6"/>
    <w:rsid w:val="00D8776B"/>
    <w:rsid w:val="00D901E2"/>
    <w:rsid w:val="00D907B0"/>
    <w:rsid w:val="00D908BF"/>
    <w:rsid w:val="00D914BD"/>
    <w:rsid w:val="00D91BDA"/>
    <w:rsid w:val="00D92611"/>
    <w:rsid w:val="00D931BA"/>
    <w:rsid w:val="00D933CA"/>
    <w:rsid w:val="00D93D5F"/>
    <w:rsid w:val="00D940AE"/>
    <w:rsid w:val="00D94E36"/>
    <w:rsid w:val="00D9505F"/>
    <w:rsid w:val="00D95B82"/>
    <w:rsid w:val="00D95BA6"/>
    <w:rsid w:val="00D95EA8"/>
    <w:rsid w:val="00D96405"/>
    <w:rsid w:val="00D970BC"/>
    <w:rsid w:val="00D9788D"/>
    <w:rsid w:val="00D97CA9"/>
    <w:rsid w:val="00D97DCC"/>
    <w:rsid w:val="00D97E72"/>
    <w:rsid w:val="00DA1669"/>
    <w:rsid w:val="00DA169C"/>
    <w:rsid w:val="00DA16C0"/>
    <w:rsid w:val="00DA16C2"/>
    <w:rsid w:val="00DA18FD"/>
    <w:rsid w:val="00DA252B"/>
    <w:rsid w:val="00DA4024"/>
    <w:rsid w:val="00DA499B"/>
    <w:rsid w:val="00DA4C22"/>
    <w:rsid w:val="00DA509B"/>
    <w:rsid w:val="00DA5595"/>
    <w:rsid w:val="00DA60D4"/>
    <w:rsid w:val="00DA613B"/>
    <w:rsid w:val="00DA6282"/>
    <w:rsid w:val="00DA66BA"/>
    <w:rsid w:val="00DA6943"/>
    <w:rsid w:val="00DA75AC"/>
    <w:rsid w:val="00DA7DCB"/>
    <w:rsid w:val="00DB0B73"/>
    <w:rsid w:val="00DB1915"/>
    <w:rsid w:val="00DB196E"/>
    <w:rsid w:val="00DB21CD"/>
    <w:rsid w:val="00DB22AF"/>
    <w:rsid w:val="00DB274D"/>
    <w:rsid w:val="00DB286D"/>
    <w:rsid w:val="00DB2E6D"/>
    <w:rsid w:val="00DB31D2"/>
    <w:rsid w:val="00DB36A3"/>
    <w:rsid w:val="00DB38C4"/>
    <w:rsid w:val="00DB39DA"/>
    <w:rsid w:val="00DB415B"/>
    <w:rsid w:val="00DB4160"/>
    <w:rsid w:val="00DB4737"/>
    <w:rsid w:val="00DB5061"/>
    <w:rsid w:val="00DB528C"/>
    <w:rsid w:val="00DB5786"/>
    <w:rsid w:val="00DB5CD0"/>
    <w:rsid w:val="00DB6446"/>
    <w:rsid w:val="00DB6A6A"/>
    <w:rsid w:val="00DB700E"/>
    <w:rsid w:val="00DB7416"/>
    <w:rsid w:val="00DB769F"/>
    <w:rsid w:val="00DB7A64"/>
    <w:rsid w:val="00DC01EC"/>
    <w:rsid w:val="00DC0608"/>
    <w:rsid w:val="00DC06F6"/>
    <w:rsid w:val="00DC12A4"/>
    <w:rsid w:val="00DC14AD"/>
    <w:rsid w:val="00DC1836"/>
    <w:rsid w:val="00DC246C"/>
    <w:rsid w:val="00DC350C"/>
    <w:rsid w:val="00DC3E4F"/>
    <w:rsid w:val="00DC493B"/>
    <w:rsid w:val="00DC4FCE"/>
    <w:rsid w:val="00DC516D"/>
    <w:rsid w:val="00DC5AB7"/>
    <w:rsid w:val="00DC5D0D"/>
    <w:rsid w:val="00DC5E95"/>
    <w:rsid w:val="00DC68D3"/>
    <w:rsid w:val="00DC6B84"/>
    <w:rsid w:val="00DC6F8B"/>
    <w:rsid w:val="00DC72C7"/>
    <w:rsid w:val="00DD0BAB"/>
    <w:rsid w:val="00DD0D3D"/>
    <w:rsid w:val="00DD0D4D"/>
    <w:rsid w:val="00DD1671"/>
    <w:rsid w:val="00DD18A8"/>
    <w:rsid w:val="00DD1E9B"/>
    <w:rsid w:val="00DD2874"/>
    <w:rsid w:val="00DD30F2"/>
    <w:rsid w:val="00DD3F7B"/>
    <w:rsid w:val="00DD44FE"/>
    <w:rsid w:val="00DD45B6"/>
    <w:rsid w:val="00DD5F93"/>
    <w:rsid w:val="00DE079E"/>
    <w:rsid w:val="00DE1297"/>
    <w:rsid w:val="00DE18F5"/>
    <w:rsid w:val="00DE1C5E"/>
    <w:rsid w:val="00DE2417"/>
    <w:rsid w:val="00DE4056"/>
    <w:rsid w:val="00DE439D"/>
    <w:rsid w:val="00DE49AA"/>
    <w:rsid w:val="00DE50E4"/>
    <w:rsid w:val="00DE536D"/>
    <w:rsid w:val="00DE60FB"/>
    <w:rsid w:val="00DE61F0"/>
    <w:rsid w:val="00DE6633"/>
    <w:rsid w:val="00DE6FB3"/>
    <w:rsid w:val="00DE700A"/>
    <w:rsid w:val="00DE797E"/>
    <w:rsid w:val="00DF011D"/>
    <w:rsid w:val="00DF0913"/>
    <w:rsid w:val="00DF0FA5"/>
    <w:rsid w:val="00DF166A"/>
    <w:rsid w:val="00DF1821"/>
    <w:rsid w:val="00DF1B65"/>
    <w:rsid w:val="00DF4047"/>
    <w:rsid w:val="00DF40E4"/>
    <w:rsid w:val="00DF411F"/>
    <w:rsid w:val="00DF4B61"/>
    <w:rsid w:val="00DF5338"/>
    <w:rsid w:val="00DF586C"/>
    <w:rsid w:val="00DF60E9"/>
    <w:rsid w:val="00DF679B"/>
    <w:rsid w:val="00DF6D71"/>
    <w:rsid w:val="00DF6EA9"/>
    <w:rsid w:val="00DF765B"/>
    <w:rsid w:val="00DF765E"/>
    <w:rsid w:val="00E00371"/>
    <w:rsid w:val="00E007EC"/>
    <w:rsid w:val="00E00A6E"/>
    <w:rsid w:val="00E00EE3"/>
    <w:rsid w:val="00E01254"/>
    <w:rsid w:val="00E01272"/>
    <w:rsid w:val="00E01A6B"/>
    <w:rsid w:val="00E02B62"/>
    <w:rsid w:val="00E02D65"/>
    <w:rsid w:val="00E035AB"/>
    <w:rsid w:val="00E03AC7"/>
    <w:rsid w:val="00E03E6C"/>
    <w:rsid w:val="00E04BED"/>
    <w:rsid w:val="00E04F1D"/>
    <w:rsid w:val="00E050CA"/>
    <w:rsid w:val="00E05222"/>
    <w:rsid w:val="00E05250"/>
    <w:rsid w:val="00E055C2"/>
    <w:rsid w:val="00E0615D"/>
    <w:rsid w:val="00E06461"/>
    <w:rsid w:val="00E0710B"/>
    <w:rsid w:val="00E07510"/>
    <w:rsid w:val="00E07584"/>
    <w:rsid w:val="00E079AC"/>
    <w:rsid w:val="00E07A6E"/>
    <w:rsid w:val="00E07AC2"/>
    <w:rsid w:val="00E07CBB"/>
    <w:rsid w:val="00E11115"/>
    <w:rsid w:val="00E115EC"/>
    <w:rsid w:val="00E11C5A"/>
    <w:rsid w:val="00E11D39"/>
    <w:rsid w:val="00E11D5E"/>
    <w:rsid w:val="00E1275C"/>
    <w:rsid w:val="00E12A5C"/>
    <w:rsid w:val="00E12C6C"/>
    <w:rsid w:val="00E12F60"/>
    <w:rsid w:val="00E1392A"/>
    <w:rsid w:val="00E13DD0"/>
    <w:rsid w:val="00E13E1C"/>
    <w:rsid w:val="00E13F63"/>
    <w:rsid w:val="00E1479A"/>
    <w:rsid w:val="00E149C2"/>
    <w:rsid w:val="00E14D28"/>
    <w:rsid w:val="00E152F8"/>
    <w:rsid w:val="00E15554"/>
    <w:rsid w:val="00E15FF8"/>
    <w:rsid w:val="00E166BA"/>
    <w:rsid w:val="00E16E64"/>
    <w:rsid w:val="00E201B0"/>
    <w:rsid w:val="00E2035C"/>
    <w:rsid w:val="00E20752"/>
    <w:rsid w:val="00E2080D"/>
    <w:rsid w:val="00E20923"/>
    <w:rsid w:val="00E21476"/>
    <w:rsid w:val="00E22620"/>
    <w:rsid w:val="00E23692"/>
    <w:rsid w:val="00E241B0"/>
    <w:rsid w:val="00E246BD"/>
    <w:rsid w:val="00E24CF4"/>
    <w:rsid w:val="00E26083"/>
    <w:rsid w:val="00E26A5C"/>
    <w:rsid w:val="00E2705B"/>
    <w:rsid w:val="00E2718C"/>
    <w:rsid w:val="00E27783"/>
    <w:rsid w:val="00E27A97"/>
    <w:rsid w:val="00E302C2"/>
    <w:rsid w:val="00E315E2"/>
    <w:rsid w:val="00E31BFC"/>
    <w:rsid w:val="00E328D3"/>
    <w:rsid w:val="00E329BD"/>
    <w:rsid w:val="00E32CAD"/>
    <w:rsid w:val="00E33390"/>
    <w:rsid w:val="00E33A14"/>
    <w:rsid w:val="00E33D11"/>
    <w:rsid w:val="00E34052"/>
    <w:rsid w:val="00E3408B"/>
    <w:rsid w:val="00E34755"/>
    <w:rsid w:val="00E34D22"/>
    <w:rsid w:val="00E35B38"/>
    <w:rsid w:val="00E40305"/>
    <w:rsid w:val="00E40C10"/>
    <w:rsid w:val="00E40D30"/>
    <w:rsid w:val="00E40F47"/>
    <w:rsid w:val="00E410C6"/>
    <w:rsid w:val="00E41198"/>
    <w:rsid w:val="00E425C5"/>
    <w:rsid w:val="00E42D58"/>
    <w:rsid w:val="00E43264"/>
    <w:rsid w:val="00E43383"/>
    <w:rsid w:val="00E4393C"/>
    <w:rsid w:val="00E4457B"/>
    <w:rsid w:val="00E4483C"/>
    <w:rsid w:val="00E46BB4"/>
    <w:rsid w:val="00E46FE5"/>
    <w:rsid w:val="00E47006"/>
    <w:rsid w:val="00E47046"/>
    <w:rsid w:val="00E47235"/>
    <w:rsid w:val="00E47B84"/>
    <w:rsid w:val="00E47EBE"/>
    <w:rsid w:val="00E47F4D"/>
    <w:rsid w:val="00E50158"/>
    <w:rsid w:val="00E5190E"/>
    <w:rsid w:val="00E51A7D"/>
    <w:rsid w:val="00E51BE1"/>
    <w:rsid w:val="00E5235C"/>
    <w:rsid w:val="00E52843"/>
    <w:rsid w:val="00E52883"/>
    <w:rsid w:val="00E537DF"/>
    <w:rsid w:val="00E53BCB"/>
    <w:rsid w:val="00E53FEA"/>
    <w:rsid w:val="00E5422A"/>
    <w:rsid w:val="00E545C2"/>
    <w:rsid w:val="00E56B3E"/>
    <w:rsid w:val="00E573EB"/>
    <w:rsid w:val="00E60082"/>
    <w:rsid w:val="00E6078B"/>
    <w:rsid w:val="00E611D4"/>
    <w:rsid w:val="00E616B9"/>
    <w:rsid w:val="00E61E4F"/>
    <w:rsid w:val="00E61E78"/>
    <w:rsid w:val="00E62CBE"/>
    <w:rsid w:val="00E62E0A"/>
    <w:rsid w:val="00E6313C"/>
    <w:rsid w:val="00E64482"/>
    <w:rsid w:val="00E64839"/>
    <w:rsid w:val="00E64F2D"/>
    <w:rsid w:val="00E65321"/>
    <w:rsid w:val="00E659E1"/>
    <w:rsid w:val="00E65C8A"/>
    <w:rsid w:val="00E65D10"/>
    <w:rsid w:val="00E66D2E"/>
    <w:rsid w:val="00E66F83"/>
    <w:rsid w:val="00E67F32"/>
    <w:rsid w:val="00E7061F"/>
    <w:rsid w:val="00E71387"/>
    <w:rsid w:val="00E72F45"/>
    <w:rsid w:val="00E73026"/>
    <w:rsid w:val="00E73374"/>
    <w:rsid w:val="00E73D65"/>
    <w:rsid w:val="00E74DEB"/>
    <w:rsid w:val="00E75659"/>
    <w:rsid w:val="00E75886"/>
    <w:rsid w:val="00E770FF"/>
    <w:rsid w:val="00E775D4"/>
    <w:rsid w:val="00E80137"/>
    <w:rsid w:val="00E80436"/>
    <w:rsid w:val="00E80E35"/>
    <w:rsid w:val="00E81589"/>
    <w:rsid w:val="00E817B5"/>
    <w:rsid w:val="00E81972"/>
    <w:rsid w:val="00E822FC"/>
    <w:rsid w:val="00E8291B"/>
    <w:rsid w:val="00E83411"/>
    <w:rsid w:val="00E8393C"/>
    <w:rsid w:val="00E83946"/>
    <w:rsid w:val="00E845B6"/>
    <w:rsid w:val="00E85306"/>
    <w:rsid w:val="00E8616F"/>
    <w:rsid w:val="00E865AE"/>
    <w:rsid w:val="00E87D1D"/>
    <w:rsid w:val="00E90270"/>
    <w:rsid w:val="00E910C0"/>
    <w:rsid w:val="00E91D73"/>
    <w:rsid w:val="00E92E2A"/>
    <w:rsid w:val="00E936A1"/>
    <w:rsid w:val="00E94360"/>
    <w:rsid w:val="00E94639"/>
    <w:rsid w:val="00E952EB"/>
    <w:rsid w:val="00E95357"/>
    <w:rsid w:val="00E9573C"/>
    <w:rsid w:val="00E958ED"/>
    <w:rsid w:val="00E95A45"/>
    <w:rsid w:val="00E95CC8"/>
    <w:rsid w:val="00E95E31"/>
    <w:rsid w:val="00E96407"/>
    <w:rsid w:val="00E96890"/>
    <w:rsid w:val="00E96CE0"/>
    <w:rsid w:val="00E9758F"/>
    <w:rsid w:val="00E97A41"/>
    <w:rsid w:val="00E97B27"/>
    <w:rsid w:val="00E97BBD"/>
    <w:rsid w:val="00E97F8C"/>
    <w:rsid w:val="00EA0B73"/>
    <w:rsid w:val="00EA1112"/>
    <w:rsid w:val="00EA127D"/>
    <w:rsid w:val="00EA1C59"/>
    <w:rsid w:val="00EA1DD5"/>
    <w:rsid w:val="00EA2A65"/>
    <w:rsid w:val="00EA2DFD"/>
    <w:rsid w:val="00EA3026"/>
    <w:rsid w:val="00EA375A"/>
    <w:rsid w:val="00EA3B19"/>
    <w:rsid w:val="00EA4108"/>
    <w:rsid w:val="00EA424D"/>
    <w:rsid w:val="00EA4373"/>
    <w:rsid w:val="00EA45DA"/>
    <w:rsid w:val="00EA54CE"/>
    <w:rsid w:val="00EA5C72"/>
    <w:rsid w:val="00EA6ADE"/>
    <w:rsid w:val="00EA71BF"/>
    <w:rsid w:val="00EA722E"/>
    <w:rsid w:val="00EA7256"/>
    <w:rsid w:val="00EA731E"/>
    <w:rsid w:val="00EA793E"/>
    <w:rsid w:val="00EB05EC"/>
    <w:rsid w:val="00EB0EFE"/>
    <w:rsid w:val="00EB2817"/>
    <w:rsid w:val="00EB2DCC"/>
    <w:rsid w:val="00EB306A"/>
    <w:rsid w:val="00EB4112"/>
    <w:rsid w:val="00EB50C2"/>
    <w:rsid w:val="00EB52AA"/>
    <w:rsid w:val="00EB62E0"/>
    <w:rsid w:val="00EB6A6F"/>
    <w:rsid w:val="00EB7D5A"/>
    <w:rsid w:val="00EB7F65"/>
    <w:rsid w:val="00EC0139"/>
    <w:rsid w:val="00EC088C"/>
    <w:rsid w:val="00EC0CC2"/>
    <w:rsid w:val="00EC0D17"/>
    <w:rsid w:val="00EC0D7F"/>
    <w:rsid w:val="00EC1408"/>
    <w:rsid w:val="00EC25AC"/>
    <w:rsid w:val="00EC30DF"/>
    <w:rsid w:val="00EC356B"/>
    <w:rsid w:val="00EC35D6"/>
    <w:rsid w:val="00EC35FD"/>
    <w:rsid w:val="00EC4162"/>
    <w:rsid w:val="00EC4403"/>
    <w:rsid w:val="00EC45BF"/>
    <w:rsid w:val="00EC4E75"/>
    <w:rsid w:val="00EC530E"/>
    <w:rsid w:val="00EC592E"/>
    <w:rsid w:val="00EC5F34"/>
    <w:rsid w:val="00EC6009"/>
    <w:rsid w:val="00EC657C"/>
    <w:rsid w:val="00EC65E5"/>
    <w:rsid w:val="00EC6D37"/>
    <w:rsid w:val="00EC7349"/>
    <w:rsid w:val="00EC78C1"/>
    <w:rsid w:val="00ED00E9"/>
    <w:rsid w:val="00ED0888"/>
    <w:rsid w:val="00ED0C95"/>
    <w:rsid w:val="00ED1762"/>
    <w:rsid w:val="00ED2450"/>
    <w:rsid w:val="00ED24A4"/>
    <w:rsid w:val="00ED2CE6"/>
    <w:rsid w:val="00ED350C"/>
    <w:rsid w:val="00ED41A5"/>
    <w:rsid w:val="00ED45C9"/>
    <w:rsid w:val="00ED5841"/>
    <w:rsid w:val="00ED5F81"/>
    <w:rsid w:val="00ED6069"/>
    <w:rsid w:val="00ED6C94"/>
    <w:rsid w:val="00ED6C97"/>
    <w:rsid w:val="00ED72E7"/>
    <w:rsid w:val="00ED75D1"/>
    <w:rsid w:val="00EE11A1"/>
    <w:rsid w:val="00EE12BB"/>
    <w:rsid w:val="00EE1729"/>
    <w:rsid w:val="00EE2C3C"/>
    <w:rsid w:val="00EE3282"/>
    <w:rsid w:val="00EE3911"/>
    <w:rsid w:val="00EE4E2E"/>
    <w:rsid w:val="00EE4F06"/>
    <w:rsid w:val="00EE5691"/>
    <w:rsid w:val="00EE59FF"/>
    <w:rsid w:val="00EE64CA"/>
    <w:rsid w:val="00EE7726"/>
    <w:rsid w:val="00EF0222"/>
    <w:rsid w:val="00EF04BB"/>
    <w:rsid w:val="00EF04ED"/>
    <w:rsid w:val="00EF08FB"/>
    <w:rsid w:val="00EF0901"/>
    <w:rsid w:val="00EF0C6B"/>
    <w:rsid w:val="00EF256C"/>
    <w:rsid w:val="00EF4334"/>
    <w:rsid w:val="00EF4504"/>
    <w:rsid w:val="00EF54AC"/>
    <w:rsid w:val="00EF58E5"/>
    <w:rsid w:val="00EF714A"/>
    <w:rsid w:val="00EF7A94"/>
    <w:rsid w:val="00F00513"/>
    <w:rsid w:val="00F008B0"/>
    <w:rsid w:val="00F00CE5"/>
    <w:rsid w:val="00F00E1A"/>
    <w:rsid w:val="00F0169E"/>
    <w:rsid w:val="00F017C4"/>
    <w:rsid w:val="00F01A36"/>
    <w:rsid w:val="00F026D3"/>
    <w:rsid w:val="00F02870"/>
    <w:rsid w:val="00F02A99"/>
    <w:rsid w:val="00F0388A"/>
    <w:rsid w:val="00F040AF"/>
    <w:rsid w:val="00F0432A"/>
    <w:rsid w:val="00F04551"/>
    <w:rsid w:val="00F054FE"/>
    <w:rsid w:val="00F06028"/>
    <w:rsid w:val="00F06219"/>
    <w:rsid w:val="00F0622E"/>
    <w:rsid w:val="00F1014F"/>
    <w:rsid w:val="00F10782"/>
    <w:rsid w:val="00F1166D"/>
    <w:rsid w:val="00F11E69"/>
    <w:rsid w:val="00F126C8"/>
    <w:rsid w:val="00F133A4"/>
    <w:rsid w:val="00F14775"/>
    <w:rsid w:val="00F14B62"/>
    <w:rsid w:val="00F15529"/>
    <w:rsid w:val="00F158B3"/>
    <w:rsid w:val="00F16D04"/>
    <w:rsid w:val="00F16E6E"/>
    <w:rsid w:val="00F21EA9"/>
    <w:rsid w:val="00F2274A"/>
    <w:rsid w:val="00F2288B"/>
    <w:rsid w:val="00F23589"/>
    <w:rsid w:val="00F2492A"/>
    <w:rsid w:val="00F251DE"/>
    <w:rsid w:val="00F25609"/>
    <w:rsid w:val="00F27689"/>
    <w:rsid w:val="00F306FC"/>
    <w:rsid w:val="00F30791"/>
    <w:rsid w:val="00F3090C"/>
    <w:rsid w:val="00F30BD5"/>
    <w:rsid w:val="00F31490"/>
    <w:rsid w:val="00F314F1"/>
    <w:rsid w:val="00F31579"/>
    <w:rsid w:val="00F31FD7"/>
    <w:rsid w:val="00F320C1"/>
    <w:rsid w:val="00F32C1E"/>
    <w:rsid w:val="00F33245"/>
    <w:rsid w:val="00F338E6"/>
    <w:rsid w:val="00F33F92"/>
    <w:rsid w:val="00F33FBE"/>
    <w:rsid w:val="00F35972"/>
    <w:rsid w:val="00F370D5"/>
    <w:rsid w:val="00F37748"/>
    <w:rsid w:val="00F37D7C"/>
    <w:rsid w:val="00F404B5"/>
    <w:rsid w:val="00F40CF1"/>
    <w:rsid w:val="00F40FC5"/>
    <w:rsid w:val="00F41428"/>
    <w:rsid w:val="00F42045"/>
    <w:rsid w:val="00F42B35"/>
    <w:rsid w:val="00F42FE4"/>
    <w:rsid w:val="00F43715"/>
    <w:rsid w:val="00F43A81"/>
    <w:rsid w:val="00F43D71"/>
    <w:rsid w:val="00F43D8D"/>
    <w:rsid w:val="00F44804"/>
    <w:rsid w:val="00F44A41"/>
    <w:rsid w:val="00F45E30"/>
    <w:rsid w:val="00F4605D"/>
    <w:rsid w:val="00F46192"/>
    <w:rsid w:val="00F466B4"/>
    <w:rsid w:val="00F46D79"/>
    <w:rsid w:val="00F473CA"/>
    <w:rsid w:val="00F47DB8"/>
    <w:rsid w:val="00F503E0"/>
    <w:rsid w:val="00F503F8"/>
    <w:rsid w:val="00F5134F"/>
    <w:rsid w:val="00F51432"/>
    <w:rsid w:val="00F51736"/>
    <w:rsid w:val="00F51DF0"/>
    <w:rsid w:val="00F522B8"/>
    <w:rsid w:val="00F53AEA"/>
    <w:rsid w:val="00F53B1C"/>
    <w:rsid w:val="00F5440E"/>
    <w:rsid w:val="00F547B8"/>
    <w:rsid w:val="00F5516A"/>
    <w:rsid w:val="00F55DFD"/>
    <w:rsid w:val="00F57652"/>
    <w:rsid w:val="00F57D12"/>
    <w:rsid w:val="00F57DA3"/>
    <w:rsid w:val="00F6032A"/>
    <w:rsid w:val="00F626E8"/>
    <w:rsid w:val="00F62E2D"/>
    <w:rsid w:val="00F63873"/>
    <w:rsid w:val="00F63D87"/>
    <w:rsid w:val="00F64E80"/>
    <w:rsid w:val="00F65E0B"/>
    <w:rsid w:val="00F660F9"/>
    <w:rsid w:val="00F669AA"/>
    <w:rsid w:val="00F66CDC"/>
    <w:rsid w:val="00F67469"/>
    <w:rsid w:val="00F67B72"/>
    <w:rsid w:val="00F702DD"/>
    <w:rsid w:val="00F704BF"/>
    <w:rsid w:val="00F70A60"/>
    <w:rsid w:val="00F70D14"/>
    <w:rsid w:val="00F71EC0"/>
    <w:rsid w:val="00F7316E"/>
    <w:rsid w:val="00F73CCE"/>
    <w:rsid w:val="00F73D8D"/>
    <w:rsid w:val="00F73F72"/>
    <w:rsid w:val="00F74433"/>
    <w:rsid w:val="00F754ED"/>
    <w:rsid w:val="00F7599A"/>
    <w:rsid w:val="00F75D7A"/>
    <w:rsid w:val="00F75F31"/>
    <w:rsid w:val="00F767DE"/>
    <w:rsid w:val="00F76D8F"/>
    <w:rsid w:val="00F76FB6"/>
    <w:rsid w:val="00F770C6"/>
    <w:rsid w:val="00F804E3"/>
    <w:rsid w:val="00F80C6E"/>
    <w:rsid w:val="00F80CB0"/>
    <w:rsid w:val="00F815C8"/>
    <w:rsid w:val="00F81B4B"/>
    <w:rsid w:val="00F826A2"/>
    <w:rsid w:val="00F834FD"/>
    <w:rsid w:val="00F842C9"/>
    <w:rsid w:val="00F8456C"/>
    <w:rsid w:val="00F8497B"/>
    <w:rsid w:val="00F84E83"/>
    <w:rsid w:val="00F85126"/>
    <w:rsid w:val="00F85C91"/>
    <w:rsid w:val="00F85FCD"/>
    <w:rsid w:val="00F86D5D"/>
    <w:rsid w:val="00F86FA2"/>
    <w:rsid w:val="00F87CB5"/>
    <w:rsid w:val="00F90497"/>
    <w:rsid w:val="00F9082F"/>
    <w:rsid w:val="00F90D80"/>
    <w:rsid w:val="00F911C0"/>
    <w:rsid w:val="00F9139B"/>
    <w:rsid w:val="00F914A1"/>
    <w:rsid w:val="00F91C05"/>
    <w:rsid w:val="00F91D4A"/>
    <w:rsid w:val="00F91EBF"/>
    <w:rsid w:val="00F91FC3"/>
    <w:rsid w:val="00F92330"/>
    <w:rsid w:val="00F923E5"/>
    <w:rsid w:val="00F9302C"/>
    <w:rsid w:val="00F93281"/>
    <w:rsid w:val="00F93594"/>
    <w:rsid w:val="00F937A8"/>
    <w:rsid w:val="00F946C0"/>
    <w:rsid w:val="00F95882"/>
    <w:rsid w:val="00F95C1A"/>
    <w:rsid w:val="00F9646B"/>
    <w:rsid w:val="00F96AFF"/>
    <w:rsid w:val="00F97680"/>
    <w:rsid w:val="00F97FC2"/>
    <w:rsid w:val="00FA0483"/>
    <w:rsid w:val="00FA092E"/>
    <w:rsid w:val="00FA0C57"/>
    <w:rsid w:val="00FA0E66"/>
    <w:rsid w:val="00FA1231"/>
    <w:rsid w:val="00FA1337"/>
    <w:rsid w:val="00FA2418"/>
    <w:rsid w:val="00FA42C0"/>
    <w:rsid w:val="00FA42EE"/>
    <w:rsid w:val="00FA465B"/>
    <w:rsid w:val="00FA4D43"/>
    <w:rsid w:val="00FA5482"/>
    <w:rsid w:val="00FA5837"/>
    <w:rsid w:val="00FA5F24"/>
    <w:rsid w:val="00FA696F"/>
    <w:rsid w:val="00FA6F7D"/>
    <w:rsid w:val="00FA6FDA"/>
    <w:rsid w:val="00FA77B9"/>
    <w:rsid w:val="00FB00F6"/>
    <w:rsid w:val="00FB0A21"/>
    <w:rsid w:val="00FB0B2A"/>
    <w:rsid w:val="00FB0B42"/>
    <w:rsid w:val="00FB11F2"/>
    <w:rsid w:val="00FB1D56"/>
    <w:rsid w:val="00FB36EA"/>
    <w:rsid w:val="00FB3969"/>
    <w:rsid w:val="00FB4139"/>
    <w:rsid w:val="00FB4226"/>
    <w:rsid w:val="00FB4242"/>
    <w:rsid w:val="00FB48D9"/>
    <w:rsid w:val="00FB4DDE"/>
    <w:rsid w:val="00FB5E3A"/>
    <w:rsid w:val="00FB5EA0"/>
    <w:rsid w:val="00FB61A5"/>
    <w:rsid w:val="00FB6745"/>
    <w:rsid w:val="00FB687E"/>
    <w:rsid w:val="00FB77DA"/>
    <w:rsid w:val="00FB792A"/>
    <w:rsid w:val="00FC09A8"/>
    <w:rsid w:val="00FC0C2B"/>
    <w:rsid w:val="00FC107D"/>
    <w:rsid w:val="00FC17DF"/>
    <w:rsid w:val="00FC19EE"/>
    <w:rsid w:val="00FC23F5"/>
    <w:rsid w:val="00FC2AFE"/>
    <w:rsid w:val="00FC3885"/>
    <w:rsid w:val="00FC38F8"/>
    <w:rsid w:val="00FC4DE7"/>
    <w:rsid w:val="00FC551F"/>
    <w:rsid w:val="00FC588B"/>
    <w:rsid w:val="00FC5EFD"/>
    <w:rsid w:val="00FC657A"/>
    <w:rsid w:val="00FC69D0"/>
    <w:rsid w:val="00FC7405"/>
    <w:rsid w:val="00FC7CE9"/>
    <w:rsid w:val="00FD0413"/>
    <w:rsid w:val="00FD0A54"/>
    <w:rsid w:val="00FD0E28"/>
    <w:rsid w:val="00FD16CA"/>
    <w:rsid w:val="00FD1899"/>
    <w:rsid w:val="00FD1AFD"/>
    <w:rsid w:val="00FD1F1F"/>
    <w:rsid w:val="00FD210B"/>
    <w:rsid w:val="00FD2402"/>
    <w:rsid w:val="00FD2D78"/>
    <w:rsid w:val="00FD2EFA"/>
    <w:rsid w:val="00FD31F7"/>
    <w:rsid w:val="00FD3D2D"/>
    <w:rsid w:val="00FD4032"/>
    <w:rsid w:val="00FD40C2"/>
    <w:rsid w:val="00FD433E"/>
    <w:rsid w:val="00FD476C"/>
    <w:rsid w:val="00FD58B1"/>
    <w:rsid w:val="00FD59B6"/>
    <w:rsid w:val="00FD613F"/>
    <w:rsid w:val="00FE0A7C"/>
    <w:rsid w:val="00FE1A42"/>
    <w:rsid w:val="00FE2884"/>
    <w:rsid w:val="00FE2CBB"/>
    <w:rsid w:val="00FE3664"/>
    <w:rsid w:val="00FE3954"/>
    <w:rsid w:val="00FE4E7F"/>
    <w:rsid w:val="00FE5171"/>
    <w:rsid w:val="00FE51CD"/>
    <w:rsid w:val="00FE5289"/>
    <w:rsid w:val="00FE5D16"/>
    <w:rsid w:val="00FE5DE0"/>
    <w:rsid w:val="00FE6217"/>
    <w:rsid w:val="00FE6247"/>
    <w:rsid w:val="00FE6BFA"/>
    <w:rsid w:val="00FE776C"/>
    <w:rsid w:val="00FE7934"/>
    <w:rsid w:val="00FE7BA1"/>
    <w:rsid w:val="00FF01E0"/>
    <w:rsid w:val="00FF0B6B"/>
    <w:rsid w:val="00FF0D8B"/>
    <w:rsid w:val="00FF21AE"/>
    <w:rsid w:val="00FF2948"/>
    <w:rsid w:val="00FF2DBA"/>
    <w:rsid w:val="00FF317F"/>
    <w:rsid w:val="00FF32CD"/>
    <w:rsid w:val="00FF3CFF"/>
    <w:rsid w:val="00FF4799"/>
    <w:rsid w:val="00FF4C47"/>
    <w:rsid w:val="00FF4CBA"/>
    <w:rsid w:val="00FF5B1C"/>
    <w:rsid w:val="00FF5C4C"/>
    <w:rsid w:val="00FF5E88"/>
    <w:rsid w:val="00FF5EB0"/>
    <w:rsid w:val="00FF5F65"/>
    <w:rsid w:val="00FF667F"/>
    <w:rsid w:val="00FF6F5A"/>
    <w:rsid w:val="00FF713F"/>
    <w:rsid w:val="00FF743B"/>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12EF2D"/>
  <w15:docId w15:val="{57326F4C-79AF-44C6-A37B-610FBE9B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D2"/>
    <w:rPr>
      <w:rFonts w:ascii="Times New Roman" w:eastAsia="Times New Roman" w:hAnsi="Times New Roman"/>
      <w:sz w:val="24"/>
      <w:szCs w:val="24"/>
    </w:rPr>
  </w:style>
  <w:style w:type="paragraph" w:styleId="Heading1">
    <w:name w:val="heading 1"/>
    <w:aliases w:val="CHEAD1,CHEAD11,CHEAD12,CHEAD111,CHEAD13,CHEAD14,CHEAD112"/>
    <w:basedOn w:val="Normal"/>
    <w:next w:val="BodyText"/>
    <w:link w:val="Heading1Char"/>
    <w:autoRedefine/>
    <w:uiPriority w:val="99"/>
    <w:qFormat/>
    <w:rsid w:val="005F6429"/>
    <w:pPr>
      <w:keepNext/>
      <w:numPr>
        <w:numId w:val="1"/>
      </w:numPr>
      <w:tabs>
        <w:tab w:val="left" w:pos="3856"/>
        <w:tab w:val="left" w:pos="5216"/>
        <w:tab w:val="left" w:pos="6464"/>
        <w:tab w:val="left" w:pos="7768"/>
        <w:tab w:val="right" w:pos="8046"/>
        <w:tab w:val="left" w:pos="9072"/>
        <w:tab w:val="left" w:pos="10206"/>
      </w:tabs>
      <w:spacing w:before="120" w:after="120"/>
      <w:ind w:left="1060" w:hanging="1080"/>
      <w:outlineLvl w:val="0"/>
    </w:pPr>
    <w:rPr>
      <w:b/>
      <w:bCs/>
      <w:color w:val="000000"/>
      <w:kern w:val="28"/>
      <w:sz w:val="28"/>
      <w:szCs w:val="28"/>
      <w:lang w:eastAsia="en-US"/>
    </w:rPr>
  </w:style>
  <w:style w:type="paragraph" w:styleId="Heading2">
    <w:name w:val="heading 2"/>
    <w:aliases w:val="CHEAD2,CHEAD21,CHEAD22,CHEAD23"/>
    <w:basedOn w:val="Heading1"/>
    <w:next w:val="BodyText"/>
    <w:link w:val="Heading2Char"/>
    <w:uiPriority w:val="99"/>
    <w:qFormat/>
    <w:rsid w:val="005F6429"/>
    <w:pPr>
      <w:numPr>
        <w:ilvl w:val="1"/>
      </w:numPr>
      <w:outlineLvl w:val="1"/>
    </w:pPr>
    <w:rPr>
      <w:b w:val="0"/>
      <w:bCs w:val="0"/>
      <w:i/>
      <w:iCs/>
      <w:sz w:val="24"/>
    </w:rPr>
  </w:style>
  <w:style w:type="paragraph" w:styleId="Heading3">
    <w:name w:val="heading 3"/>
    <w:basedOn w:val="Heading2"/>
    <w:next w:val="BodyText"/>
    <w:link w:val="Heading3Char"/>
    <w:autoRedefine/>
    <w:uiPriority w:val="99"/>
    <w:qFormat/>
    <w:rsid w:val="005F6429"/>
    <w:pPr>
      <w:numPr>
        <w:ilvl w:val="2"/>
      </w:numPr>
      <w:tabs>
        <w:tab w:val="clear" w:pos="3856"/>
        <w:tab w:val="clear" w:pos="5216"/>
        <w:tab w:val="clear" w:pos="6464"/>
        <w:tab w:val="clear" w:pos="7768"/>
        <w:tab w:val="clear" w:pos="9072"/>
      </w:tabs>
      <w:ind w:left="1260" w:hanging="1267"/>
      <w:outlineLvl w:val="2"/>
    </w:pPr>
    <w:rPr>
      <w:rFonts w:cs="Arial"/>
      <w:i w:val="0"/>
      <w:iCs w:val="0"/>
      <w:sz w:val="22"/>
      <w:lang w:val="en-US"/>
    </w:rPr>
  </w:style>
  <w:style w:type="paragraph" w:styleId="Heading4">
    <w:name w:val="heading 4"/>
    <w:basedOn w:val="Heading3"/>
    <w:next w:val="BodyText"/>
    <w:link w:val="Heading4Char"/>
    <w:uiPriority w:val="99"/>
    <w:qFormat/>
    <w:rsid w:val="005F6429"/>
    <w:pPr>
      <w:numPr>
        <w:ilvl w:val="3"/>
      </w:numPr>
      <w:outlineLvl w:val="3"/>
    </w:pPr>
  </w:style>
  <w:style w:type="paragraph" w:styleId="Heading5">
    <w:name w:val="heading 5"/>
    <w:basedOn w:val="Normal"/>
    <w:next w:val="Normal"/>
    <w:link w:val="Heading5Char"/>
    <w:uiPriority w:val="99"/>
    <w:qFormat/>
    <w:rsid w:val="005F6429"/>
    <w:pPr>
      <w:numPr>
        <w:ilvl w:val="4"/>
        <w:numId w:val="1"/>
      </w:numPr>
      <w:tabs>
        <w:tab w:val="left" w:pos="1247"/>
        <w:tab w:val="left" w:pos="2552"/>
        <w:tab w:val="left" w:pos="3856"/>
        <w:tab w:val="left" w:pos="5216"/>
        <w:tab w:val="left" w:pos="6464"/>
        <w:tab w:val="left" w:pos="7768"/>
        <w:tab w:val="left" w:pos="9072"/>
        <w:tab w:val="left" w:pos="10206"/>
      </w:tabs>
      <w:spacing w:before="240" w:after="60"/>
      <w:outlineLvl w:val="4"/>
    </w:pPr>
    <w:rPr>
      <w:rFonts w:ascii="Arial" w:hAnsi="Arial"/>
      <w:sz w:val="22"/>
      <w:szCs w:val="20"/>
      <w:lang w:eastAsia="en-US"/>
    </w:rPr>
  </w:style>
  <w:style w:type="paragraph" w:styleId="Heading6">
    <w:name w:val="heading 6"/>
    <w:basedOn w:val="Normal"/>
    <w:next w:val="Normal"/>
    <w:link w:val="Heading6Char"/>
    <w:uiPriority w:val="99"/>
    <w:qFormat/>
    <w:rsid w:val="005F6429"/>
    <w:pPr>
      <w:numPr>
        <w:ilvl w:val="5"/>
        <w:numId w:val="1"/>
      </w:numPr>
      <w:tabs>
        <w:tab w:val="left" w:pos="1247"/>
        <w:tab w:val="left" w:pos="2552"/>
        <w:tab w:val="left" w:pos="3856"/>
        <w:tab w:val="left" w:pos="5216"/>
        <w:tab w:val="left" w:pos="6464"/>
        <w:tab w:val="left" w:pos="7768"/>
        <w:tab w:val="left" w:pos="9072"/>
        <w:tab w:val="left" w:pos="10206"/>
      </w:tabs>
      <w:spacing w:before="240" w:after="60"/>
      <w:outlineLvl w:val="5"/>
    </w:pPr>
    <w:rPr>
      <w:rFonts w:ascii="Arial" w:hAnsi="Arial"/>
      <w:i/>
      <w:sz w:val="22"/>
      <w:szCs w:val="20"/>
      <w:lang w:eastAsia="en-US"/>
    </w:rPr>
  </w:style>
  <w:style w:type="paragraph" w:styleId="Heading7">
    <w:name w:val="heading 7"/>
    <w:basedOn w:val="Normal"/>
    <w:next w:val="Normal"/>
    <w:link w:val="Heading7Char"/>
    <w:uiPriority w:val="99"/>
    <w:qFormat/>
    <w:rsid w:val="005F6429"/>
    <w:pPr>
      <w:numPr>
        <w:ilvl w:val="6"/>
        <w:numId w:val="1"/>
      </w:numPr>
      <w:tabs>
        <w:tab w:val="left" w:pos="1247"/>
        <w:tab w:val="left" w:pos="2552"/>
        <w:tab w:val="left" w:pos="3856"/>
        <w:tab w:val="left" w:pos="5216"/>
        <w:tab w:val="left" w:pos="6464"/>
        <w:tab w:val="left" w:pos="7768"/>
        <w:tab w:val="left" w:pos="9072"/>
        <w:tab w:val="left" w:pos="10206"/>
      </w:tabs>
      <w:spacing w:before="240" w:after="60"/>
      <w:outlineLvl w:val="6"/>
    </w:pPr>
    <w:rPr>
      <w:rFonts w:ascii="Arial" w:hAnsi="Arial"/>
      <w:sz w:val="22"/>
      <w:szCs w:val="20"/>
      <w:lang w:eastAsia="en-US"/>
    </w:rPr>
  </w:style>
  <w:style w:type="paragraph" w:styleId="Heading8">
    <w:name w:val="heading 8"/>
    <w:basedOn w:val="Normal"/>
    <w:next w:val="Normal"/>
    <w:link w:val="Heading8Char"/>
    <w:uiPriority w:val="99"/>
    <w:qFormat/>
    <w:rsid w:val="005F6429"/>
    <w:pPr>
      <w:numPr>
        <w:ilvl w:val="7"/>
        <w:numId w:val="1"/>
      </w:numPr>
      <w:tabs>
        <w:tab w:val="left" w:pos="1247"/>
        <w:tab w:val="left" w:pos="2552"/>
        <w:tab w:val="left" w:pos="3856"/>
        <w:tab w:val="left" w:pos="5216"/>
        <w:tab w:val="left" w:pos="6464"/>
        <w:tab w:val="left" w:pos="7768"/>
        <w:tab w:val="left" w:pos="9072"/>
        <w:tab w:val="left" w:pos="10206"/>
      </w:tabs>
      <w:spacing w:before="240" w:after="60"/>
      <w:outlineLvl w:val="7"/>
    </w:pPr>
    <w:rPr>
      <w:rFonts w:ascii="Arial" w:hAnsi="Arial"/>
      <w:i/>
      <w:sz w:val="22"/>
      <w:szCs w:val="20"/>
      <w:lang w:eastAsia="en-US"/>
    </w:rPr>
  </w:style>
  <w:style w:type="paragraph" w:styleId="Heading9">
    <w:name w:val="heading 9"/>
    <w:basedOn w:val="Normal"/>
    <w:next w:val="Normal"/>
    <w:link w:val="Heading9Char"/>
    <w:uiPriority w:val="99"/>
    <w:qFormat/>
    <w:rsid w:val="005F6429"/>
    <w:pPr>
      <w:numPr>
        <w:ilvl w:val="8"/>
        <w:numId w:val="1"/>
      </w:numPr>
      <w:tabs>
        <w:tab w:val="left" w:pos="1247"/>
        <w:tab w:val="left" w:pos="2552"/>
        <w:tab w:val="left" w:pos="3856"/>
        <w:tab w:val="left" w:pos="5216"/>
        <w:tab w:val="left" w:pos="6464"/>
        <w:tab w:val="left" w:pos="7768"/>
        <w:tab w:val="left" w:pos="9072"/>
        <w:tab w:val="left" w:pos="10206"/>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basedOn w:val="DefaultParagraphFont"/>
    <w:link w:val="Heading1"/>
    <w:uiPriority w:val="99"/>
    <w:locked/>
    <w:rsid w:val="005F6429"/>
    <w:rPr>
      <w:rFonts w:ascii="Times New Roman" w:eastAsia="Times New Roman" w:hAnsi="Times New Roman"/>
      <w:b/>
      <w:bCs/>
      <w:color w:val="000000"/>
      <w:kern w:val="28"/>
      <w:sz w:val="28"/>
      <w:szCs w:val="28"/>
      <w:lang w:eastAsia="en-US"/>
    </w:rPr>
  </w:style>
  <w:style w:type="character" w:customStyle="1" w:styleId="Heading2Char">
    <w:name w:val="Heading 2 Char"/>
    <w:aliases w:val="CHEAD2 Char,CHEAD21 Char,CHEAD22 Char,CHEAD23 Char"/>
    <w:basedOn w:val="DefaultParagraphFont"/>
    <w:link w:val="Heading2"/>
    <w:uiPriority w:val="99"/>
    <w:locked/>
    <w:rsid w:val="005F6429"/>
    <w:rPr>
      <w:rFonts w:ascii="Times New Roman" w:eastAsia="Times New Roman" w:hAnsi="Times New Roman"/>
      <w:i/>
      <w:iCs/>
      <w:color w:val="000000"/>
      <w:kern w:val="28"/>
      <w:sz w:val="24"/>
      <w:szCs w:val="28"/>
      <w:lang w:eastAsia="en-US"/>
    </w:rPr>
  </w:style>
  <w:style w:type="character" w:customStyle="1" w:styleId="Heading3Char">
    <w:name w:val="Heading 3 Char"/>
    <w:basedOn w:val="DefaultParagraphFont"/>
    <w:link w:val="Heading3"/>
    <w:uiPriority w:val="99"/>
    <w:locked/>
    <w:rsid w:val="005F6429"/>
    <w:rPr>
      <w:rFonts w:ascii="Times New Roman" w:eastAsia="Times New Roman" w:hAnsi="Times New Roman" w:cs="Arial"/>
      <w:color w:val="000000"/>
      <w:kern w:val="28"/>
      <w:szCs w:val="28"/>
      <w:lang w:val="en-US" w:eastAsia="en-US"/>
    </w:rPr>
  </w:style>
  <w:style w:type="character" w:customStyle="1" w:styleId="Heading4Char">
    <w:name w:val="Heading 4 Char"/>
    <w:basedOn w:val="DefaultParagraphFont"/>
    <w:link w:val="Heading4"/>
    <w:uiPriority w:val="99"/>
    <w:locked/>
    <w:rsid w:val="005F6429"/>
    <w:rPr>
      <w:rFonts w:ascii="Times New Roman" w:eastAsia="Times New Roman" w:hAnsi="Times New Roman" w:cs="Arial"/>
      <w:color w:val="000000"/>
      <w:kern w:val="28"/>
      <w:szCs w:val="28"/>
      <w:lang w:val="en-US" w:eastAsia="en-US"/>
    </w:rPr>
  </w:style>
  <w:style w:type="character" w:customStyle="1" w:styleId="Heading5Char">
    <w:name w:val="Heading 5 Char"/>
    <w:basedOn w:val="DefaultParagraphFont"/>
    <w:link w:val="Heading5"/>
    <w:uiPriority w:val="99"/>
    <w:locked/>
    <w:rsid w:val="005F6429"/>
    <w:rPr>
      <w:rFonts w:ascii="Arial" w:eastAsia="Times New Roman" w:hAnsi="Arial"/>
      <w:szCs w:val="20"/>
      <w:lang w:eastAsia="en-US"/>
    </w:rPr>
  </w:style>
  <w:style w:type="character" w:customStyle="1" w:styleId="Heading6Char">
    <w:name w:val="Heading 6 Char"/>
    <w:basedOn w:val="DefaultParagraphFont"/>
    <w:link w:val="Heading6"/>
    <w:uiPriority w:val="99"/>
    <w:locked/>
    <w:rsid w:val="005F6429"/>
    <w:rPr>
      <w:rFonts w:ascii="Arial" w:eastAsia="Times New Roman" w:hAnsi="Arial"/>
      <w:i/>
      <w:szCs w:val="20"/>
      <w:lang w:eastAsia="en-US"/>
    </w:rPr>
  </w:style>
  <w:style w:type="character" w:customStyle="1" w:styleId="Heading7Char">
    <w:name w:val="Heading 7 Char"/>
    <w:basedOn w:val="DefaultParagraphFont"/>
    <w:link w:val="Heading7"/>
    <w:uiPriority w:val="99"/>
    <w:locked/>
    <w:rsid w:val="005F6429"/>
    <w:rPr>
      <w:rFonts w:ascii="Arial" w:eastAsia="Times New Roman" w:hAnsi="Arial"/>
      <w:szCs w:val="20"/>
      <w:lang w:eastAsia="en-US"/>
    </w:rPr>
  </w:style>
  <w:style w:type="character" w:customStyle="1" w:styleId="Heading8Char">
    <w:name w:val="Heading 8 Char"/>
    <w:basedOn w:val="DefaultParagraphFont"/>
    <w:link w:val="Heading8"/>
    <w:uiPriority w:val="99"/>
    <w:locked/>
    <w:rsid w:val="005F6429"/>
    <w:rPr>
      <w:rFonts w:ascii="Arial" w:eastAsia="Times New Roman" w:hAnsi="Arial"/>
      <w:i/>
      <w:szCs w:val="20"/>
      <w:lang w:eastAsia="en-US"/>
    </w:rPr>
  </w:style>
  <w:style w:type="character" w:customStyle="1" w:styleId="Heading9Char">
    <w:name w:val="Heading 9 Char"/>
    <w:basedOn w:val="DefaultParagraphFont"/>
    <w:link w:val="Heading9"/>
    <w:uiPriority w:val="99"/>
    <w:locked/>
    <w:rsid w:val="005F6429"/>
    <w:rPr>
      <w:rFonts w:ascii="Arial" w:eastAsia="Times New Roman" w:hAnsi="Arial"/>
      <w:i/>
      <w:sz w:val="18"/>
      <w:szCs w:val="20"/>
      <w:lang w:eastAsia="en-US"/>
    </w:rPr>
  </w:style>
  <w:style w:type="paragraph" w:styleId="Header">
    <w:name w:val="header"/>
    <w:basedOn w:val="Normal"/>
    <w:link w:val="HeaderChar"/>
    <w:uiPriority w:val="99"/>
    <w:rsid w:val="00A91AED"/>
    <w:pPr>
      <w:tabs>
        <w:tab w:val="center" w:pos="4513"/>
        <w:tab w:val="right" w:pos="9026"/>
      </w:tabs>
    </w:pPr>
    <w:rPr>
      <w:rFonts w:ascii="Calibri" w:eastAsia="Calibri" w:hAnsi="Calibri"/>
      <w:lang w:eastAsia="en-US"/>
    </w:rPr>
  </w:style>
  <w:style w:type="character" w:customStyle="1" w:styleId="HeaderChar">
    <w:name w:val="Header Char"/>
    <w:basedOn w:val="DefaultParagraphFont"/>
    <w:link w:val="Header"/>
    <w:uiPriority w:val="99"/>
    <w:locked/>
    <w:rsid w:val="00A91AED"/>
    <w:rPr>
      <w:rFonts w:ascii="Calibri" w:hAnsi="Calibri" w:cs="Times New Roman"/>
      <w:sz w:val="24"/>
      <w:szCs w:val="24"/>
    </w:rPr>
  </w:style>
  <w:style w:type="paragraph" w:styleId="Footer">
    <w:name w:val="footer"/>
    <w:basedOn w:val="Normal"/>
    <w:link w:val="FooterChar"/>
    <w:uiPriority w:val="99"/>
    <w:rsid w:val="00A91AED"/>
    <w:pPr>
      <w:tabs>
        <w:tab w:val="center" w:pos="4513"/>
        <w:tab w:val="right" w:pos="9026"/>
      </w:tabs>
    </w:pPr>
    <w:rPr>
      <w:rFonts w:ascii="Calibri" w:eastAsia="Calibri" w:hAnsi="Calibri"/>
      <w:lang w:eastAsia="en-US"/>
    </w:rPr>
  </w:style>
  <w:style w:type="character" w:customStyle="1" w:styleId="FooterChar">
    <w:name w:val="Footer Char"/>
    <w:basedOn w:val="DefaultParagraphFont"/>
    <w:link w:val="Footer"/>
    <w:uiPriority w:val="99"/>
    <w:locked/>
    <w:rsid w:val="00A91AED"/>
    <w:rPr>
      <w:rFonts w:ascii="Calibri" w:hAnsi="Calibri" w:cs="Times New Roman"/>
      <w:sz w:val="24"/>
      <w:szCs w:val="24"/>
    </w:rPr>
  </w:style>
  <w:style w:type="table" w:styleId="TableGrid">
    <w:name w:val="Table Grid"/>
    <w:basedOn w:val="TableNormal"/>
    <w:uiPriority w:val="59"/>
    <w:rsid w:val="00DB74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F6429"/>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5F6429"/>
    <w:rPr>
      <w:rFonts w:ascii="Tahoma" w:hAnsi="Tahoma" w:cs="Tahoma"/>
      <w:sz w:val="16"/>
      <w:szCs w:val="16"/>
    </w:rPr>
  </w:style>
  <w:style w:type="paragraph" w:styleId="BodyText">
    <w:name w:val="Body Text"/>
    <w:basedOn w:val="Normal"/>
    <w:link w:val="BodyTextChar"/>
    <w:uiPriority w:val="99"/>
    <w:rsid w:val="005F6429"/>
    <w:pPr>
      <w:keepLines/>
      <w:tabs>
        <w:tab w:val="left" w:pos="1247"/>
        <w:tab w:val="left" w:pos="2552"/>
        <w:tab w:val="left" w:pos="3856"/>
        <w:tab w:val="left" w:pos="5216"/>
        <w:tab w:val="left" w:pos="6464"/>
        <w:tab w:val="left" w:pos="7768"/>
        <w:tab w:val="left" w:pos="9072"/>
        <w:tab w:val="left" w:pos="10206"/>
      </w:tabs>
      <w:spacing w:before="240"/>
      <w:ind w:left="1260"/>
    </w:pPr>
    <w:rPr>
      <w:rFonts w:ascii="Arial" w:hAnsi="Arial"/>
      <w:sz w:val="22"/>
      <w:szCs w:val="20"/>
      <w:lang w:eastAsia="en-US"/>
    </w:rPr>
  </w:style>
  <w:style w:type="character" w:customStyle="1" w:styleId="BodyTextChar">
    <w:name w:val="Body Text Char"/>
    <w:basedOn w:val="DefaultParagraphFont"/>
    <w:link w:val="BodyText"/>
    <w:uiPriority w:val="99"/>
    <w:locked/>
    <w:rsid w:val="005F6429"/>
    <w:rPr>
      <w:rFonts w:ascii="Arial" w:hAnsi="Arial" w:cs="Times New Roman"/>
      <w:sz w:val="20"/>
      <w:szCs w:val="20"/>
    </w:rPr>
  </w:style>
  <w:style w:type="paragraph" w:styleId="ListParagraph">
    <w:name w:val="List Paragraph"/>
    <w:basedOn w:val="Normal"/>
    <w:uiPriority w:val="34"/>
    <w:qFormat/>
    <w:rsid w:val="005F6429"/>
    <w:pPr>
      <w:ind w:left="720"/>
      <w:contextualSpacing/>
    </w:pPr>
    <w:rPr>
      <w:rFonts w:ascii="Calibri" w:eastAsia="Calibri" w:hAnsi="Calibri"/>
      <w:lang w:eastAsia="en-US"/>
    </w:rPr>
  </w:style>
  <w:style w:type="paragraph" w:styleId="BodyText2">
    <w:name w:val="Body Text 2"/>
    <w:basedOn w:val="Normal"/>
    <w:link w:val="BodyText2Char"/>
    <w:uiPriority w:val="99"/>
    <w:rsid w:val="00B15773"/>
    <w:pPr>
      <w:spacing w:after="120" w:line="480" w:lineRule="auto"/>
    </w:pPr>
    <w:rPr>
      <w:rFonts w:ascii="Calibri" w:eastAsia="Calibri" w:hAnsi="Calibri"/>
      <w:lang w:eastAsia="en-US"/>
    </w:rPr>
  </w:style>
  <w:style w:type="character" w:customStyle="1" w:styleId="BodyText2Char">
    <w:name w:val="Body Text 2 Char"/>
    <w:basedOn w:val="DefaultParagraphFont"/>
    <w:link w:val="BodyText2"/>
    <w:uiPriority w:val="99"/>
    <w:semiHidden/>
    <w:locked/>
    <w:rsid w:val="00671924"/>
    <w:rPr>
      <w:rFonts w:cs="Times New Roman"/>
      <w:sz w:val="24"/>
      <w:szCs w:val="24"/>
      <w:lang w:eastAsia="en-US"/>
    </w:rPr>
  </w:style>
  <w:style w:type="paragraph" w:styleId="Revision">
    <w:name w:val="Revision"/>
    <w:hidden/>
    <w:uiPriority w:val="99"/>
    <w:semiHidden/>
    <w:rsid w:val="00B51038"/>
    <w:rPr>
      <w:sz w:val="24"/>
      <w:szCs w:val="24"/>
      <w:lang w:eastAsia="en-US"/>
    </w:rPr>
  </w:style>
  <w:style w:type="paragraph" w:styleId="NoSpacing">
    <w:name w:val="No Spacing"/>
    <w:uiPriority w:val="1"/>
    <w:qFormat/>
    <w:rsid w:val="00AF1FC5"/>
    <w:rPr>
      <w:lang w:eastAsia="en-US"/>
    </w:rPr>
  </w:style>
  <w:style w:type="character" w:styleId="CommentReference">
    <w:name w:val="annotation reference"/>
    <w:basedOn w:val="DefaultParagraphFont"/>
    <w:uiPriority w:val="99"/>
    <w:locked/>
    <w:rsid w:val="003D3A5F"/>
    <w:rPr>
      <w:rFonts w:cs="Times New Roman"/>
      <w:sz w:val="16"/>
    </w:rPr>
  </w:style>
  <w:style w:type="paragraph" w:styleId="CommentText">
    <w:name w:val="annotation text"/>
    <w:basedOn w:val="Normal"/>
    <w:link w:val="CommentTextChar"/>
    <w:uiPriority w:val="99"/>
    <w:locked/>
    <w:rsid w:val="003D3A5F"/>
    <w:rPr>
      <w:rFonts w:eastAsia="MS Mincho"/>
      <w:sz w:val="20"/>
      <w:szCs w:val="20"/>
      <w:lang w:eastAsia="ja-JP"/>
    </w:rPr>
  </w:style>
  <w:style w:type="character" w:customStyle="1" w:styleId="CommentTextChar">
    <w:name w:val="Comment Text Char"/>
    <w:basedOn w:val="DefaultParagraphFont"/>
    <w:link w:val="CommentText"/>
    <w:uiPriority w:val="99"/>
    <w:locked/>
    <w:rsid w:val="003D3A5F"/>
    <w:rPr>
      <w:rFonts w:ascii="Times New Roman" w:eastAsia="MS Mincho" w:hAnsi="Times New Roman" w:cs="Times New Roman"/>
      <w:sz w:val="20"/>
      <w:szCs w:val="20"/>
      <w:lang w:eastAsia="ja-JP"/>
    </w:rPr>
  </w:style>
  <w:style w:type="paragraph" w:customStyle="1" w:styleId="ParaIMS">
    <w:name w:val="Para/IMS"/>
    <w:basedOn w:val="Normal"/>
    <w:uiPriority w:val="99"/>
    <w:rsid w:val="004C58FB"/>
    <w:pPr>
      <w:spacing w:before="160"/>
    </w:pPr>
    <w:rPr>
      <w:sz w:val="20"/>
      <w:szCs w:val="20"/>
      <w:lang w:val="en-US" w:eastAsia="en-US"/>
    </w:rPr>
  </w:style>
  <w:style w:type="paragraph" w:customStyle="1" w:styleId="am">
    <w:name w:val="am"/>
    <w:basedOn w:val="Normal"/>
    <w:uiPriority w:val="99"/>
    <w:rsid w:val="004C58FB"/>
    <w:pPr>
      <w:spacing w:before="100" w:beforeAutospacing="1" w:after="100" w:afterAutospacing="1"/>
    </w:pPr>
  </w:style>
  <w:style w:type="character" w:customStyle="1" w:styleId="ad">
    <w:name w:val="ad"/>
    <w:basedOn w:val="DefaultParagraphFont"/>
    <w:uiPriority w:val="99"/>
    <w:rsid w:val="004C58FB"/>
    <w:rPr>
      <w:rFonts w:cs="Times New Roman"/>
    </w:rPr>
  </w:style>
  <w:style w:type="paragraph" w:styleId="BodyTextIndent">
    <w:name w:val="Body Text Indent"/>
    <w:basedOn w:val="Normal"/>
    <w:link w:val="BodyTextIndentChar"/>
    <w:uiPriority w:val="99"/>
    <w:locked/>
    <w:rsid w:val="00F834FD"/>
    <w:pPr>
      <w:spacing w:before="120" w:after="120"/>
      <w:ind w:left="283"/>
      <w:jc w:val="both"/>
    </w:pPr>
    <w:rPr>
      <w:rFonts w:ascii="Arial" w:hAnsi="Arial"/>
      <w:sz w:val="20"/>
      <w:szCs w:val="22"/>
    </w:rPr>
  </w:style>
  <w:style w:type="character" w:customStyle="1" w:styleId="BodyTextIndentChar">
    <w:name w:val="Body Text Indent Char"/>
    <w:basedOn w:val="DefaultParagraphFont"/>
    <w:link w:val="BodyTextIndent"/>
    <w:uiPriority w:val="99"/>
    <w:rsid w:val="00F834FD"/>
    <w:rPr>
      <w:rFonts w:ascii="Arial" w:eastAsia="Times New Roman" w:hAnsi="Arial"/>
      <w:sz w:val="20"/>
    </w:rPr>
  </w:style>
  <w:style w:type="paragraph" w:customStyle="1" w:styleId="Default">
    <w:name w:val="Default"/>
    <w:rsid w:val="00F8497B"/>
    <w:pPr>
      <w:widowControl w:val="0"/>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semiHidden/>
    <w:unhideWhenUsed/>
    <w:locked/>
    <w:rsid w:val="00114A4E"/>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114A4E"/>
    <w:rPr>
      <w:rFonts w:ascii="Consolas" w:eastAsiaTheme="minorHAnsi" w:hAnsi="Consolas" w:cstheme="minorBidi"/>
      <w:sz w:val="21"/>
      <w:szCs w:val="21"/>
      <w:lang w:eastAsia="en-US"/>
    </w:rPr>
  </w:style>
  <w:style w:type="character" w:customStyle="1" w:styleId="g">
    <w:name w:val="g"/>
    <w:basedOn w:val="DefaultParagraphFont"/>
    <w:rsid w:val="0043609C"/>
  </w:style>
  <w:style w:type="paragraph" w:customStyle="1" w:styleId="gm">
    <w:name w:val="gm"/>
    <w:basedOn w:val="Normal"/>
    <w:rsid w:val="00D43482"/>
    <w:pPr>
      <w:spacing w:before="100" w:beforeAutospacing="1" w:after="100" w:afterAutospacing="1"/>
    </w:pPr>
  </w:style>
  <w:style w:type="character" w:customStyle="1" w:styleId="gg">
    <w:name w:val="gg"/>
    <w:basedOn w:val="DefaultParagraphFont"/>
    <w:rsid w:val="00D43482"/>
  </w:style>
  <w:style w:type="paragraph" w:customStyle="1" w:styleId="gl">
    <w:name w:val="gl"/>
    <w:basedOn w:val="Normal"/>
    <w:rsid w:val="00D43482"/>
    <w:pPr>
      <w:spacing w:before="100" w:beforeAutospacing="1" w:after="100" w:afterAutospacing="1"/>
    </w:pPr>
  </w:style>
  <w:style w:type="character" w:customStyle="1" w:styleId="fy">
    <w:name w:val="fy"/>
    <w:basedOn w:val="DefaultParagraphFont"/>
    <w:rsid w:val="00D43482"/>
  </w:style>
  <w:style w:type="character" w:customStyle="1" w:styleId="fx">
    <w:name w:val="fx"/>
    <w:basedOn w:val="DefaultParagraphFont"/>
    <w:rsid w:val="00D43482"/>
  </w:style>
  <w:style w:type="character" w:customStyle="1" w:styleId="fw">
    <w:name w:val="fw"/>
    <w:basedOn w:val="DefaultParagraphFont"/>
    <w:rsid w:val="00D43482"/>
  </w:style>
  <w:style w:type="character" w:customStyle="1" w:styleId="fv">
    <w:name w:val="fv"/>
    <w:basedOn w:val="DefaultParagraphFont"/>
    <w:rsid w:val="00D43482"/>
  </w:style>
  <w:style w:type="paragraph" w:customStyle="1" w:styleId="dr">
    <w:name w:val="dr"/>
    <w:basedOn w:val="Normal"/>
    <w:rsid w:val="00D43482"/>
    <w:pPr>
      <w:spacing w:before="100" w:beforeAutospacing="1" w:after="100" w:afterAutospacing="1"/>
    </w:pPr>
  </w:style>
  <w:style w:type="character" w:customStyle="1" w:styleId="dm">
    <w:name w:val="dm"/>
    <w:basedOn w:val="DefaultParagraphFont"/>
    <w:rsid w:val="00D43482"/>
  </w:style>
  <w:style w:type="paragraph" w:customStyle="1" w:styleId="dq">
    <w:name w:val="dq"/>
    <w:basedOn w:val="Normal"/>
    <w:rsid w:val="00D43482"/>
    <w:pPr>
      <w:spacing w:before="100" w:beforeAutospacing="1" w:after="100" w:afterAutospacing="1"/>
    </w:pPr>
  </w:style>
  <w:style w:type="paragraph" w:customStyle="1" w:styleId="aq">
    <w:name w:val="aq"/>
    <w:basedOn w:val="Normal"/>
    <w:rsid w:val="007E075E"/>
    <w:pPr>
      <w:spacing w:before="100" w:beforeAutospacing="1" w:after="100" w:afterAutospacing="1"/>
    </w:pPr>
  </w:style>
  <w:style w:type="character" w:customStyle="1" w:styleId="ao">
    <w:name w:val="ao"/>
    <w:basedOn w:val="DefaultParagraphFont"/>
    <w:rsid w:val="007E075E"/>
  </w:style>
  <w:style w:type="paragraph" w:customStyle="1" w:styleId="address">
    <w:name w:val="address"/>
    <w:basedOn w:val="Normal"/>
    <w:rsid w:val="00CA499D"/>
    <w:pPr>
      <w:spacing w:line="360" w:lineRule="atLeast"/>
    </w:pPr>
    <w:rPr>
      <w:rFonts w:ascii="Arial" w:hAnsi="Arial" w:cs="Arial"/>
      <w:color w:val="505050"/>
      <w:sz w:val="22"/>
      <w:szCs w:val="22"/>
    </w:rPr>
  </w:style>
  <w:style w:type="paragraph" w:styleId="CommentSubject">
    <w:name w:val="annotation subject"/>
    <w:basedOn w:val="CommentText"/>
    <w:next w:val="CommentText"/>
    <w:link w:val="CommentSubjectChar"/>
    <w:uiPriority w:val="99"/>
    <w:semiHidden/>
    <w:unhideWhenUsed/>
    <w:locked/>
    <w:rsid w:val="00DE6FB3"/>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DE6FB3"/>
    <w:rPr>
      <w:rFonts w:ascii="Times New Roman" w:eastAsia="MS Mincho" w:hAnsi="Times New Roman" w:cs="Times New Roman"/>
      <w:b/>
      <w:bCs/>
      <w:sz w:val="20"/>
      <w:szCs w:val="20"/>
      <w:lang w:eastAsia="en-US"/>
    </w:rPr>
  </w:style>
  <w:style w:type="paragraph" w:styleId="FootnoteText">
    <w:name w:val="footnote text"/>
    <w:basedOn w:val="Normal"/>
    <w:link w:val="FootnoteTextChar"/>
    <w:uiPriority w:val="99"/>
    <w:semiHidden/>
    <w:unhideWhenUsed/>
    <w:locked/>
    <w:rsid w:val="00315F6A"/>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315F6A"/>
    <w:rPr>
      <w:sz w:val="20"/>
      <w:szCs w:val="20"/>
      <w:lang w:eastAsia="en-US"/>
    </w:rPr>
  </w:style>
  <w:style w:type="character" w:styleId="FootnoteReference">
    <w:name w:val="footnote reference"/>
    <w:basedOn w:val="DefaultParagraphFont"/>
    <w:uiPriority w:val="99"/>
    <w:semiHidden/>
    <w:unhideWhenUsed/>
    <w:locked/>
    <w:rsid w:val="00315F6A"/>
    <w:rPr>
      <w:vertAlign w:val="superscript"/>
    </w:rPr>
  </w:style>
  <w:style w:type="character" w:customStyle="1" w:styleId="ACTextChar">
    <w:name w:val="AC Text Char"/>
    <w:basedOn w:val="DefaultParagraphFont"/>
    <w:link w:val="ACText"/>
    <w:locked/>
    <w:rsid w:val="009F3B31"/>
    <w:rPr>
      <w:rFonts w:ascii="Arial" w:hAnsi="Arial" w:cs="Arial"/>
      <w:lang w:eastAsia="en-US"/>
    </w:rPr>
  </w:style>
  <w:style w:type="paragraph" w:customStyle="1" w:styleId="ACText">
    <w:name w:val="AC Text"/>
    <w:basedOn w:val="Normal"/>
    <w:link w:val="ACTextChar"/>
    <w:rsid w:val="009F3B31"/>
    <w:pPr>
      <w:tabs>
        <w:tab w:val="left" w:pos="0"/>
      </w:tabs>
      <w:suppressAutoHyphens/>
      <w:overflowPunct w:val="0"/>
      <w:autoSpaceDE w:val="0"/>
      <w:autoSpaceDN w:val="0"/>
      <w:adjustRightInd w:val="0"/>
      <w:spacing w:before="130"/>
    </w:pPr>
    <w:rPr>
      <w:rFonts w:ascii="Arial" w:eastAsia="Calibri" w:hAnsi="Arial" w:cs="Arial"/>
      <w:sz w:val="22"/>
      <w:szCs w:val="22"/>
      <w:lang w:eastAsia="en-US"/>
    </w:rPr>
  </w:style>
  <w:style w:type="paragraph" w:customStyle="1" w:styleId="D345FF3D873148C5AE3FBF3267827368">
    <w:name w:val="D345FF3D873148C5AE3FBF3267827368"/>
    <w:rsid w:val="00C12BFD"/>
    <w:pPr>
      <w:spacing w:after="200" w:line="276" w:lineRule="auto"/>
    </w:pPr>
    <w:rPr>
      <w:rFonts w:asciiTheme="minorHAnsi" w:eastAsiaTheme="minorEastAsia" w:hAnsiTheme="minorHAnsi" w:cstheme="minorBidi"/>
      <w:lang w:val="en-US" w:eastAsia="ja-JP"/>
    </w:rPr>
  </w:style>
  <w:style w:type="paragraph" w:styleId="NormalWeb">
    <w:name w:val="Normal (Web)"/>
    <w:basedOn w:val="Normal"/>
    <w:uiPriority w:val="99"/>
    <w:unhideWhenUsed/>
    <w:locked/>
    <w:rsid w:val="00AE558A"/>
    <w:pPr>
      <w:spacing w:before="100" w:beforeAutospacing="1" w:after="100" w:afterAutospacing="1"/>
    </w:pPr>
    <w:rPr>
      <w:rFonts w:eastAsiaTheme="minorEastAsia"/>
    </w:rPr>
  </w:style>
  <w:style w:type="paragraph" w:customStyle="1" w:styleId="ac">
    <w:name w:val="ac"/>
    <w:basedOn w:val="Normal"/>
    <w:rsid w:val="00F1014F"/>
    <w:pPr>
      <w:spacing w:before="100" w:beforeAutospacing="1" w:after="100" w:afterAutospacing="1"/>
    </w:pPr>
  </w:style>
  <w:style w:type="paragraph" w:customStyle="1" w:styleId="ae">
    <w:name w:val="ae"/>
    <w:basedOn w:val="Normal"/>
    <w:rsid w:val="00F1014F"/>
    <w:pPr>
      <w:spacing w:before="100" w:beforeAutospacing="1" w:after="100" w:afterAutospacing="1"/>
    </w:pPr>
  </w:style>
  <w:style w:type="paragraph" w:styleId="NormalIndent">
    <w:name w:val="Normal Indent"/>
    <w:basedOn w:val="Normal"/>
    <w:link w:val="NormalIndentChar"/>
    <w:uiPriority w:val="99"/>
    <w:locked/>
    <w:rsid w:val="00722A03"/>
    <w:pPr>
      <w:spacing w:after="240"/>
      <w:ind w:left="709"/>
      <w:jc w:val="both"/>
    </w:pPr>
    <w:rPr>
      <w:sz w:val="22"/>
      <w:szCs w:val="22"/>
    </w:rPr>
  </w:style>
  <w:style w:type="paragraph" w:customStyle="1" w:styleId="Thead">
    <w:name w:val="Thead"/>
    <w:basedOn w:val="Tdec"/>
    <w:uiPriority w:val="99"/>
    <w:rsid w:val="00357C0E"/>
    <w:pPr>
      <w:keepNext/>
      <w:tabs>
        <w:tab w:val="clear" w:pos="993"/>
      </w:tabs>
      <w:ind w:right="86"/>
      <w:jc w:val="right"/>
    </w:pPr>
    <w:rPr>
      <w:b/>
      <w:bCs/>
    </w:rPr>
  </w:style>
  <w:style w:type="paragraph" w:customStyle="1" w:styleId="Tdec">
    <w:name w:val="Tdec"/>
    <w:basedOn w:val="Normal"/>
    <w:uiPriority w:val="99"/>
    <w:rsid w:val="00357C0E"/>
    <w:pPr>
      <w:tabs>
        <w:tab w:val="decimal" w:pos="993"/>
      </w:tabs>
      <w:ind w:right="-6"/>
      <w:jc w:val="both"/>
    </w:pPr>
    <w:rPr>
      <w:sz w:val="20"/>
      <w:szCs w:val="20"/>
      <w:lang w:eastAsia="en-US"/>
    </w:rPr>
  </w:style>
  <w:style w:type="paragraph" w:customStyle="1" w:styleId="S9">
    <w:name w:val="S9"/>
    <w:basedOn w:val="Normal"/>
    <w:uiPriority w:val="99"/>
    <w:rsid w:val="00357C0E"/>
    <w:pPr>
      <w:pBdr>
        <w:bottom w:val="single" w:sz="6" w:space="1" w:color="auto"/>
        <w:between w:val="single" w:sz="6" w:space="1" w:color="auto"/>
      </w:pBdr>
      <w:spacing w:after="113" w:line="57" w:lineRule="exact"/>
      <w:ind w:left="170" w:right="113"/>
    </w:pPr>
    <w:rPr>
      <w:sz w:val="20"/>
      <w:szCs w:val="20"/>
      <w:lang w:eastAsia="en-US"/>
    </w:rPr>
  </w:style>
  <w:style w:type="paragraph" w:customStyle="1" w:styleId="D9">
    <w:name w:val="D9"/>
    <w:basedOn w:val="S9"/>
    <w:uiPriority w:val="99"/>
    <w:rsid w:val="00357C0E"/>
    <w:pPr>
      <w:pBdr>
        <w:bottom w:val="double" w:sz="6" w:space="1" w:color="auto"/>
        <w:between w:val="double" w:sz="6" w:space="1" w:color="auto"/>
      </w:pBdr>
    </w:pPr>
  </w:style>
  <w:style w:type="paragraph" w:customStyle="1" w:styleId="bz">
    <w:name w:val="bz"/>
    <w:basedOn w:val="Normal"/>
    <w:rsid w:val="00EA3026"/>
    <w:pPr>
      <w:spacing w:before="100" w:beforeAutospacing="1" w:after="100" w:afterAutospacing="1"/>
    </w:pPr>
  </w:style>
  <w:style w:type="character" w:customStyle="1" w:styleId="br">
    <w:name w:val="br"/>
    <w:basedOn w:val="DefaultParagraphFont"/>
    <w:rsid w:val="00EA3026"/>
  </w:style>
  <w:style w:type="character" w:customStyle="1" w:styleId="bl">
    <w:name w:val="bl"/>
    <w:basedOn w:val="DefaultParagraphFont"/>
    <w:rsid w:val="00EA3026"/>
  </w:style>
  <w:style w:type="paragraph" w:customStyle="1" w:styleId="bg">
    <w:name w:val="bg"/>
    <w:basedOn w:val="Normal"/>
    <w:rsid w:val="00EA3026"/>
    <w:pPr>
      <w:spacing w:before="100" w:beforeAutospacing="1" w:after="100" w:afterAutospacing="1"/>
    </w:pPr>
  </w:style>
  <w:style w:type="character" w:customStyle="1" w:styleId="ag">
    <w:name w:val="ag"/>
    <w:basedOn w:val="DefaultParagraphFont"/>
    <w:rsid w:val="00D05983"/>
  </w:style>
  <w:style w:type="paragraph" w:customStyle="1" w:styleId="bm">
    <w:name w:val="bm"/>
    <w:basedOn w:val="Normal"/>
    <w:rsid w:val="00D05983"/>
    <w:pPr>
      <w:spacing w:before="100" w:beforeAutospacing="1" w:after="100" w:afterAutospacing="1"/>
    </w:pPr>
  </w:style>
  <w:style w:type="paragraph" w:customStyle="1" w:styleId="bn">
    <w:name w:val="bn"/>
    <w:basedOn w:val="Normal"/>
    <w:rsid w:val="00D05983"/>
    <w:pPr>
      <w:spacing w:before="100" w:beforeAutospacing="1" w:after="100" w:afterAutospacing="1"/>
    </w:pPr>
  </w:style>
  <w:style w:type="paragraph" w:customStyle="1" w:styleId="bf">
    <w:name w:val="bf"/>
    <w:basedOn w:val="Normal"/>
    <w:rsid w:val="0075121C"/>
    <w:pPr>
      <w:spacing w:before="100" w:beforeAutospacing="1" w:after="100" w:afterAutospacing="1"/>
    </w:pPr>
  </w:style>
  <w:style w:type="paragraph" w:customStyle="1" w:styleId="be">
    <w:name w:val="be"/>
    <w:basedOn w:val="Normal"/>
    <w:rsid w:val="0075121C"/>
    <w:pPr>
      <w:spacing w:before="100" w:beforeAutospacing="1" w:after="100" w:afterAutospacing="1"/>
    </w:pPr>
  </w:style>
  <w:style w:type="paragraph" w:customStyle="1" w:styleId="by">
    <w:name w:val="by"/>
    <w:basedOn w:val="Normal"/>
    <w:rsid w:val="00A82626"/>
    <w:pPr>
      <w:spacing w:before="100" w:beforeAutospacing="1" w:after="100" w:afterAutospacing="1"/>
    </w:pPr>
  </w:style>
  <w:style w:type="character" w:customStyle="1" w:styleId="ca">
    <w:name w:val="ca"/>
    <w:basedOn w:val="DefaultParagraphFont"/>
    <w:rsid w:val="00A82626"/>
  </w:style>
  <w:style w:type="character" w:customStyle="1" w:styleId="cb">
    <w:name w:val="cb"/>
    <w:basedOn w:val="DefaultParagraphFont"/>
    <w:rsid w:val="00A82626"/>
  </w:style>
  <w:style w:type="paragraph" w:customStyle="1" w:styleId="cc">
    <w:name w:val="cc"/>
    <w:basedOn w:val="Normal"/>
    <w:rsid w:val="00A82626"/>
    <w:pPr>
      <w:spacing w:before="100" w:beforeAutospacing="1" w:after="100" w:afterAutospacing="1"/>
    </w:pPr>
  </w:style>
  <w:style w:type="character" w:customStyle="1" w:styleId="ay">
    <w:name w:val="ay"/>
    <w:basedOn w:val="DefaultParagraphFont"/>
    <w:rsid w:val="00A82626"/>
  </w:style>
  <w:style w:type="character" w:customStyle="1" w:styleId="apple-converted-space">
    <w:name w:val="apple-converted-space"/>
    <w:basedOn w:val="DefaultParagraphFont"/>
    <w:rsid w:val="001B7E01"/>
  </w:style>
  <w:style w:type="character" w:styleId="Hyperlink">
    <w:name w:val="Hyperlink"/>
    <w:basedOn w:val="DefaultParagraphFont"/>
    <w:uiPriority w:val="99"/>
    <w:unhideWhenUsed/>
    <w:locked/>
    <w:rsid w:val="00F81B4B"/>
    <w:rPr>
      <w:color w:val="0000FF" w:themeColor="hyperlink"/>
      <w:u w:val="single"/>
    </w:rPr>
  </w:style>
  <w:style w:type="character" w:customStyle="1" w:styleId="NormalIndentChar">
    <w:name w:val="Normal Indent Char"/>
    <w:link w:val="NormalIndent"/>
    <w:uiPriority w:val="99"/>
    <w:rsid w:val="00BD12F9"/>
    <w:rPr>
      <w:rFonts w:ascii="Times New Roman" w:eastAsia="Times New Roman" w:hAnsi="Times New Roman"/>
    </w:rPr>
  </w:style>
  <w:style w:type="character" w:styleId="PageNumber">
    <w:name w:val="page number"/>
    <w:basedOn w:val="DefaultParagraphFont"/>
    <w:uiPriority w:val="99"/>
    <w:locked/>
    <w:rsid w:val="005709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471">
      <w:bodyDiv w:val="1"/>
      <w:marLeft w:val="0"/>
      <w:marRight w:val="0"/>
      <w:marTop w:val="0"/>
      <w:marBottom w:val="0"/>
      <w:divBdr>
        <w:top w:val="none" w:sz="0" w:space="0" w:color="auto"/>
        <w:left w:val="none" w:sz="0" w:space="0" w:color="auto"/>
        <w:bottom w:val="none" w:sz="0" w:space="0" w:color="auto"/>
        <w:right w:val="none" w:sz="0" w:space="0" w:color="auto"/>
      </w:divBdr>
    </w:div>
    <w:div w:id="84153085">
      <w:bodyDiv w:val="1"/>
      <w:marLeft w:val="0"/>
      <w:marRight w:val="0"/>
      <w:marTop w:val="0"/>
      <w:marBottom w:val="0"/>
      <w:divBdr>
        <w:top w:val="none" w:sz="0" w:space="0" w:color="auto"/>
        <w:left w:val="none" w:sz="0" w:space="0" w:color="auto"/>
        <w:bottom w:val="none" w:sz="0" w:space="0" w:color="auto"/>
        <w:right w:val="none" w:sz="0" w:space="0" w:color="auto"/>
      </w:divBdr>
    </w:div>
    <w:div w:id="134490489">
      <w:bodyDiv w:val="1"/>
      <w:marLeft w:val="0"/>
      <w:marRight w:val="0"/>
      <w:marTop w:val="0"/>
      <w:marBottom w:val="0"/>
      <w:divBdr>
        <w:top w:val="none" w:sz="0" w:space="0" w:color="auto"/>
        <w:left w:val="none" w:sz="0" w:space="0" w:color="auto"/>
        <w:bottom w:val="none" w:sz="0" w:space="0" w:color="auto"/>
        <w:right w:val="none" w:sz="0" w:space="0" w:color="auto"/>
      </w:divBdr>
    </w:div>
    <w:div w:id="172116306">
      <w:bodyDiv w:val="1"/>
      <w:marLeft w:val="0"/>
      <w:marRight w:val="0"/>
      <w:marTop w:val="0"/>
      <w:marBottom w:val="0"/>
      <w:divBdr>
        <w:top w:val="none" w:sz="0" w:space="0" w:color="auto"/>
        <w:left w:val="none" w:sz="0" w:space="0" w:color="auto"/>
        <w:bottom w:val="none" w:sz="0" w:space="0" w:color="auto"/>
        <w:right w:val="none" w:sz="0" w:space="0" w:color="auto"/>
      </w:divBdr>
    </w:div>
    <w:div w:id="179129115">
      <w:bodyDiv w:val="1"/>
      <w:marLeft w:val="0"/>
      <w:marRight w:val="0"/>
      <w:marTop w:val="0"/>
      <w:marBottom w:val="0"/>
      <w:divBdr>
        <w:top w:val="none" w:sz="0" w:space="0" w:color="auto"/>
        <w:left w:val="none" w:sz="0" w:space="0" w:color="auto"/>
        <w:bottom w:val="none" w:sz="0" w:space="0" w:color="auto"/>
        <w:right w:val="none" w:sz="0" w:space="0" w:color="auto"/>
      </w:divBdr>
    </w:div>
    <w:div w:id="187574369">
      <w:bodyDiv w:val="1"/>
      <w:marLeft w:val="0"/>
      <w:marRight w:val="0"/>
      <w:marTop w:val="0"/>
      <w:marBottom w:val="0"/>
      <w:divBdr>
        <w:top w:val="none" w:sz="0" w:space="0" w:color="auto"/>
        <w:left w:val="none" w:sz="0" w:space="0" w:color="auto"/>
        <w:bottom w:val="none" w:sz="0" w:space="0" w:color="auto"/>
        <w:right w:val="none" w:sz="0" w:space="0" w:color="auto"/>
      </w:divBdr>
    </w:div>
    <w:div w:id="208952994">
      <w:bodyDiv w:val="1"/>
      <w:marLeft w:val="0"/>
      <w:marRight w:val="0"/>
      <w:marTop w:val="0"/>
      <w:marBottom w:val="0"/>
      <w:divBdr>
        <w:top w:val="none" w:sz="0" w:space="0" w:color="auto"/>
        <w:left w:val="none" w:sz="0" w:space="0" w:color="auto"/>
        <w:bottom w:val="none" w:sz="0" w:space="0" w:color="auto"/>
        <w:right w:val="none" w:sz="0" w:space="0" w:color="auto"/>
      </w:divBdr>
    </w:div>
    <w:div w:id="256595665">
      <w:bodyDiv w:val="1"/>
      <w:marLeft w:val="0"/>
      <w:marRight w:val="0"/>
      <w:marTop w:val="0"/>
      <w:marBottom w:val="0"/>
      <w:divBdr>
        <w:top w:val="none" w:sz="0" w:space="0" w:color="auto"/>
        <w:left w:val="none" w:sz="0" w:space="0" w:color="auto"/>
        <w:bottom w:val="none" w:sz="0" w:space="0" w:color="auto"/>
        <w:right w:val="none" w:sz="0" w:space="0" w:color="auto"/>
      </w:divBdr>
    </w:div>
    <w:div w:id="262036570">
      <w:bodyDiv w:val="1"/>
      <w:marLeft w:val="0"/>
      <w:marRight w:val="0"/>
      <w:marTop w:val="0"/>
      <w:marBottom w:val="0"/>
      <w:divBdr>
        <w:top w:val="none" w:sz="0" w:space="0" w:color="auto"/>
        <w:left w:val="none" w:sz="0" w:space="0" w:color="auto"/>
        <w:bottom w:val="none" w:sz="0" w:space="0" w:color="auto"/>
        <w:right w:val="none" w:sz="0" w:space="0" w:color="auto"/>
      </w:divBdr>
    </w:div>
    <w:div w:id="328993001">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77978501">
      <w:bodyDiv w:val="1"/>
      <w:marLeft w:val="0"/>
      <w:marRight w:val="0"/>
      <w:marTop w:val="0"/>
      <w:marBottom w:val="0"/>
      <w:divBdr>
        <w:top w:val="none" w:sz="0" w:space="0" w:color="auto"/>
        <w:left w:val="none" w:sz="0" w:space="0" w:color="auto"/>
        <w:bottom w:val="none" w:sz="0" w:space="0" w:color="auto"/>
        <w:right w:val="none" w:sz="0" w:space="0" w:color="auto"/>
      </w:divBdr>
    </w:div>
    <w:div w:id="464858545">
      <w:bodyDiv w:val="1"/>
      <w:marLeft w:val="0"/>
      <w:marRight w:val="0"/>
      <w:marTop w:val="0"/>
      <w:marBottom w:val="0"/>
      <w:divBdr>
        <w:top w:val="none" w:sz="0" w:space="0" w:color="auto"/>
        <w:left w:val="none" w:sz="0" w:space="0" w:color="auto"/>
        <w:bottom w:val="none" w:sz="0" w:space="0" w:color="auto"/>
        <w:right w:val="none" w:sz="0" w:space="0" w:color="auto"/>
      </w:divBdr>
    </w:div>
    <w:div w:id="503394792">
      <w:bodyDiv w:val="1"/>
      <w:marLeft w:val="0"/>
      <w:marRight w:val="0"/>
      <w:marTop w:val="0"/>
      <w:marBottom w:val="0"/>
      <w:divBdr>
        <w:top w:val="none" w:sz="0" w:space="0" w:color="auto"/>
        <w:left w:val="none" w:sz="0" w:space="0" w:color="auto"/>
        <w:bottom w:val="none" w:sz="0" w:space="0" w:color="auto"/>
        <w:right w:val="none" w:sz="0" w:space="0" w:color="auto"/>
      </w:divBdr>
    </w:div>
    <w:div w:id="526138564">
      <w:bodyDiv w:val="1"/>
      <w:marLeft w:val="0"/>
      <w:marRight w:val="0"/>
      <w:marTop w:val="0"/>
      <w:marBottom w:val="0"/>
      <w:divBdr>
        <w:top w:val="none" w:sz="0" w:space="0" w:color="auto"/>
        <w:left w:val="none" w:sz="0" w:space="0" w:color="auto"/>
        <w:bottom w:val="none" w:sz="0" w:space="0" w:color="auto"/>
        <w:right w:val="none" w:sz="0" w:space="0" w:color="auto"/>
      </w:divBdr>
    </w:div>
    <w:div w:id="612326193">
      <w:bodyDiv w:val="1"/>
      <w:marLeft w:val="0"/>
      <w:marRight w:val="0"/>
      <w:marTop w:val="0"/>
      <w:marBottom w:val="0"/>
      <w:divBdr>
        <w:top w:val="none" w:sz="0" w:space="0" w:color="auto"/>
        <w:left w:val="none" w:sz="0" w:space="0" w:color="auto"/>
        <w:bottom w:val="none" w:sz="0" w:space="0" w:color="auto"/>
        <w:right w:val="none" w:sz="0" w:space="0" w:color="auto"/>
      </w:divBdr>
      <w:divsChild>
        <w:div w:id="841050484">
          <w:marLeft w:val="0"/>
          <w:marRight w:val="0"/>
          <w:marTop w:val="0"/>
          <w:marBottom w:val="0"/>
          <w:divBdr>
            <w:top w:val="none" w:sz="0" w:space="0" w:color="auto"/>
            <w:left w:val="none" w:sz="0" w:space="0" w:color="auto"/>
            <w:bottom w:val="none" w:sz="0" w:space="0" w:color="auto"/>
            <w:right w:val="none" w:sz="0" w:space="0" w:color="auto"/>
          </w:divBdr>
          <w:divsChild>
            <w:div w:id="20694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5159">
      <w:bodyDiv w:val="1"/>
      <w:marLeft w:val="0"/>
      <w:marRight w:val="0"/>
      <w:marTop w:val="0"/>
      <w:marBottom w:val="0"/>
      <w:divBdr>
        <w:top w:val="none" w:sz="0" w:space="0" w:color="auto"/>
        <w:left w:val="none" w:sz="0" w:space="0" w:color="auto"/>
        <w:bottom w:val="none" w:sz="0" w:space="0" w:color="auto"/>
        <w:right w:val="none" w:sz="0" w:space="0" w:color="auto"/>
      </w:divBdr>
    </w:div>
    <w:div w:id="768240888">
      <w:bodyDiv w:val="1"/>
      <w:marLeft w:val="0"/>
      <w:marRight w:val="0"/>
      <w:marTop w:val="0"/>
      <w:marBottom w:val="0"/>
      <w:divBdr>
        <w:top w:val="none" w:sz="0" w:space="0" w:color="auto"/>
        <w:left w:val="none" w:sz="0" w:space="0" w:color="auto"/>
        <w:bottom w:val="none" w:sz="0" w:space="0" w:color="auto"/>
        <w:right w:val="none" w:sz="0" w:space="0" w:color="auto"/>
      </w:divBdr>
    </w:div>
    <w:div w:id="798769648">
      <w:bodyDiv w:val="1"/>
      <w:marLeft w:val="0"/>
      <w:marRight w:val="0"/>
      <w:marTop w:val="0"/>
      <w:marBottom w:val="0"/>
      <w:divBdr>
        <w:top w:val="none" w:sz="0" w:space="0" w:color="auto"/>
        <w:left w:val="none" w:sz="0" w:space="0" w:color="auto"/>
        <w:bottom w:val="none" w:sz="0" w:space="0" w:color="auto"/>
        <w:right w:val="none" w:sz="0" w:space="0" w:color="auto"/>
      </w:divBdr>
    </w:div>
    <w:div w:id="810947324">
      <w:bodyDiv w:val="1"/>
      <w:marLeft w:val="0"/>
      <w:marRight w:val="0"/>
      <w:marTop w:val="0"/>
      <w:marBottom w:val="0"/>
      <w:divBdr>
        <w:top w:val="none" w:sz="0" w:space="0" w:color="auto"/>
        <w:left w:val="none" w:sz="0" w:space="0" w:color="auto"/>
        <w:bottom w:val="none" w:sz="0" w:space="0" w:color="auto"/>
        <w:right w:val="none" w:sz="0" w:space="0" w:color="auto"/>
      </w:divBdr>
    </w:div>
    <w:div w:id="867569967">
      <w:bodyDiv w:val="1"/>
      <w:marLeft w:val="0"/>
      <w:marRight w:val="0"/>
      <w:marTop w:val="0"/>
      <w:marBottom w:val="0"/>
      <w:divBdr>
        <w:top w:val="none" w:sz="0" w:space="0" w:color="auto"/>
        <w:left w:val="none" w:sz="0" w:space="0" w:color="auto"/>
        <w:bottom w:val="none" w:sz="0" w:space="0" w:color="auto"/>
        <w:right w:val="none" w:sz="0" w:space="0" w:color="auto"/>
      </w:divBdr>
    </w:div>
    <w:div w:id="869995797">
      <w:bodyDiv w:val="1"/>
      <w:marLeft w:val="0"/>
      <w:marRight w:val="0"/>
      <w:marTop w:val="0"/>
      <w:marBottom w:val="0"/>
      <w:divBdr>
        <w:top w:val="none" w:sz="0" w:space="0" w:color="auto"/>
        <w:left w:val="none" w:sz="0" w:space="0" w:color="auto"/>
        <w:bottom w:val="none" w:sz="0" w:space="0" w:color="auto"/>
        <w:right w:val="none" w:sz="0" w:space="0" w:color="auto"/>
      </w:divBdr>
    </w:div>
    <w:div w:id="883829012">
      <w:bodyDiv w:val="1"/>
      <w:marLeft w:val="0"/>
      <w:marRight w:val="0"/>
      <w:marTop w:val="0"/>
      <w:marBottom w:val="0"/>
      <w:divBdr>
        <w:top w:val="none" w:sz="0" w:space="0" w:color="auto"/>
        <w:left w:val="none" w:sz="0" w:space="0" w:color="auto"/>
        <w:bottom w:val="none" w:sz="0" w:space="0" w:color="auto"/>
        <w:right w:val="none" w:sz="0" w:space="0" w:color="auto"/>
      </w:divBdr>
    </w:div>
    <w:div w:id="901647131">
      <w:bodyDiv w:val="1"/>
      <w:marLeft w:val="0"/>
      <w:marRight w:val="0"/>
      <w:marTop w:val="0"/>
      <w:marBottom w:val="0"/>
      <w:divBdr>
        <w:top w:val="none" w:sz="0" w:space="0" w:color="auto"/>
        <w:left w:val="none" w:sz="0" w:space="0" w:color="auto"/>
        <w:bottom w:val="none" w:sz="0" w:space="0" w:color="auto"/>
        <w:right w:val="none" w:sz="0" w:space="0" w:color="auto"/>
      </w:divBdr>
    </w:div>
    <w:div w:id="907690563">
      <w:bodyDiv w:val="1"/>
      <w:marLeft w:val="0"/>
      <w:marRight w:val="0"/>
      <w:marTop w:val="0"/>
      <w:marBottom w:val="0"/>
      <w:divBdr>
        <w:top w:val="none" w:sz="0" w:space="0" w:color="auto"/>
        <w:left w:val="none" w:sz="0" w:space="0" w:color="auto"/>
        <w:bottom w:val="none" w:sz="0" w:space="0" w:color="auto"/>
        <w:right w:val="none" w:sz="0" w:space="0" w:color="auto"/>
      </w:divBdr>
    </w:div>
    <w:div w:id="1016808720">
      <w:bodyDiv w:val="1"/>
      <w:marLeft w:val="0"/>
      <w:marRight w:val="0"/>
      <w:marTop w:val="0"/>
      <w:marBottom w:val="0"/>
      <w:divBdr>
        <w:top w:val="none" w:sz="0" w:space="0" w:color="auto"/>
        <w:left w:val="none" w:sz="0" w:space="0" w:color="auto"/>
        <w:bottom w:val="none" w:sz="0" w:space="0" w:color="auto"/>
        <w:right w:val="none" w:sz="0" w:space="0" w:color="auto"/>
      </w:divBdr>
    </w:div>
    <w:div w:id="1039553782">
      <w:bodyDiv w:val="1"/>
      <w:marLeft w:val="0"/>
      <w:marRight w:val="0"/>
      <w:marTop w:val="0"/>
      <w:marBottom w:val="0"/>
      <w:divBdr>
        <w:top w:val="none" w:sz="0" w:space="0" w:color="auto"/>
        <w:left w:val="none" w:sz="0" w:space="0" w:color="auto"/>
        <w:bottom w:val="none" w:sz="0" w:space="0" w:color="auto"/>
        <w:right w:val="none" w:sz="0" w:space="0" w:color="auto"/>
      </w:divBdr>
      <w:divsChild>
        <w:div w:id="438986227">
          <w:marLeft w:val="0"/>
          <w:marRight w:val="0"/>
          <w:marTop w:val="0"/>
          <w:marBottom w:val="0"/>
          <w:divBdr>
            <w:top w:val="none" w:sz="0" w:space="0" w:color="auto"/>
            <w:left w:val="none" w:sz="0" w:space="0" w:color="auto"/>
            <w:bottom w:val="none" w:sz="0" w:space="0" w:color="auto"/>
            <w:right w:val="none" w:sz="0" w:space="0" w:color="auto"/>
          </w:divBdr>
          <w:divsChild>
            <w:div w:id="998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2152">
      <w:bodyDiv w:val="1"/>
      <w:marLeft w:val="0"/>
      <w:marRight w:val="0"/>
      <w:marTop w:val="0"/>
      <w:marBottom w:val="0"/>
      <w:divBdr>
        <w:top w:val="none" w:sz="0" w:space="0" w:color="auto"/>
        <w:left w:val="none" w:sz="0" w:space="0" w:color="auto"/>
        <w:bottom w:val="none" w:sz="0" w:space="0" w:color="auto"/>
        <w:right w:val="none" w:sz="0" w:space="0" w:color="auto"/>
      </w:divBdr>
    </w:div>
    <w:div w:id="1148287192">
      <w:bodyDiv w:val="1"/>
      <w:marLeft w:val="0"/>
      <w:marRight w:val="0"/>
      <w:marTop w:val="0"/>
      <w:marBottom w:val="0"/>
      <w:divBdr>
        <w:top w:val="none" w:sz="0" w:space="0" w:color="auto"/>
        <w:left w:val="none" w:sz="0" w:space="0" w:color="auto"/>
        <w:bottom w:val="none" w:sz="0" w:space="0" w:color="auto"/>
        <w:right w:val="none" w:sz="0" w:space="0" w:color="auto"/>
      </w:divBdr>
    </w:div>
    <w:div w:id="1233194359">
      <w:bodyDiv w:val="1"/>
      <w:marLeft w:val="0"/>
      <w:marRight w:val="0"/>
      <w:marTop w:val="0"/>
      <w:marBottom w:val="0"/>
      <w:divBdr>
        <w:top w:val="none" w:sz="0" w:space="0" w:color="auto"/>
        <w:left w:val="none" w:sz="0" w:space="0" w:color="auto"/>
        <w:bottom w:val="none" w:sz="0" w:space="0" w:color="auto"/>
        <w:right w:val="none" w:sz="0" w:space="0" w:color="auto"/>
      </w:divBdr>
    </w:div>
    <w:div w:id="1249080490">
      <w:bodyDiv w:val="1"/>
      <w:marLeft w:val="0"/>
      <w:marRight w:val="0"/>
      <w:marTop w:val="0"/>
      <w:marBottom w:val="0"/>
      <w:divBdr>
        <w:top w:val="none" w:sz="0" w:space="0" w:color="auto"/>
        <w:left w:val="none" w:sz="0" w:space="0" w:color="auto"/>
        <w:bottom w:val="none" w:sz="0" w:space="0" w:color="auto"/>
        <w:right w:val="none" w:sz="0" w:space="0" w:color="auto"/>
      </w:divBdr>
    </w:div>
    <w:div w:id="1326590501">
      <w:bodyDiv w:val="1"/>
      <w:marLeft w:val="0"/>
      <w:marRight w:val="0"/>
      <w:marTop w:val="0"/>
      <w:marBottom w:val="0"/>
      <w:divBdr>
        <w:top w:val="none" w:sz="0" w:space="0" w:color="auto"/>
        <w:left w:val="none" w:sz="0" w:space="0" w:color="auto"/>
        <w:bottom w:val="none" w:sz="0" w:space="0" w:color="auto"/>
        <w:right w:val="none" w:sz="0" w:space="0" w:color="auto"/>
      </w:divBdr>
    </w:div>
    <w:div w:id="1336572060">
      <w:bodyDiv w:val="1"/>
      <w:marLeft w:val="0"/>
      <w:marRight w:val="0"/>
      <w:marTop w:val="0"/>
      <w:marBottom w:val="0"/>
      <w:divBdr>
        <w:top w:val="none" w:sz="0" w:space="0" w:color="auto"/>
        <w:left w:val="none" w:sz="0" w:space="0" w:color="auto"/>
        <w:bottom w:val="none" w:sz="0" w:space="0" w:color="auto"/>
        <w:right w:val="none" w:sz="0" w:space="0" w:color="auto"/>
      </w:divBdr>
    </w:div>
    <w:div w:id="1359548891">
      <w:bodyDiv w:val="1"/>
      <w:marLeft w:val="0"/>
      <w:marRight w:val="0"/>
      <w:marTop w:val="0"/>
      <w:marBottom w:val="0"/>
      <w:divBdr>
        <w:top w:val="none" w:sz="0" w:space="0" w:color="auto"/>
        <w:left w:val="none" w:sz="0" w:space="0" w:color="auto"/>
        <w:bottom w:val="none" w:sz="0" w:space="0" w:color="auto"/>
        <w:right w:val="none" w:sz="0" w:space="0" w:color="auto"/>
      </w:divBdr>
    </w:div>
    <w:div w:id="1408959543">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51974150">
      <w:bodyDiv w:val="1"/>
      <w:marLeft w:val="0"/>
      <w:marRight w:val="0"/>
      <w:marTop w:val="0"/>
      <w:marBottom w:val="0"/>
      <w:divBdr>
        <w:top w:val="none" w:sz="0" w:space="0" w:color="auto"/>
        <w:left w:val="none" w:sz="0" w:space="0" w:color="auto"/>
        <w:bottom w:val="none" w:sz="0" w:space="0" w:color="auto"/>
        <w:right w:val="none" w:sz="0" w:space="0" w:color="auto"/>
      </w:divBdr>
    </w:div>
    <w:div w:id="1575313643">
      <w:bodyDiv w:val="1"/>
      <w:marLeft w:val="0"/>
      <w:marRight w:val="0"/>
      <w:marTop w:val="0"/>
      <w:marBottom w:val="0"/>
      <w:divBdr>
        <w:top w:val="none" w:sz="0" w:space="0" w:color="auto"/>
        <w:left w:val="none" w:sz="0" w:space="0" w:color="auto"/>
        <w:bottom w:val="none" w:sz="0" w:space="0" w:color="auto"/>
        <w:right w:val="none" w:sz="0" w:space="0" w:color="auto"/>
      </w:divBdr>
    </w:div>
    <w:div w:id="1601378784">
      <w:bodyDiv w:val="1"/>
      <w:marLeft w:val="0"/>
      <w:marRight w:val="0"/>
      <w:marTop w:val="0"/>
      <w:marBottom w:val="0"/>
      <w:divBdr>
        <w:top w:val="none" w:sz="0" w:space="0" w:color="auto"/>
        <w:left w:val="none" w:sz="0" w:space="0" w:color="auto"/>
        <w:bottom w:val="none" w:sz="0" w:space="0" w:color="auto"/>
        <w:right w:val="none" w:sz="0" w:space="0" w:color="auto"/>
      </w:divBdr>
    </w:div>
    <w:div w:id="1707217643">
      <w:bodyDiv w:val="1"/>
      <w:marLeft w:val="0"/>
      <w:marRight w:val="0"/>
      <w:marTop w:val="0"/>
      <w:marBottom w:val="0"/>
      <w:divBdr>
        <w:top w:val="none" w:sz="0" w:space="0" w:color="auto"/>
        <w:left w:val="none" w:sz="0" w:space="0" w:color="auto"/>
        <w:bottom w:val="none" w:sz="0" w:space="0" w:color="auto"/>
        <w:right w:val="none" w:sz="0" w:space="0" w:color="auto"/>
      </w:divBdr>
    </w:div>
    <w:div w:id="1718357263">
      <w:bodyDiv w:val="1"/>
      <w:marLeft w:val="0"/>
      <w:marRight w:val="0"/>
      <w:marTop w:val="0"/>
      <w:marBottom w:val="0"/>
      <w:divBdr>
        <w:top w:val="none" w:sz="0" w:space="0" w:color="auto"/>
        <w:left w:val="none" w:sz="0" w:space="0" w:color="auto"/>
        <w:bottom w:val="none" w:sz="0" w:space="0" w:color="auto"/>
        <w:right w:val="none" w:sz="0" w:space="0" w:color="auto"/>
      </w:divBdr>
      <w:divsChild>
        <w:div w:id="342049516">
          <w:marLeft w:val="0"/>
          <w:marRight w:val="0"/>
          <w:marTop w:val="0"/>
          <w:marBottom w:val="0"/>
          <w:divBdr>
            <w:top w:val="none" w:sz="0" w:space="0" w:color="auto"/>
            <w:left w:val="none" w:sz="0" w:space="0" w:color="auto"/>
            <w:bottom w:val="none" w:sz="0" w:space="0" w:color="auto"/>
            <w:right w:val="none" w:sz="0" w:space="0" w:color="auto"/>
          </w:divBdr>
          <w:divsChild>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3460">
      <w:bodyDiv w:val="1"/>
      <w:marLeft w:val="0"/>
      <w:marRight w:val="0"/>
      <w:marTop w:val="0"/>
      <w:marBottom w:val="0"/>
      <w:divBdr>
        <w:top w:val="none" w:sz="0" w:space="0" w:color="auto"/>
        <w:left w:val="none" w:sz="0" w:space="0" w:color="auto"/>
        <w:bottom w:val="none" w:sz="0" w:space="0" w:color="auto"/>
        <w:right w:val="none" w:sz="0" w:space="0" w:color="auto"/>
      </w:divBdr>
    </w:div>
    <w:div w:id="1963228288">
      <w:bodyDiv w:val="1"/>
      <w:marLeft w:val="0"/>
      <w:marRight w:val="0"/>
      <w:marTop w:val="0"/>
      <w:marBottom w:val="0"/>
      <w:divBdr>
        <w:top w:val="none" w:sz="0" w:space="0" w:color="auto"/>
        <w:left w:val="none" w:sz="0" w:space="0" w:color="auto"/>
        <w:bottom w:val="none" w:sz="0" w:space="0" w:color="auto"/>
        <w:right w:val="none" w:sz="0" w:space="0" w:color="auto"/>
      </w:divBdr>
    </w:div>
    <w:div w:id="2080395090">
      <w:bodyDiv w:val="1"/>
      <w:marLeft w:val="0"/>
      <w:marRight w:val="0"/>
      <w:marTop w:val="0"/>
      <w:marBottom w:val="0"/>
      <w:divBdr>
        <w:top w:val="none" w:sz="0" w:space="0" w:color="auto"/>
        <w:left w:val="none" w:sz="0" w:space="0" w:color="auto"/>
        <w:bottom w:val="none" w:sz="0" w:space="0" w:color="auto"/>
        <w:right w:val="none" w:sz="0" w:space="0" w:color="auto"/>
      </w:divBdr>
    </w:div>
    <w:div w:id="20954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3.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4.xml"/><Relationship Id="rId68" Type="http://schemas.openxmlformats.org/officeDocument/2006/relationships/header" Target="header59.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5" Type="http://schemas.openxmlformats.org/officeDocument/2006/relationships/webSettings" Target="webSettings.xml"/><Relationship Id="rId61" Type="http://schemas.openxmlformats.org/officeDocument/2006/relationships/header" Target="header52.xml"/><Relationship Id="rId19" Type="http://schemas.openxmlformats.org/officeDocument/2006/relationships/header" Target="header11.xml"/><Relationship Id="rId14" Type="http://schemas.openxmlformats.org/officeDocument/2006/relationships/footer" Target="footer1.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footer" Target="footer2.xml"/><Relationship Id="rId64" Type="http://schemas.openxmlformats.org/officeDocument/2006/relationships/header" Target="header55.xml"/><Relationship Id="rId69" Type="http://schemas.openxmlformats.org/officeDocument/2006/relationships/header" Target="header60.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3.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0.xml"/><Relationship Id="rId67" Type="http://schemas.openxmlformats.org/officeDocument/2006/relationships/header" Target="header58.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8.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0.xml"/><Relationship Id="rId39" Type="http://schemas.openxmlformats.org/officeDocument/2006/relationships/header" Target="header31.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E070-203A-4406-B118-52E4CB55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19770</Words>
  <Characters>107555</Characters>
  <Application>Microsoft Office Word</Application>
  <DocSecurity>0</DocSecurity>
  <Lines>4302</Lines>
  <Paragraphs>2053</Paragraphs>
  <ScaleCrop>false</ScaleCrop>
  <HeadingPairs>
    <vt:vector size="2" baseType="variant">
      <vt:variant>
        <vt:lpstr>Title</vt:lpstr>
      </vt:variant>
      <vt:variant>
        <vt:i4>1</vt:i4>
      </vt:variant>
    </vt:vector>
  </HeadingPairs>
  <TitlesOfParts>
    <vt:vector size="1" baseType="lpstr">
      <vt:lpstr>AAOG PLC</vt:lpstr>
    </vt:vector>
  </TitlesOfParts>
  <Company/>
  <LinksUpToDate>false</LinksUpToDate>
  <CharactersWithSpaces>125272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Jarrett</cp:lastModifiedBy>
  <cp:revision>5</cp:revision>
  <cp:lastPrinted>2022-12-23T10:35:00Z</cp:lastPrinted>
  <dcterms:created xsi:type="dcterms:W3CDTF">2023-01-03T16:20:00Z</dcterms:created>
  <dcterms:modified xsi:type="dcterms:W3CDTF">2023-06-11T15:50:00Z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0x01010035407A499EBE82459172898178D808AA</vt:lpwstr>
  </property>
</Properties>
</file>